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USCB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90355N101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Howard Feinglass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Priam Capital Fund II, LP, 2000 Salzedo Street, Suite 1514</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Coral Gables, FL, 33134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914-393-2260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Jay Coogan, Esquire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Pierson Ferdinand LLP, 1650 Market Street, 36th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Philadelphia, PA, 19103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(267) 265-8598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PRIAM CAPITAL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4,018,309.00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4,018,309.00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4,018,309.00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PRIAM CAPITAL ASSOCIATES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ectPr>
          <w:pgSz w:w="11900" w:h="16857" w:orient="portrait"/>
          <w:cols w:equalWidth="0" w:num="1">
            <w:col w:w="10099"/>
          </w:cols>
          <w:pgMar w:left="360" w:top="639"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4,018,309.00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4,018,309.00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4,018,309.00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HOWARD FEINGLASS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17,814.00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4,018,309.00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17,814.00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4,018,309.00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4,036,123.00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$1.00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USCB Financial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2301 NW 87th Avenue, Doral, FLORIDA , 33172.</w:t>
      </w:r>
    </w:p>
    <w:p>
      <w:pPr>
        <w:spacing w:after="0" w:line="20" w:lineRule="exact"/>
        <w:rPr>
          <w:sz w:val="20"/>
          <w:szCs w:val="20"/>
          <w:color w:val="auto"/>
        </w:rPr>
      </w:pPr>
    </w:p>
    <w:p>
      <w:pPr>
        <w:jc w:val="right"/>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title and class of equity security to which this Schedule 13D relates is the Class A common stock, par value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$1.00 per share ("Class A Common Stock"), of USCB Financial Holdings, Inc. (the "Issuer" or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whose principal executive offices are located at 2301 N.W. 87th Avenue, Doral, Florida 33172. *This Amendment No. 1 to Schedule 13D ("Amendment No. 1") is being filed to amend and supplement the statement on Schedule 13D relating to the Class A Voting Stock of USCB Financial Holdings, Inc. (the "Issuer" or the "Company") as filed with the Securities and Exchange Commission (the "SEC") on January 6, 2022 (the "Schedule 13D"). All capitalized terms</w:t>
      </w:r>
    </w:p>
    <w:p>
      <w:pPr>
        <w:spacing w:after="0" w:line="3" w:lineRule="exact"/>
        <w:rPr>
          <w:sz w:val="20"/>
          <w:szCs w:val="20"/>
          <w:color w:val="auto"/>
        </w:rPr>
      </w:pPr>
    </w:p>
    <w:p>
      <w:pPr>
        <w:ind w:right="1420" w:firstLine="952"/>
        <w:spacing w:after="0" w:line="283" w:lineRule="auto"/>
        <w:rPr>
          <w:sz w:val="20"/>
          <w:szCs w:val="20"/>
          <w:color w:val="auto"/>
        </w:rPr>
      </w:pPr>
      <w:r>
        <w:rPr>
          <w:rFonts w:ascii="Times New Roman" w:cs="Times New Roman" w:eastAsia="Times New Roman" w:hAnsi="Times New Roman"/>
          <w:sz w:val="22"/>
          <w:szCs w:val="22"/>
          <w:color w:val="auto"/>
        </w:rPr>
        <w:t>not otherwise defined herein shall have the meaning ascribed to the terms in the initial Schedule 13D. Item 2. Identity and Background</w:t>
      </w:r>
    </w:p>
    <w:p>
      <w:pPr>
        <w:ind w:left="920"/>
        <w:spacing w:after="0"/>
        <w:rPr>
          <w:sz w:val="20"/>
          <w:szCs w:val="20"/>
          <w:color w:val="auto"/>
        </w:rPr>
      </w:pPr>
      <w:r>
        <w:rPr>
          <w:rFonts w:ascii="Times New Roman" w:cs="Times New Roman" w:eastAsia="Times New Roman" w:hAnsi="Times New Roman"/>
          <w:sz w:val="21"/>
          <w:szCs w:val="21"/>
          <w:color w:val="auto"/>
        </w:rPr>
        <w:t>This Amendment No. 1 is being filed on behalf of the following persons (each, a "Reporting Person" and collectively,</w:t>
      </w:r>
    </w:p>
    <w:p>
      <w:pPr>
        <w:spacing w:after="0" w:line="26" w:lineRule="exact"/>
        <w:rPr>
          <w:sz w:val="20"/>
          <w:szCs w:val="20"/>
          <w:color w:val="auto"/>
        </w:rPr>
      </w:pPr>
    </w:p>
    <w:p>
      <w:pPr>
        <w:ind w:left="920" w:right="12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"Reporting Persons"): i. Priam Capital Fund II, LP, a Delaware limited partnership (the "Fund"); ii. Priam Capital Associates II, LLC, a Delaware limited liability Company and general partner of the Fund ("Fund GP"); and iii. Howard Feinglass, the managing member of the Fund GP and a director of the Company.</w:t>
      </w:r>
    </w:p>
    <w:p>
      <w:pPr>
        <w:spacing w:after="0" w:line="18" w:lineRule="exact"/>
        <w:rPr>
          <w:rFonts w:ascii="Times New Roman" w:cs="Times New Roman" w:eastAsia="Times New Roman" w:hAnsi="Times New Roman"/>
          <w:sz w:val="42"/>
          <w:szCs w:val="42"/>
          <w:color w:val="auto"/>
          <w:vertAlign w:val="subscript"/>
        </w:rPr>
      </w:pPr>
    </w:p>
    <w:p>
      <w:pPr>
        <w:ind w:left="920" w:right="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business address of each member of the Reporting Persons is c/o Priam Capital Associates II, LLC, 2000 Salzedo Street, Suite 1514, Coral Gables, Florida 33134.</w:t>
      </w:r>
    </w:p>
    <w:p>
      <w:pPr>
        <w:spacing w:after="0" w:line="17" w:lineRule="exact"/>
        <w:rPr>
          <w:rFonts w:ascii="Times New Roman" w:cs="Times New Roman" w:eastAsia="Times New Roman" w:hAnsi="Times New Roman"/>
          <w:sz w:val="39"/>
          <w:szCs w:val="39"/>
          <w:color w:val="auto"/>
          <w:vertAlign w:val="subscript"/>
        </w:rPr>
      </w:pPr>
    </w:p>
    <w:p>
      <w:pPr>
        <w:ind w:left="920" w:right="140"/>
        <w:spacing w:after="0" w:line="253"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The Fund was formed in order to engage in the acquiring, holding and disposing of investments in various companies. The Fund GP is the general partner of the Fund and was formed to act as the general partner of the Fund,</w:t>
      </w:r>
    </w:p>
    <w:p>
      <w:pPr>
        <w:ind w:left="920" w:right="80" w:hanging="912"/>
        <w:spacing w:after="0" w:line="189"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to make investments through the Fund and to fulfill such other purposes as may be determined by the Fund from time to time. Mr. Feinglass is the managing member of the Fund GP. Accordingly, pursuant to the regulations promulgated under Section 13(d) of the Securities Exchange Act of 1934, the Fund, the Fund GP and Mr. Feinglass each may be deemed to be a beneficial owner of the Common Stock held for the account of the Fund.</w:t>
      </w:r>
    </w:p>
    <w:p>
      <w:pPr>
        <w:spacing w:after="0" w:line="14" w:lineRule="exact"/>
        <w:rPr>
          <w:rFonts w:ascii="Times New Roman" w:cs="Times New Roman" w:eastAsia="Times New Roman" w:hAnsi="Times New Roman"/>
          <w:sz w:val="43"/>
          <w:szCs w:val="43"/>
          <w:color w:val="auto"/>
          <w:vertAlign w:val="subscript"/>
        </w:rPr>
      </w:pPr>
    </w:p>
    <w:p>
      <w:pPr>
        <w:ind w:left="920" w:right="4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Reporting Persons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None of the Reporting Persons has, during the last five years,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40" w:hanging="912"/>
        <w:spacing w:after="0" w:line="184"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right="1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Fund is a Delaware limited partnership. The Fund GP is a Delaware limited liability company. Mr. Feinglass is a United States citizen.</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Priam Capital Fund II, LP(1): Amount Beneficially Owned: 4,018,309 Percent of Class(2): 20.0 Sole Power to Vote</w:t>
      </w:r>
    </w:p>
    <w:p>
      <w:pPr>
        <w:sectPr>
          <w:pgSz w:w="11900" w:h="16838" w:orient="portrait"/>
          <w:cols w:equalWidth="0" w:num="1">
            <w:col w:w="11160"/>
          </w:cols>
          <w:pgMar w:left="360" w:top="112" w:right="379" w:bottom="0" w:gutter="0" w:footer="0" w:header="0"/>
        </w:sectPr>
      </w:pPr>
    </w:p>
    <w:bookmarkStart w:id="4" w:name="page5"/>
    <w:bookmarkEnd w:id="4"/>
    <w:p>
      <w:pPr>
        <w:ind w:left="912"/>
        <w:spacing w:after="0"/>
        <w:rPr>
          <w:sz w:val="20"/>
          <w:szCs w:val="20"/>
          <w:color w:val="auto"/>
        </w:rPr>
      </w:pPr>
      <w:r>
        <w:rPr>
          <w:rFonts w:ascii="Times New Roman" w:cs="Times New Roman" w:eastAsia="Times New Roman" w:hAnsi="Times New Roman"/>
          <w:sz w:val="22"/>
          <w:szCs w:val="22"/>
          <w:color w:val="auto"/>
        </w:rPr>
        <w:t>or Direct the Vote: 0 Shared Power to Vote or Direct the Vote: 4,018,309 Sole Power to Dispose or Direct the</w:t>
      </w:r>
    </w:p>
    <w:p>
      <w:pPr>
        <w:spacing w:after="0" w:line="5"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2"/>
          <w:szCs w:val="22"/>
          <w:color w:val="auto"/>
        </w:rPr>
        <w:t>Disposition: 0 Shared Power to Dispose or Direct the Disposition: 4,018,309 Priam Capital Associates II, LLC(1):</w:t>
      </w:r>
    </w:p>
    <w:p>
      <w:pPr>
        <w:ind w:left="912"/>
        <w:spacing w:after="0" w:line="230" w:lineRule="auto"/>
        <w:rPr>
          <w:sz w:val="20"/>
          <w:szCs w:val="20"/>
          <w:color w:val="auto"/>
        </w:rPr>
      </w:pPr>
      <w:r>
        <w:rPr>
          <w:rFonts w:ascii="Times New Roman" w:cs="Times New Roman" w:eastAsia="Times New Roman" w:hAnsi="Times New Roman"/>
          <w:sz w:val="22"/>
          <w:szCs w:val="22"/>
          <w:color w:val="auto"/>
        </w:rPr>
        <w:t>Amount Beneficially Owned: 4,018,309 Percent of Class(2): 20.0 Sole Power to Vote or Direct the Vote: 0 Shared</w:t>
      </w:r>
    </w:p>
    <w:p>
      <w:pPr>
        <w:ind w:left="912"/>
        <w:spacing w:after="0" w:line="231" w:lineRule="auto"/>
        <w:rPr>
          <w:sz w:val="20"/>
          <w:szCs w:val="20"/>
          <w:color w:val="auto"/>
        </w:rPr>
      </w:pPr>
      <w:r>
        <w:rPr>
          <w:rFonts w:ascii="Times New Roman" w:cs="Times New Roman" w:eastAsia="Times New Roman" w:hAnsi="Times New Roman"/>
          <w:sz w:val="22"/>
          <w:szCs w:val="22"/>
          <w:color w:val="auto"/>
        </w:rPr>
        <w:t>Power to Vote or Direct the Vote: 4,018,309 Sole Power to Dispose or Direct the Disposition: 0 Shared Power to</w:t>
      </w:r>
    </w:p>
    <w:p>
      <w:pPr>
        <w:ind w:left="912"/>
        <w:spacing w:after="0" w:line="230" w:lineRule="auto"/>
        <w:rPr>
          <w:sz w:val="20"/>
          <w:szCs w:val="20"/>
          <w:color w:val="auto"/>
        </w:rPr>
      </w:pPr>
      <w:r>
        <w:rPr>
          <w:rFonts w:ascii="Times New Roman" w:cs="Times New Roman" w:eastAsia="Times New Roman" w:hAnsi="Times New Roman"/>
          <w:sz w:val="22"/>
          <w:szCs w:val="22"/>
          <w:color w:val="auto"/>
        </w:rPr>
        <w:t>Dispose or Direct the Disposition: 4,018,309 Howard Feinglass(1): Amount Beneficially Owned: 4,036,123 Percent</w:t>
      </w:r>
    </w:p>
    <w:p>
      <w:pPr>
        <w:spacing w:after="0" w:line="1" w:lineRule="exact"/>
        <w:rPr>
          <w:sz w:val="20"/>
          <w:szCs w:val="20"/>
          <w:color w:val="auto"/>
        </w:rPr>
      </w:pPr>
    </w:p>
    <w:p>
      <w:pPr>
        <w:ind w:left="912" w:right="60"/>
        <w:spacing w:after="0" w:line="232" w:lineRule="auto"/>
        <w:rPr>
          <w:sz w:val="20"/>
          <w:szCs w:val="20"/>
          <w:color w:val="auto"/>
        </w:rPr>
      </w:pPr>
      <w:r>
        <w:rPr>
          <w:rFonts w:ascii="Times New Roman" w:cs="Times New Roman" w:eastAsia="Times New Roman" w:hAnsi="Times New Roman"/>
          <w:sz w:val="22"/>
          <w:szCs w:val="22"/>
          <w:color w:val="auto"/>
        </w:rPr>
        <w:t>of Class(2): 20.1 Sole Power to Vote or Direct the Vote: 17,814 Shared Power to Vote or Direct the Vote: 4,036,123 Sole Power to Dispose or Direct the Disposition: 17,814 Shared Power to Dispose or Direct the Disposition: 4,036,123 (1) Each of Priam Capital Associates II, LLC and Mr. Feinglass disclaims beneficial ownership of the voting common stock owned by the Fund, except to the extent of its or his pecuniary interest therein. (2) This calculation is based on 20,078,385 shares of Class A Common Stock of the Company outstanding as of July 31, 2025 (20,089,885 shares of Class A Common Stock in the case of Mr. Feinglass assuming his options to purchase Class A Common Stock were exercised).</w:t>
      </w:r>
    </w:p>
    <w:p>
      <w:pPr>
        <w:spacing w:after="0" w:line="19" w:lineRule="exact"/>
        <w:rPr>
          <w:sz w:val="20"/>
          <w:szCs w:val="20"/>
          <w:color w:val="auto"/>
        </w:rPr>
      </w:pPr>
    </w:p>
    <w:p>
      <w:pPr>
        <w:ind w:left="912" w:hanging="912"/>
        <w:spacing w:after="0"/>
        <w:tabs>
          <w:tab w:leader="none" w:pos="91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(a) above.</w:t>
      </w:r>
    </w:p>
    <w:p>
      <w:pPr>
        <w:spacing w:after="0" w:line="44" w:lineRule="exact"/>
        <w:rPr>
          <w:rFonts w:ascii="Times New Roman" w:cs="Times New Roman" w:eastAsia="Times New Roman" w:hAnsi="Times New Roman"/>
          <w:sz w:val="22"/>
          <w:szCs w:val="22"/>
          <w:color w:val="auto"/>
        </w:rPr>
      </w:pPr>
    </w:p>
    <w:p>
      <w:pPr>
        <w:ind w:left="912" w:right="380" w:hanging="912"/>
        <w:spacing w:after="0" w:line="185" w:lineRule="auto"/>
        <w:tabs>
          <w:tab w:leader="none" w:pos="912"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On September 2, 2025, the Fund distributed an aggregate number of 500,000 shares of Class A Common Stock to two unaffiliated limited partners in the Fund for no consideration.</w:t>
      </w:r>
    </w:p>
    <w:p>
      <w:pPr>
        <w:spacing w:after="0" w:line="17" w:lineRule="exact"/>
        <w:rPr>
          <w:rFonts w:ascii="Times New Roman" w:cs="Times New Roman" w:eastAsia="Times New Roman" w:hAnsi="Times New Roman"/>
          <w:sz w:val="39"/>
          <w:szCs w:val="39"/>
          <w:color w:val="auto"/>
          <w:vertAlign w:val="subscript"/>
        </w:rPr>
      </w:pPr>
    </w:p>
    <w:p>
      <w:pPr>
        <w:ind w:left="912"/>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partners of the Fund have the right to participate in the receipt of dividends from, or proceeds from the sale of,</w:t>
      </w:r>
    </w:p>
    <w:p>
      <w:pPr>
        <w:spacing w:after="0" w:line="14" w:lineRule="exact"/>
        <w:rPr>
          <w:rFonts w:ascii="Times New Roman" w:cs="Times New Roman" w:eastAsia="Times New Roman" w:hAnsi="Times New Roman"/>
          <w:sz w:val="39"/>
          <w:szCs w:val="39"/>
          <w:color w:val="auto"/>
          <w:vertAlign w:val="subscript"/>
        </w:rPr>
      </w:pPr>
    </w:p>
    <w:p>
      <w:pPr>
        <w:ind w:left="912" w:right="80" w:hanging="912"/>
        <w:spacing w:after="0" w:line="237" w:lineRule="auto"/>
        <w:tabs>
          <w:tab w:leader="none" w:pos="91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Class A Common Stock held for the account of the Fund in accordance with their ownership interests in the Fund.</w:t>
      </w:r>
    </w:p>
    <w:p>
      <w:pPr>
        <w:spacing w:after="0" w:line="16" w:lineRule="exact"/>
        <w:rPr>
          <w:rFonts w:ascii="Times New Roman" w:cs="Times New Roman" w:eastAsia="Times New Roman" w:hAnsi="Times New Roman"/>
          <w:sz w:val="22"/>
          <w:szCs w:val="22"/>
          <w:color w:val="auto"/>
        </w:rPr>
      </w:pPr>
    </w:p>
    <w:p>
      <w:pPr>
        <w:ind w:left="912" w:hanging="912"/>
        <w:spacing w:after="0"/>
        <w:tabs>
          <w:tab w:leader="none" w:pos="91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12"/>
        <w:spacing w:after="0"/>
        <w:rPr>
          <w:sz w:val="20"/>
          <w:szCs w:val="20"/>
          <w:color w:val="auto"/>
        </w:rPr>
      </w:pPr>
      <w:r>
        <w:rPr>
          <w:rFonts w:ascii="Times New Roman" w:cs="Times New Roman" w:eastAsia="Times New Roman" w:hAnsi="Times New Roman"/>
          <w:sz w:val="22"/>
          <w:szCs w:val="22"/>
          <w:color w:val="auto"/>
        </w:rPr>
        <w:t>PRIAM CAPITAL FUND II, LP</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Howard Feinglass</w:t>
      </w:r>
    </w:p>
    <w:p>
      <w:pPr>
        <w:spacing w:after="0" w:line="44"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Howard Feinglass, the managing member of</w:t>
      </w:r>
    </w:p>
    <w:p>
      <w:pPr>
        <w:spacing w:after="0" w:line="4"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22"/>
          <w:szCs w:val="22"/>
          <w:color w:val="auto"/>
        </w:rPr>
        <w:t>Name/Title: Priam Capital Associates II, LLC, the general</w:t>
      </w:r>
    </w:p>
    <w:p>
      <w:pPr>
        <w:ind w:left="6732"/>
        <w:spacing w:after="0"/>
        <w:rPr>
          <w:sz w:val="20"/>
          <w:szCs w:val="20"/>
          <w:color w:val="auto"/>
        </w:rPr>
      </w:pPr>
      <w:r>
        <w:rPr>
          <w:rFonts w:ascii="Times New Roman" w:cs="Times New Roman" w:eastAsia="Times New Roman" w:hAnsi="Times New Roman"/>
          <w:sz w:val="22"/>
          <w:szCs w:val="22"/>
          <w:color w:val="auto"/>
        </w:rPr>
        <w:t>partner of Priam Capital Fund II, LP</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09/04/2025</w:t>
      </w:r>
    </w:p>
    <w:p>
      <w:pPr>
        <w:spacing w:after="0" w:line="152" w:lineRule="exact"/>
        <w:rPr>
          <w:sz w:val="20"/>
          <w:szCs w:val="20"/>
          <w:color w:val="auto"/>
        </w:rPr>
      </w:pPr>
    </w:p>
    <w:p>
      <w:pPr>
        <w:ind w:left="3852"/>
        <w:spacing w:after="0"/>
        <w:rPr>
          <w:sz w:val="20"/>
          <w:szCs w:val="20"/>
          <w:color w:val="auto"/>
        </w:rPr>
      </w:pPr>
      <w:r>
        <w:rPr>
          <w:rFonts w:ascii="Times New Roman" w:cs="Times New Roman" w:eastAsia="Times New Roman" w:hAnsi="Times New Roman"/>
          <w:sz w:val="22"/>
          <w:szCs w:val="22"/>
          <w:color w:val="auto"/>
        </w:rPr>
        <w:t>PRIAM CAPITAL ASSOCIATES II, LLC</w:t>
      </w:r>
    </w:p>
    <w:p>
      <w:pPr>
        <w:spacing w:after="0" w:line="152" w:lineRule="exact"/>
        <w:rPr>
          <w:sz w:val="20"/>
          <w:szCs w:val="20"/>
          <w:color w:val="auto"/>
        </w:rPr>
      </w:pPr>
    </w:p>
    <w:p>
      <w:pPr>
        <w:ind w:left="4812"/>
        <w:spacing w:after="0"/>
        <w:tabs>
          <w:tab w:leader="none" w:pos="589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Howard Feinglass</w:t>
      </w:r>
    </w:p>
    <w:p>
      <w:pPr>
        <w:spacing w:after="0" w:line="44" w:lineRule="exact"/>
        <w:rPr>
          <w:sz w:val="20"/>
          <w:szCs w:val="20"/>
          <w:color w:val="auto"/>
        </w:rPr>
      </w:pPr>
    </w:p>
    <w:p>
      <w:pPr>
        <w:ind w:left="4812"/>
        <w:spacing w:after="0"/>
        <w:rPr>
          <w:sz w:val="20"/>
          <w:szCs w:val="20"/>
          <w:color w:val="auto"/>
        </w:rPr>
      </w:pPr>
      <w:r>
        <w:rPr>
          <w:rFonts w:ascii="Times New Roman" w:cs="Times New Roman" w:eastAsia="Times New Roman" w:hAnsi="Times New Roman"/>
          <w:sz w:val="22"/>
          <w:szCs w:val="22"/>
          <w:color w:val="auto"/>
        </w:rPr>
        <w:t>Name/Title: Howard Feinglass, its managing member</w:t>
      </w:r>
    </w:p>
    <w:p>
      <w:pPr>
        <w:spacing w:after="0" w:line="44" w:lineRule="exact"/>
        <w:rPr>
          <w:sz w:val="20"/>
          <w:szCs w:val="20"/>
          <w:color w:val="auto"/>
        </w:rPr>
      </w:pPr>
    </w:p>
    <w:p>
      <w:pPr>
        <w:ind w:left="4812"/>
        <w:spacing w:after="0"/>
        <w:tabs>
          <w:tab w:leader="none" w:pos="589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09/04/2025</w:t>
      </w:r>
    </w:p>
    <w:p>
      <w:pPr>
        <w:spacing w:after="0" w:line="152" w:lineRule="exact"/>
        <w:rPr>
          <w:sz w:val="20"/>
          <w:szCs w:val="20"/>
          <w:color w:val="auto"/>
        </w:rPr>
      </w:pPr>
    </w:p>
    <w:p>
      <w:pPr>
        <w:ind w:left="2352"/>
        <w:spacing w:after="0"/>
        <w:rPr>
          <w:sz w:val="20"/>
          <w:szCs w:val="20"/>
          <w:color w:val="auto"/>
        </w:rPr>
      </w:pPr>
      <w:r>
        <w:rPr>
          <w:rFonts w:ascii="Times New Roman" w:cs="Times New Roman" w:eastAsia="Times New Roman" w:hAnsi="Times New Roman"/>
          <w:sz w:val="22"/>
          <w:szCs w:val="22"/>
          <w:color w:val="auto"/>
        </w:rPr>
        <w:t>HOWARD FEINGLASS</w:t>
      </w:r>
    </w:p>
    <w:p>
      <w:pPr>
        <w:spacing w:after="0" w:line="152" w:lineRule="exact"/>
        <w:rPr>
          <w:sz w:val="20"/>
          <w:szCs w:val="20"/>
          <w:color w:val="auto"/>
        </w:rPr>
      </w:pPr>
    </w:p>
    <w:p>
      <w:pPr>
        <w:ind w:left="3112"/>
        <w:spacing w:after="0"/>
        <w:tabs>
          <w:tab w:leader="none" w:pos="41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Howard Feinglass</w:t>
      </w:r>
    </w:p>
    <w:p>
      <w:pPr>
        <w:spacing w:after="0" w:line="44" w:lineRule="exact"/>
        <w:rPr>
          <w:sz w:val="20"/>
          <w:szCs w:val="20"/>
          <w:color w:val="auto"/>
        </w:rPr>
      </w:pPr>
    </w:p>
    <w:p>
      <w:pPr>
        <w:ind w:left="3112"/>
        <w:spacing w:after="0"/>
        <w:rPr>
          <w:sz w:val="20"/>
          <w:szCs w:val="20"/>
          <w:color w:val="auto"/>
        </w:rPr>
      </w:pPr>
      <w:r>
        <w:rPr>
          <w:rFonts w:ascii="Times New Roman" w:cs="Times New Roman" w:eastAsia="Times New Roman" w:hAnsi="Times New Roman"/>
          <w:sz w:val="22"/>
          <w:szCs w:val="22"/>
          <w:color w:val="auto"/>
        </w:rPr>
        <w:t>Name/Title: Howard Feinglass</w:t>
      </w:r>
    </w:p>
    <w:p>
      <w:pPr>
        <w:spacing w:after="0" w:line="44" w:lineRule="exact"/>
        <w:rPr>
          <w:sz w:val="20"/>
          <w:szCs w:val="20"/>
          <w:color w:val="auto"/>
        </w:rPr>
      </w:pPr>
    </w:p>
    <w:p>
      <w:pPr>
        <w:ind w:left="3112"/>
        <w:spacing w:after="0"/>
        <w:tabs>
          <w:tab w:leader="none" w:pos="41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09/04/2025</w:t>
      </w:r>
    </w:p>
    <w:sectPr>
      <w:pgSz w:w="11900" w:h="16838" w:orient="portrait"/>
      <w:cols w:equalWidth="0" w:num="1">
        <w:col w:w="11132"/>
      </w:cols>
      <w:pgMar w:left="368"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2025-09-04T18:08:16Z</dcterms:created>
  <dcterms:modified xsi:type="dcterms:W3CDTF">2025-09-04T18:08:16Z</dcterms:modified>
</cp:coreProperties>
</file>