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193675</wp:posOffset>
            </wp:positionH>
            <wp:positionV relativeFrom="page">
              <wp:posOffset>142875</wp:posOffset>
            </wp:positionV>
            <wp:extent cx="7160895" cy="10461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10461625"/>
                    </a:xfrm>
                    <a:prstGeom prst="rect">
                      <a:avLst/>
                    </a:prstGeom>
                    <a:noFill/>
                  </pic:spPr>
                </pic:pic>
              </a:graphicData>
            </a:graphic>
          </wp:anchor>
        </w:drawing>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ind w:left="3580"/>
        <w:spacing w:after="0"/>
        <w:rPr>
          <w:sz w:val="20"/>
          <w:szCs w:val="20"/>
          <w:color w:val="auto"/>
        </w:rPr>
      </w:pPr>
      <w:r>
        <w:rPr>
          <w:rFonts w:ascii="Times New Roman" w:cs="Times New Roman" w:eastAsia="Times New Roman" w:hAnsi="Times New Roman"/>
          <w:sz w:val="14"/>
          <w:szCs w:val="14"/>
          <w:color w:val="auto"/>
        </w:rPr>
        <w:t>__________________________</w:t>
      </w:r>
    </w:p>
    <w:p>
      <w:pPr>
        <w:jc w:val="center"/>
        <w:spacing w:after="0" w:line="239" w:lineRule="auto"/>
        <w:rPr>
          <w:sz w:val="20"/>
          <w:szCs w:val="20"/>
          <w:color w:val="auto"/>
        </w:rPr>
      </w:pPr>
      <w:r>
        <w:rPr>
          <w:rFonts w:ascii="Times New Roman" w:cs="Times New Roman" w:eastAsia="Times New Roman" w:hAnsi="Times New Roman"/>
          <w:sz w:val="26"/>
          <w:szCs w:val="26"/>
          <w:b w:val="1"/>
          <w:bCs w:val="1"/>
          <w:color w:val="auto"/>
        </w:rPr>
        <w:t>FORM 8-K</w:t>
      </w:r>
    </w:p>
    <w:p>
      <w:pPr>
        <w:ind w:left="358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July 25, 2025</w:t>
      </w:r>
    </w:p>
    <w:p>
      <w:pPr>
        <w:spacing w:after="0" w:line="20"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USCB Financial Holdings,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2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327" w:lineRule="exact"/>
        <w:rPr>
          <w:sz w:val="24"/>
          <w:szCs w:val="24"/>
          <w:color w:val="auto"/>
        </w:rPr>
      </w:pPr>
    </w:p>
    <w:tbl>
      <w:tblPr>
        <w:tblLayout w:type="fixed"/>
        <w:tblInd w:w="720" w:type="dxa"/>
        <w:tblCellMar>
          <w:top w:w="0" w:type="dxa"/>
          <w:left w:w="0" w:type="dxa"/>
          <w:bottom w:w="0" w:type="dxa"/>
          <w:right w:w="0" w:type="dxa"/>
        </w:tblCellMar>
      </w:tblPr>
      <w:tr>
        <w:trPr>
          <w:trHeight w:val="161"/>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w w:val="99"/>
              </w:rPr>
              <w:t>Florida</w:t>
            </w:r>
          </w:p>
        </w:tc>
        <w:tc>
          <w:tcPr>
            <w:tcW w:w="2520" w:type="dxa"/>
            <w:vAlign w:val="bottom"/>
          </w:tcPr>
          <w:p>
            <w:pPr>
              <w:jc w:val="right"/>
              <w:ind w:right="1049"/>
              <w:spacing w:after="0"/>
              <w:rPr>
                <w:sz w:val="20"/>
                <w:szCs w:val="20"/>
                <w:color w:val="auto"/>
              </w:rPr>
            </w:pPr>
            <w:r>
              <w:rPr>
                <w:rFonts w:ascii="Times New Roman" w:cs="Times New Roman" w:eastAsia="Times New Roman" w:hAnsi="Times New Roman"/>
                <w:sz w:val="14"/>
                <w:szCs w:val="14"/>
                <w:b w:val="1"/>
                <w:bCs w:val="1"/>
                <w:color w:val="auto"/>
              </w:rPr>
              <w:t>001-41196</w:t>
            </w:r>
          </w:p>
        </w:tc>
        <w:tc>
          <w:tcPr>
            <w:tcW w:w="170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87-4070846</w:t>
            </w:r>
          </w:p>
        </w:tc>
      </w:tr>
      <w:tr>
        <w:trPr>
          <w:trHeight w:val="160"/>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52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170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6"/>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520" w:type="dxa"/>
            <w:vAlign w:val="bottom"/>
          </w:tcPr>
          <w:p>
            <w:pPr>
              <w:spacing w:after="0"/>
              <w:rPr>
                <w:sz w:val="16"/>
                <w:szCs w:val="16"/>
                <w:color w:val="auto"/>
              </w:rPr>
            </w:pPr>
          </w:p>
        </w:tc>
        <w:tc>
          <w:tcPr>
            <w:tcW w:w="170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05"/>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w w:val="99"/>
              </w:rPr>
              <w:t>2301 N.W. 87th Avenue ,</w:t>
            </w:r>
          </w:p>
        </w:tc>
        <w:tc>
          <w:tcPr>
            <w:tcW w:w="2520" w:type="dxa"/>
            <w:vAlign w:val="bottom"/>
          </w:tcPr>
          <w:p>
            <w:pPr>
              <w:spacing w:after="0"/>
              <w:rPr>
                <w:sz w:val="24"/>
                <w:szCs w:val="24"/>
                <w:color w:val="auto"/>
              </w:rPr>
            </w:pPr>
          </w:p>
        </w:tc>
        <w:tc>
          <w:tcPr>
            <w:tcW w:w="170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33172</w:t>
            </w:r>
          </w:p>
        </w:tc>
      </w:tr>
      <w:tr>
        <w:trPr>
          <w:trHeight w:val="171"/>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Doral, Florida</w:t>
            </w:r>
          </w:p>
        </w:tc>
        <w:tc>
          <w:tcPr>
            <w:tcW w:w="2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86"/>
        </w:trPr>
        <w:tc>
          <w:tcPr>
            <w:tcW w:w="268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520" w:type="dxa"/>
            <w:vAlign w:val="bottom"/>
          </w:tcPr>
          <w:p>
            <w:pPr>
              <w:spacing w:after="0"/>
              <w:rPr>
                <w:sz w:val="16"/>
                <w:szCs w:val="16"/>
                <w:color w:val="auto"/>
              </w:rPr>
            </w:pPr>
          </w:p>
        </w:tc>
        <w:tc>
          <w:tcPr>
            <w:tcW w:w="1700" w:type="dxa"/>
            <w:vAlign w:val="bottom"/>
          </w:tcPr>
          <w:p>
            <w:pPr>
              <w:jc w:val="center"/>
              <w:ind w:left="52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(305) 715-5200</w:t>
      </w:r>
    </w:p>
    <w:p>
      <w:pPr>
        <w:spacing w:after="0" w:line="13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138" w:lineRule="exact"/>
        <w:rPr>
          <w:sz w:val="24"/>
          <w:szCs w:val="24"/>
          <w:color w:val="auto"/>
        </w:rPr>
      </w:pPr>
    </w:p>
    <w:p>
      <w:pPr>
        <w:ind w:left="660" w:right="679"/>
        <w:spacing w:after="0" w:line="273" w:lineRule="auto"/>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25" w:lineRule="exact"/>
        <w:rPr>
          <w:sz w:val="24"/>
          <w:szCs w:val="2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34" w:lineRule="exact"/>
        <w:rPr>
          <w:rFonts w:ascii="MS PGothic" w:cs="MS PGothic" w:eastAsia="MS PGothic" w:hAnsi="MS PGothic"/>
          <w:sz w:val="14"/>
          <w:szCs w:val="1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 -12)</w:t>
      </w:r>
    </w:p>
    <w:p>
      <w:pPr>
        <w:spacing w:after="0" w:line="31" w:lineRule="exact"/>
        <w:rPr>
          <w:rFonts w:ascii="MS PGothic" w:cs="MS PGothic" w:eastAsia="MS PGothic" w:hAnsi="MS PGothic"/>
          <w:sz w:val="14"/>
          <w:szCs w:val="1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31" w:lineRule="exact"/>
        <w:rPr>
          <w:rFonts w:ascii="MS PGothic" w:cs="MS PGothic" w:eastAsia="MS PGothic" w:hAnsi="MS PGothic"/>
          <w:sz w:val="14"/>
          <w:szCs w:val="1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7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6" w:lineRule="exact"/>
        <w:rPr>
          <w:sz w:val="24"/>
          <w:szCs w:val="24"/>
          <w:color w:val="auto"/>
        </w:rPr>
      </w:pPr>
    </w:p>
    <w:tbl>
      <w:tblPr>
        <w:tblLayout w:type="fixed"/>
        <w:tblInd w:w="660" w:type="dxa"/>
        <w:tblCellMar>
          <w:top w:w="0" w:type="dxa"/>
          <w:left w:w="0" w:type="dxa"/>
          <w:bottom w:w="0" w:type="dxa"/>
          <w:right w:w="0" w:type="dxa"/>
        </w:tblCellMar>
      </w:tblPr>
      <w:tr>
        <w:trPr>
          <w:trHeight w:val="126"/>
        </w:trPr>
        <w:tc>
          <w:tcPr>
            <w:tcW w:w="2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200" w:type="dxa"/>
            <w:vAlign w:val="bottom"/>
          </w:tcPr>
          <w:p>
            <w:pPr>
              <w:spacing w:after="0"/>
              <w:rPr>
                <w:sz w:val="10"/>
                <w:szCs w:val="10"/>
                <w:color w:val="auto"/>
              </w:rPr>
            </w:pPr>
          </w:p>
        </w:tc>
        <w:tc>
          <w:tcPr>
            <w:tcW w:w="2880" w:type="dxa"/>
            <w:vAlign w:val="bottom"/>
          </w:tcPr>
          <w:p>
            <w:pPr>
              <w:spacing w:after="0"/>
              <w:rPr>
                <w:sz w:val="10"/>
                <w:szCs w:val="10"/>
                <w:color w:val="auto"/>
              </w:rPr>
            </w:pPr>
          </w:p>
        </w:tc>
      </w:tr>
      <w:tr>
        <w:trPr>
          <w:trHeight w:val="137"/>
        </w:trPr>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00" w:type="dxa"/>
            <w:vAlign w:val="bottom"/>
          </w:tcPr>
          <w:p>
            <w:pPr>
              <w:spacing w:after="0"/>
              <w:rPr>
                <w:sz w:val="11"/>
                <w:szCs w:val="11"/>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200" w:type="dxa"/>
            <w:vAlign w:val="bottom"/>
          </w:tcPr>
          <w:p>
            <w:pPr>
              <w:spacing w:after="0"/>
              <w:rPr>
                <w:sz w:val="11"/>
                <w:szCs w:val="11"/>
                <w:color w:val="auto"/>
              </w:rPr>
            </w:pPr>
          </w:p>
        </w:tc>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75"/>
        </w:trPr>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A common stock, $1.00 par value per share</w:t>
            </w:r>
          </w:p>
        </w:tc>
        <w:tc>
          <w:tcPr>
            <w:tcW w:w="2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USCB</w:t>
            </w:r>
          </w:p>
        </w:tc>
        <w:tc>
          <w:tcPr>
            <w:tcW w:w="200" w:type="dxa"/>
            <w:vAlign w:val="bottom"/>
          </w:tcPr>
          <w:p>
            <w:pPr>
              <w:spacing w:after="0"/>
              <w:rPr>
                <w:sz w:val="15"/>
                <w:szCs w:val="15"/>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32" w:lineRule="exact"/>
        <w:rPr>
          <w:sz w:val="24"/>
          <w:szCs w:val="24"/>
          <w:color w:val="auto"/>
        </w:rPr>
      </w:pPr>
    </w:p>
    <w:p>
      <w:pPr>
        <w:jc w:val="both"/>
        <w:ind w:left="660" w:right="699"/>
        <w:spacing w:after="0" w:line="273"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3" w:lineRule="exact"/>
        <w:rPr>
          <w:sz w:val="24"/>
          <w:szCs w:val="24"/>
          <w:color w:val="auto"/>
        </w:rPr>
      </w:pPr>
    </w:p>
    <w:p>
      <w:pPr>
        <w:ind w:left="66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22" w:lineRule="exact"/>
        <w:rPr>
          <w:sz w:val="24"/>
          <w:szCs w:val="24"/>
          <w:color w:val="auto"/>
        </w:rPr>
      </w:pPr>
    </w:p>
    <w:p>
      <w:pPr>
        <w:jc w:val="both"/>
        <w:ind w:left="660" w:right="699"/>
        <w:spacing w:after="0" w:line="18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795" w:right="1440" w:bottom="1440" w:gutter="0" w:footer="0" w:header="0"/>
        </w:sectPr>
      </w:pPr>
    </w:p>
    <w:bookmarkStart w:id="1" w:name="page2"/>
    <w:bookmarkEnd w:id="1"/>
    <w:p>
      <w:pPr>
        <w:ind w:left="6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Item 7.01. Regulation FD Disclosure.</w:t>
      </w:r>
    </w:p>
    <w:p>
      <w:pPr>
        <w:spacing w:after="0" w:line="172" w:lineRule="exact"/>
        <w:rPr>
          <w:sz w:val="20"/>
          <w:szCs w:val="20"/>
          <w:color w:val="auto"/>
        </w:rPr>
      </w:pPr>
    </w:p>
    <w:p>
      <w:pPr>
        <w:jc w:val="both"/>
        <w:ind w:left="660" w:right="659" w:firstLine="512"/>
        <w:spacing w:after="0" w:line="249" w:lineRule="auto"/>
        <w:rPr>
          <w:sz w:val="20"/>
          <w:szCs w:val="20"/>
          <w:color w:val="auto"/>
        </w:rPr>
      </w:pPr>
      <w:r>
        <w:rPr>
          <w:rFonts w:ascii="Times New Roman" w:cs="Times New Roman" w:eastAsia="Times New Roman" w:hAnsi="Times New Roman"/>
          <w:sz w:val="14"/>
          <w:szCs w:val="14"/>
          <w:color w:val="auto"/>
        </w:rPr>
        <w:t>USCB Financial Holdings, Inc. is filing an investor presentation (the “Presentation”), which will be used by the management team for presentations to investors and others. A copy of the Presentation is attached hereto as Exhibit 99.1 and incorporated herein by reference. The Presentation is also available on the Company’s website at investors.uscenturybank.com. Information contained herein, including Exhibit 99.1, is being furnished and shall not be deemed “filed” for the purposes of Section 18 of the Securities Exchange Act of 1934, as amended “Exchange Act”, or otherwise subject to the liability of such section, and shall not be deemed incorporated by reference in any filing under the Securities Act of 1933, as amended, or the Exchange Act, regardless of any general incorporation language in such filing, except as shall be expressly set forth by specific reference in such a filing.</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5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b w:val="1"/>
          <w:bCs w:val="1"/>
          <w:color w:val="auto"/>
        </w:rPr>
        <w:t>(d) Exhibits.</w:t>
      </w:r>
    </w:p>
    <w:p>
      <w:pPr>
        <w:spacing w:after="0" w:line="170" w:lineRule="exact"/>
        <w:rPr>
          <w:sz w:val="20"/>
          <w:szCs w:val="20"/>
          <w:color w:val="auto"/>
        </w:rPr>
      </w:pPr>
    </w:p>
    <w:tbl>
      <w:tblPr>
        <w:tblLayout w:type="fixed"/>
        <w:tblInd w:w="1160" w:type="dxa"/>
        <w:tblCellMar>
          <w:top w:w="0" w:type="dxa"/>
          <w:left w:w="0" w:type="dxa"/>
          <w:bottom w:w="0" w:type="dxa"/>
          <w:right w:w="0" w:type="dxa"/>
        </w:tblCellMar>
      </w:tblPr>
      <w:tr>
        <w:trPr>
          <w:trHeight w:val="176"/>
        </w:trPr>
        <w:tc>
          <w:tcPr>
            <w:tcW w:w="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4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29"/>
        </w:trPr>
        <w:tc>
          <w:tcPr>
            <w:tcW w:w="74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color w:val="0563C1"/>
              </w:rPr>
              <w:t>99.</w:t>
            </w:r>
            <w:r>
              <w:rPr>
                <w:rFonts w:ascii="Times New Roman" w:cs="Times New Roman" w:eastAsia="Times New Roman" w:hAnsi="Times New Roman"/>
                <w:sz w:val="14"/>
                <w:szCs w:val="14"/>
                <w:u w:val="single" w:color="auto"/>
                <w:color w:val="0563C1"/>
              </w:rPr>
              <w:t>1</w:t>
            </w:r>
          </w:p>
        </w:tc>
        <w:tc>
          <w:tcPr>
            <w:tcW w:w="644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4"/>
                <w:szCs w:val="14"/>
                <w:color w:val="0563C1"/>
              </w:rPr>
              <w:t>USCB Financial Holdings, Inc. Investor Presentation Q2 2025</w:t>
            </w:r>
          </w:p>
        </w:tc>
      </w:tr>
      <w:tr>
        <w:trPr>
          <w:trHeight w:val="175"/>
        </w:trPr>
        <w:tc>
          <w:tcPr>
            <w:tcW w:w="20" w:type="dxa"/>
            <w:vAlign w:val="bottom"/>
          </w:tcPr>
          <w:p>
            <w:pPr>
              <w:spacing w:after="0"/>
              <w:rPr>
                <w:sz w:val="15"/>
                <w:szCs w:val="15"/>
                <w:color w:val="auto"/>
              </w:rPr>
            </w:pPr>
          </w:p>
        </w:tc>
        <w:tc>
          <w:tcPr>
            <w:tcW w:w="240" w:type="dxa"/>
            <w:vAlign w:val="bottom"/>
            <w:tcBorders>
              <w:top w:val="single" w:sz="8" w:color="0563C1"/>
            </w:tcBorders>
          </w:tcPr>
          <w:p>
            <w:pPr>
              <w:spacing w:after="0"/>
              <w:rPr>
                <w:sz w:val="20"/>
                <w:szCs w:val="20"/>
                <w:color w:val="auto"/>
              </w:rPr>
            </w:pPr>
            <w:r>
              <w:rPr>
                <w:rFonts w:ascii="Times New Roman" w:cs="Times New Roman" w:eastAsia="Times New Roman" w:hAnsi="Times New Roman"/>
                <w:sz w:val="14"/>
                <w:szCs w:val="14"/>
                <w:color w:val="auto"/>
              </w:rPr>
              <w:t>104</w:t>
            </w: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40" w:type="dxa"/>
            <w:vAlign w:val="bottom"/>
            <w:tcBorders>
              <w:top w:val="single" w:sz="8" w:color="0563C1"/>
            </w:tcBorders>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w:t>
            </w:r>
          </w:p>
        </w:tc>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721" w:right="1440"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SIGNATURE</w:t>
      </w:r>
    </w:p>
    <w:p>
      <w:pPr>
        <w:spacing w:after="0" w:line="172" w:lineRule="exact"/>
        <w:rPr>
          <w:sz w:val="20"/>
          <w:szCs w:val="20"/>
          <w:color w:val="auto"/>
        </w:rPr>
      </w:pPr>
    </w:p>
    <w:p>
      <w:pPr>
        <w:ind w:left="660" w:right="679" w:firstLine="512"/>
        <w:spacing w:after="0" w:line="273"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USCB Financial Holdings, Inc.</w:t>
      </w:r>
    </w:p>
    <w:p>
      <w:pPr>
        <w:spacing w:after="0" w:line="332" w:lineRule="exact"/>
        <w:rPr>
          <w:sz w:val="20"/>
          <w:szCs w:val="20"/>
          <w:color w:val="auto"/>
        </w:rPr>
      </w:pPr>
    </w:p>
    <w:tbl>
      <w:tblPr>
        <w:tblLayout w:type="fixed"/>
        <w:tblInd w:w="5200" w:type="dxa"/>
        <w:tblCellMar>
          <w:top w:w="0" w:type="dxa"/>
          <w:left w:w="0" w:type="dxa"/>
          <w:bottom w:w="0" w:type="dxa"/>
          <w:right w:w="0" w:type="dxa"/>
        </w:tblCellMar>
      </w:tblPr>
      <w:tr>
        <w:trPr>
          <w:trHeight w:val="17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Robert Anderson</w:t>
            </w:r>
          </w:p>
        </w:tc>
      </w:tr>
      <w:tr>
        <w:trPr>
          <w:trHeight w:val="136"/>
        </w:trPr>
        <w:tc>
          <w:tcPr>
            <w:tcW w:w="58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Name:</w:t>
            </w:r>
          </w:p>
        </w:tc>
        <w:tc>
          <w:tcPr>
            <w:tcW w:w="256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Robert Anderson</w:t>
            </w:r>
          </w:p>
        </w:tc>
      </w:tr>
      <w:tr>
        <w:trPr>
          <w:trHeight w:val="18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Date: July 25,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721" w:right="1440" w:bottom="1440" w:gutter="0" w:footer="0" w:header="0"/>
        </w:sectPr>
      </w:pPr>
    </w:p>
    <w:bookmarkStart w:id="3" w:name="page4"/>
    <w:bookmarkEnd w:id="3"/>
    <w:p>
      <w:pPr>
        <w:ind w:left="93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t>Exhibit 99.1</w:t>
      </w:r>
    </w:p>
    <w:p>
      <w:pPr>
        <w:sectPr>
          <w:pgSz w:w="11900" w:h="16838" w:orient="portrait"/>
          <w:cols w:equalWidth="0" w:num="1">
            <w:col w:w="10100"/>
          </w:cols>
          <w:pgMar w:left="1440" w:top="433" w:right="35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56368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0425"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2025-07-25T11:34:47Z</dcterms:created>
  <dcterms:modified xsi:type="dcterms:W3CDTF">2025-07-25T11:34:47Z</dcterms:modified>
</cp:coreProperties>
</file>