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-758825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057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05714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Logrono Maricarmen</w:t>
              </w:r>
            </w:hyperlink>
          </w:p>
        </w:tc>
        <w:tc>
          <w:tcPr>
            <w:tcW w:w="1520" w:type="dxa"/>
            <w:vAlign w:val="bottom"/>
          </w:tcPr>
          <w:p>
            <w:pPr>
              <w:ind w:left="160"/>
              <w:spacing w:after="0" w:line="139"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2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60" w:type="dxa"/>
            <w:vAlign w:val="bottom"/>
            <w:tcBorders>
              <w:top w:val="single" w:sz="8" w:color="0000EE"/>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10/30/2023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USCB FINANCIAL HOLDINGS,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USCB</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0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USCB FINANCIAL</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HOLDINGS, INC.</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2301 N.W. 87TH AVENUE</w:t>
      </w:r>
    </w:p>
    <w:p>
      <w:pPr>
        <w:spacing w:after="0" w:line="324"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16"/>
                <w:szCs w:val="16"/>
                <w:color w:val="auto"/>
              </w:rPr>
            </w:pPr>
          </w:p>
        </w:tc>
      </w:tr>
      <w:tr>
        <w:trPr>
          <w:trHeight w:val="269"/>
        </w:trPr>
        <w:tc>
          <w:tcPr>
            <w:tcW w:w="1680" w:type="dxa"/>
            <w:vAlign w:val="bottom"/>
          </w:tcPr>
          <w:p>
            <w:pPr>
              <w:ind w:left="40"/>
              <w:spacing w:after="0"/>
              <w:rPr>
                <w:sz w:val="20"/>
                <w:szCs w:val="20"/>
                <w:color w:val="auto"/>
              </w:rPr>
            </w:pPr>
            <w:r>
              <w:rPr>
                <w:rFonts w:ascii="Arial" w:cs="Arial" w:eastAsia="Arial" w:hAnsi="Arial"/>
                <w:sz w:val="20"/>
                <w:szCs w:val="20"/>
                <w:color w:val="0000FF"/>
                <w:w w:val="94"/>
              </w:rPr>
              <w:t>DORALFL</w:t>
            </w:r>
          </w:p>
        </w:tc>
        <w:tc>
          <w:tcPr>
            <w:tcW w:w="900" w:type="dxa"/>
            <w:vAlign w:val="bottom"/>
          </w:tcPr>
          <w:p>
            <w:pPr>
              <w:jc w:val="right"/>
              <w:spacing w:after="0"/>
              <w:rPr>
                <w:sz w:val="20"/>
                <w:szCs w:val="20"/>
                <w:color w:val="auto"/>
              </w:rPr>
            </w:pPr>
            <w:r>
              <w:rPr>
                <w:rFonts w:ascii="Arial" w:cs="Arial" w:eastAsia="Arial" w:hAnsi="Arial"/>
                <w:sz w:val="20"/>
                <w:szCs w:val="20"/>
                <w:color w:val="0000FF"/>
              </w:rPr>
              <w:t>33172</w:t>
            </w:r>
          </w:p>
        </w:tc>
      </w:tr>
    </w:tbl>
    <w:p>
      <w:pPr>
        <w:spacing w:after="0" w:line="20" w:lineRule="exact"/>
        <w:rPr>
          <w:sz w:val="24"/>
          <w:szCs w:val="24"/>
          <w:color w:val="auto"/>
        </w:rPr>
      </w:pPr>
      <w:r>
        <w:rPr>
          <w:sz w:val="24"/>
          <w:szCs w:val="24"/>
          <w:color w:val="auto"/>
        </w:rPr>
        <w:br w:type="column"/>
      </w:r>
    </w:p>
    <w:p>
      <w:pPr>
        <w:ind w:left="3" w:right="300" w:hanging="3"/>
        <w:spacing w:after="0" w:line="236"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8" w:lineRule="exact"/>
        <w:rPr>
          <w:sz w:val="24"/>
          <w:szCs w:val="24"/>
          <w:color w:val="auto"/>
        </w:rPr>
      </w:pPr>
    </w:p>
    <w:tbl>
      <w:tblPr>
        <w:tblLayout w:type="fixed"/>
        <w:tblInd w:w="183" w:type="dxa"/>
        <w:tblCellMar>
          <w:top w:w="0" w:type="dxa"/>
          <w:left w:w="0" w:type="dxa"/>
          <w:bottom w:w="0" w:type="dxa"/>
          <w:right w:w="0" w:type="dxa"/>
        </w:tblCellMar>
      </w:tblPr>
      <w:tr>
        <w:trPr>
          <w:trHeight w:val="190"/>
        </w:trPr>
        <w:tc>
          <w:tcPr>
            <w:tcW w:w="240" w:type="dxa"/>
            <w:vAlign w:val="bottom"/>
          </w:tcPr>
          <w:p>
            <w:pPr>
              <w:spacing w:after="0"/>
              <w:rPr>
                <w:sz w:val="16"/>
                <w:szCs w:val="16"/>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29"/>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463"/>
        <w:spacing w:after="0"/>
        <w:rPr>
          <w:sz w:val="20"/>
          <w:szCs w:val="20"/>
          <w:color w:val="auto"/>
        </w:rPr>
      </w:pPr>
      <w:r>
        <w:rPr>
          <w:rFonts w:ascii="Arial" w:cs="Arial" w:eastAsia="Arial" w:hAnsi="Arial"/>
          <w:sz w:val="20"/>
          <w:szCs w:val="20"/>
          <w:color w:val="0000FF"/>
        </w:rPr>
        <w:t>EVP and Chief Risk Officer</w:t>
      </w:r>
    </w:p>
    <w:p>
      <w:pPr>
        <w:spacing w:after="0" w:line="20" w:lineRule="exact"/>
        <w:rPr>
          <w:sz w:val="24"/>
          <w:szCs w:val="24"/>
          <w:color w:val="auto"/>
        </w:rPr>
      </w:pPr>
      <w:r>
        <w:rPr>
          <w:sz w:val="24"/>
          <w:szCs w:val="24"/>
          <w:color w:val="auto"/>
        </w:rPr>
        <w:br w:type="column"/>
      </w:r>
    </w:p>
    <w:p>
      <w:pPr>
        <w:ind w:left="-9" w:right="440" w:firstLine="9"/>
        <w:spacing w:after="0" w:line="253"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26" w:lineRule="exact"/>
        <w:rPr>
          <w:rFonts w:ascii="Arial" w:cs="Arial" w:eastAsia="Arial" w:hAnsi="Arial"/>
          <w:sz w:val="15"/>
          <w:szCs w:val="15"/>
          <w:color w:val="auto"/>
        </w:rPr>
      </w:pPr>
    </w:p>
    <w:p>
      <w:pPr>
        <w:ind w:left="-9" w:right="480" w:firstLine="9"/>
        <w:spacing w:after="0" w:line="246"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51" w:right="340" w:hanging="304"/>
        <w:spacing w:after="0" w:line="185" w:lineRule="auto"/>
        <w:tabs>
          <w:tab w:leader="none" w:pos="451" w:val="left"/>
        </w:tabs>
        <w:numPr>
          <w:ilvl w:val="0"/>
          <w:numId w:val="3"/>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51" w:right="32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23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5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0"/>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7"/>
              </w:rPr>
              <w:t>Class A Voting Common Stock</w:t>
            </w:r>
          </w:p>
        </w:tc>
        <w:tc>
          <w:tcPr>
            <w:tcW w:w="2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2,926</w:t>
            </w:r>
            <w:r>
              <w:rPr>
                <w:rFonts w:ascii="Arial" w:cs="Arial" w:eastAsia="Arial" w:hAnsi="Arial"/>
                <w:sz w:val="25"/>
                <w:szCs w:val="25"/>
                <w:color w:val="008000"/>
                <w:vertAlign w:val="superscript"/>
              </w:rPr>
              <w:t>(1)</w:t>
            </w:r>
          </w:p>
        </w:tc>
        <w:tc>
          <w:tcPr>
            <w:tcW w:w="1080" w:type="dxa"/>
            <w:vAlign w:val="bottom"/>
            <w:tcBorders>
              <w:bottom w:val="single" w:sz="8" w:color="2C2C2C"/>
            </w:tcBorders>
            <w:gridSpan w:val="2"/>
          </w:tcPr>
          <w:p>
            <w:pPr>
              <w:ind w:left="900"/>
              <w:spacing w:after="0"/>
              <w:rPr>
                <w:sz w:val="20"/>
                <w:szCs w:val="20"/>
                <w:color w:val="auto"/>
              </w:rPr>
            </w:pPr>
            <w:r>
              <w:rPr>
                <w:rFonts w:ascii="Arial" w:cs="Arial" w:eastAsia="Arial" w:hAnsi="Arial"/>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5520" w:type="dxa"/>
            <w:vAlign w:val="bottom"/>
            <w:tcBorders>
              <w:top w:val="single" w:sz="8" w:color="2C2C2C"/>
            </w:tcBorders>
            <w:gridSpan w:val="6"/>
          </w:tcPr>
          <w:p>
            <w:pPr>
              <w:ind w:left="1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2"/>
          </w:tcPr>
          <w:p>
            <w:pPr>
              <w:spacing w:after="0"/>
              <w:rPr>
                <w:sz w:val="3"/>
                <w:szCs w:val="3"/>
                <w:color w:val="auto"/>
              </w:rPr>
            </w:pPr>
          </w:p>
        </w:tc>
        <w:tc>
          <w:tcPr>
            <w:tcW w:w="26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40" w:type="dxa"/>
            <w:vAlign w:val="bottom"/>
          </w:tcPr>
          <w:p>
            <w:pPr>
              <w:spacing w:after="0"/>
              <w:rPr>
                <w:sz w:val="17"/>
                <w:szCs w:val="17"/>
                <w:color w:val="auto"/>
              </w:rPr>
            </w:pPr>
          </w:p>
        </w:tc>
        <w:tc>
          <w:tcPr>
            <w:tcW w:w="192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60" w:type="dxa"/>
            <w:vAlign w:val="bottom"/>
            <w:gridSpan w:val="3"/>
          </w:tcPr>
          <w:p>
            <w:pPr>
              <w:ind w:left="14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60" w:type="dxa"/>
            <w:vAlign w:val="bottom"/>
            <w:gridSpan w:val="3"/>
          </w:tcPr>
          <w:p>
            <w:pPr>
              <w:ind w:left="14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8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8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580" w:type="dxa"/>
            <w:vAlign w:val="bottom"/>
          </w:tcPr>
          <w:p>
            <w:pPr>
              <w:spacing w:after="0"/>
              <w:rPr>
                <w:sz w:val="14"/>
                <w:szCs w:val="14"/>
                <w:color w:val="auto"/>
              </w:rPr>
            </w:pPr>
          </w:p>
        </w:tc>
        <w:tc>
          <w:tcPr>
            <w:tcW w:w="1080" w:type="dxa"/>
            <w:vAlign w:val="bottom"/>
            <w:gridSpan w:val="2"/>
          </w:tcPr>
          <w:p>
            <w:pPr>
              <w:ind w:left="3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58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Title</w:t>
            </w: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80" w:type="dxa"/>
            <w:vAlign w:val="bottom"/>
            <w:vMerge w:val="continue"/>
          </w:tcPr>
          <w:p>
            <w:pPr>
              <w:spacing w:after="0"/>
              <w:rPr>
                <w:sz w:val="18"/>
                <w:szCs w:val="18"/>
                <w:color w:val="auto"/>
              </w:rPr>
            </w:pPr>
          </w:p>
        </w:tc>
        <w:tc>
          <w:tcPr>
            <w:tcW w:w="1080" w:type="dxa"/>
            <w:vAlign w:val="bottom"/>
            <w:gridSpan w:val="2"/>
          </w:tcPr>
          <w:p>
            <w:pPr>
              <w:ind w:left="3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50" w:lineRule="exact"/>
        <w:rPr>
          <w:sz w:val="24"/>
          <w:szCs w:val="24"/>
          <w:color w:val="auto"/>
        </w:rPr>
      </w:pPr>
    </w:p>
    <w:p>
      <w:pPr>
        <w:sectPr>
          <w:pgSz w:w="11900" w:h="16838" w:orient="portrait"/>
          <w:cols w:equalWidth="0" w:num="1">
            <w:col w:w="10940"/>
          </w:cols>
          <w:pgMar w:left="480" w:top="236" w:right="479" w:bottom="1440" w:gutter="0" w:footer="0" w:header="0"/>
          <w:type w:val="continuous"/>
        </w:sectPr>
      </w:pPr>
    </w:p>
    <w:p>
      <w:pPr>
        <w:ind w:left="100" w:right="20"/>
        <w:spacing w:after="0" w:line="269" w:lineRule="auto"/>
        <w:rPr>
          <w:sz w:val="20"/>
          <w:szCs w:val="20"/>
          <w:color w:val="auto"/>
        </w:rPr>
      </w:pPr>
      <w:r>
        <w:rPr>
          <w:rFonts w:ascii="Arial" w:cs="Arial" w:eastAsia="Arial" w:hAnsi="Arial"/>
          <w:sz w:val="20"/>
          <w:szCs w:val="20"/>
          <w:color w:val="0000FF"/>
        </w:rPr>
        <w:t>Stock Option-Class A Voting Common Stock</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900" w:type="dxa"/>
            <w:vAlign w:val="bottom"/>
            <w:vMerge w:val="restart"/>
          </w:tcPr>
          <w:p>
            <w:pPr>
              <w:jc w:val="right"/>
              <w:ind w:right="5"/>
              <w:spacing w:after="0"/>
              <w:rPr>
                <w:sz w:val="20"/>
                <w:szCs w:val="20"/>
                <w:color w:val="auto"/>
              </w:rPr>
            </w:pPr>
            <w:r>
              <w:rPr>
                <w:rFonts w:ascii="Arial" w:cs="Arial" w:eastAsia="Arial" w:hAnsi="Arial"/>
                <w:sz w:val="15"/>
                <w:szCs w:val="15"/>
                <w:color w:val="0000FF"/>
                <w:w w:val="83"/>
              </w:rPr>
              <w:t>09/27/2022</w:t>
            </w:r>
            <w:r>
              <w:rPr>
                <w:rFonts w:ascii="Arial" w:cs="Arial" w:eastAsia="Arial" w:hAnsi="Arial"/>
                <w:sz w:val="25"/>
                <w:szCs w:val="25"/>
                <w:color w:val="008000"/>
                <w:w w:val="83"/>
                <w:vertAlign w:val="superscript"/>
              </w:rPr>
              <w:t>(2)</w:t>
            </w:r>
          </w:p>
        </w:tc>
        <w:tc>
          <w:tcPr>
            <w:tcW w:w="1100" w:type="dxa"/>
            <w:vAlign w:val="bottom"/>
            <w:vMerge w:val="restart"/>
          </w:tcPr>
          <w:p>
            <w:pPr>
              <w:jc w:val="right"/>
              <w:ind w:right="105"/>
              <w:spacing w:after="0"/>
              <w:rPr>
                <w:sz w:val="20"/>
                <w:szCs w:val="20"/>
                <w:color w:val="auto"/>
              </w:rPr>
            </w:pPr>
            <w:r>
              <w:rPr>
                <w:rFonts w:ascii="Arial" w:cs="Arial" w:eastAsia="Arial" w:hAnsi="Arial"/>
                <w:sz w:val="15"/>
                <w:szCs w:val="15"/>
                <w:color w:val="0000FF"/>
                <w:w w:val="94"/>
              </w:rPr>
              <w:t>09/27/2031</w:t>
            </w:r>
            <w:r>
              <w:rPr>
                <w:rFonts w:ascii="Arial" w:cs="Arial" w:eastAsia="Arial" w:hAnsi="Arial"/>
                <w:sz w:val="25"/>
                <w:szCs w:val="25"/>
                <w:color w:val="008000"/>
                <w:w w:val="94"/>
                <w:vertAlign w:val="superscript"/>
              </w:rPr>
              <w:t>(3)</w:t>
            </w:r>
          </w:p>
        </w:tc>
        <w:tc>
          <w:tcPr>
            <w:tcW w:w="1620" w:type="dxa"/>
            <w:vAlign w:val="bottom"/>
          </w:tcPr>
          <w:p>
            <w:pPr>
              <w:ind w:left="220"/>
              <w:spacing w:after="0"/>
              <w:rPr>
                <w:sz w:val="20"/>
                <w:szCs w:val="20"/>
                <w:color w:val="auto"/>
              </w:rPr>
            </w:pPr>
            <w:r>
              <w:rPr>
                <w:rFonts w:ascii="Arial" w:cs="Arial" w:eastAsia="Arial" w:hAnsi="Arial"/>
                <w:sz w:val="20"/>
                <w:szCs w:val="20"/>
                <w:color w:val="0000FF"/>
              </w:rPr>
              <w:t>Class A Voting</w:t>
            </w:r>
          </w:p>
        </w:tc>
        <w:tc>
          <w:tcPr>
            <w:tcW w:w="920" w:type="dxa"/>
            <w:vAlign w:val="bottom"/>
            <w:vMerge w:val="restart"/>
          </w:tcPr>
          <w:p>
            <w:pPr>
              <w:jc w:val="right"/>
              <w:ind w:right="82"/>
              <w:spacing w:after="0"/>
              <w:rPr>
                <w:sz w:val="20"/>
                <w:szCs w:val="20"/>
                <w:color w:val="auto"/>
              </w:rPr>
            </w:pPr>
            <w:r>
              <w:rPr>
                <w:rFonts w:ascii="Arial" w:cs="Arial" w:eastAsia="Arial" w:hAnsi="Arial"/>
                <w:sz w:val="20"/>
                <w:szCs w:val="20"/>
                <w:color w:val="0000FF"/>
              </w:rPr>
              <w:t>15,000</w:t>
            </w:r>
          </w:p>
        </w:tc>
        <w:tc>
          <w:tcPr>
            <w:tcW w:w="960" w:type="dxa"/>
            <w:vAlign w:val="bottom"/>
            <w:vMerge w:val="restart"/>
          </w:tcPr>
          <w:p>
            <w:pPr>
              <w:jc w:val="right"/>
              <w:ind w:right="242"/>
              <w:spacing w:after="0"/>
              <w:rPr>
                <w:sz w:val="20"/>
                <w:szCs w:val="20"/>
                <w:color w:val="auto"/>
              </w:rPr>
            </w:pPr>
            <w:r>
              <w:rPr>
                <w:rFonts w:ascii="Arial" w:cs="Arial" w:eastAsia="Arial" w:hAnsi="Arial"/>
                <w:sz w:val="20"/>
                <w:szCs w:val="20"/>
                <w:color w:val="0000FF"/>
              </w:rPr>
              <w:t>12.05</w:t>
            </w:r>
          </w:p>
        </w:tc>
        <w:tc>
          <w:tcPr>
            <w:tcW w:w="480" w:type="dxa"/>
            <w:vAlign w:val="bottom"/>
            <w:vMerge w:val="restart"/>
          </w:tcPr>
          <w:p>
            <w:pPr>
              <w:ind w:left="340"/>
              <w:spacing w:after="0"/>
              <w:rPr>
                <w:sz w:val="20"/>
                <w:szCs w:val="20"/>
                <w:color w:val="auto"/>
              </w:rPr>
            </w:pPr>
            <w:r>
              <w:rPr>
                <w:rFonts w:ascii="Arial" w:cs="Arial" w:eastAsia="Arial" w:hAnsi="Arial"/>
                <w:sz w:val="20"/>
                <w:szCs w:val="20"/>
                <w:color w:val="0000FF"/>
                <w:w w:val="82"/>
              </w:rPr>
              <w:t>D</w:t>
            </w:r>
          </w:p>
        </w:tc>
        <w:tc>
          <w:tcPr>
            <w:tcW w:w="0" w:type="dxa"/>
            <w:vAlign w:val="bottom"/>
          </w:tcPr>
          <w:p>
            <w:pPr>
              <w:spacing w:after="0"/>
              <w:rPr>
                <w:sz w:val="1"/>
                <w:szCs w:val="1"/>
                <w:color w:val="auto"/>
              </w:rPr>
            </w:pPr>
          </w:p>
        </w:tc>
      </w:tr>
      <w:tr>
        <w:trPr>
          <w:trHeight w:val="190"/>
        </w:trPr>
        <w:tc>
          <w:tcPr>
            <w:tcW w:w="90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620" w:type="dxa"/>
            <w:vAlign w:val="bottom"/>
            <w:vMerge w:val="restart"/>
          </w:tcPr>
          <w:p>
            <w:pPr>
              <w:ind w:left="200"/>
              <w:spacing w:after="0"/>
              <w:rPr>
                <w:sz w:val="20"/>
                <w:szCs w:val="20"/>
                <w:color w:val="auto"/>
              </w:rPr>
            </w:pPr>
            <w:r>
              <w:rPr>
                <w:rFonts w:ascii="Arial" w:cs="Arial" w:eastAsia="Arial" w:hAnsi="Arial"/>
                <w:sz w:val="20"/>
                <w:szCs w:val="20"/>
                <w:color w:val="0000FF"/>
              </w:rPr>
              <w:t>Common Stock</w:t>
            </w:r>
          </w:p>
        </w:tc>
        <w:tc>
          <w:tcPr>
            <w:tcW w:w="9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9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sectPr>
          <w:pgSz w:w="11900" w:h="16838" w:orient="portrait"/>
          <w:cols w:equalWidth="0" w:num="2">
            <w:col w:w="2380" w:space="720"/>
            <w:col w:w="7840"/>
          </w:cols>
          <w:pgMar w:left="480" w:top="236" w:right="479" w:bottom="1440" w:gutter="0" w:footer="0" w:header="0"/>
          <w:type w:val="continuous"/>
        </w:sect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Includes 2,426 shares of restricted stock which vest at a rate of one-third per year commencing on the first anniversary of the date of grant which was 3/8/2023.</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stock options vest pro rata at a rate of one-third per year commencing on the first anniversary of the date of grant.</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 stock options remain exercisable until the earlier of (i) 10 years after the date of grant or (ii) three months after the Reporting Person ceases to be employed by the Issuer.</w:t>
      </w:r>
    </w:p>
    <w:p>
      <w:pPr>
        <w:spacing w:after="0" w:line="8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20"/>
                <w:szCs w:val="20"/>
                <w:color w:val="0000FF"/>
              </w:rPr>
              <w:t>/s/ Maricarmen Logrono</w:t>
            </w:r>
          </w:p>
        </w:tc>
        <w:tc>
          <w:tcPr>
            <w:tcW w:w="880" w:type="dxa"/>
            <w:vAlign w:val="bottom"/>
          </w:tcPr>
          <w:p>
            <w:pPr>
              <w:spacing w:after="0"/>
              <w:rPr>
                <w:sz w:val="20"/>
                <w:szCs w:val="20"/>
                <w:color w:val="auto"/>
              </w:rPr>
            </w:pPr>
            <w:r>
              <w:rPr>
                <w:rFonts w:ascii="Arial" w:cs="Arial" w:eastAsia="Arial" w:hAnsi="Arial"/>
                <w:sz w:val="20"/>
                <w:szCs w:val="20"/>
                <w:color w:val="0000FF"/>
                <w:w w:val="85"/>
              </w:rPr>
              <w:t>11/07/2023</w:t>
            </w:r>
          </w:p>
        </w:tc>
        <w:tc>
          <w:tcPr>
            <w:tcW w:w="0" w:type="dxa"/>
            <w:vAlign w:val="bottom"/>
          </w:tcPr>
          <w:p>
            <w:pPr>
              <w:spacing w:after="0"/>
              <w:rPr>
                <w:sz w:val="1"/>
                <w:szCs w:val="1"/>
                <w:color w:val="auto"/>
              </w:rPr>
            </w:pPr>
          </w:p>
        </w:tc>
      </w:tr>
      <w:tr>
        <w:trPr>
          <w:trHeight w:val="239"/>
        </w:trPr>
        <w:tc>
          <w:tcPr>
            <w:tcW w:w="6540" w:type="dxa"/>
            <w:vAlign w:val="bottom"/>
          </w:tcPr>
          <w:p>
            <w:pPr>
              <w:spacing w:after="0"/>
              <w:rPr>
                <w:sz w:val="20"/>
                <w:szCs w:val="20"/>
                <w:color w:val="auto"/>
              </w:rPr>
            </w:pPr>
          </w:p>
        </w:tc>
        <w:tc>
          <w:tcPr>
            <w:tcW w:w="19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280" w:type="dxa"/>
            <w:vAlign w:val="bottom"/>
          </w:tcPr>
          <w:p>
            <w:pPr>
              <w:spacing w:after="0"/>
              <w:rPr>
                <w:sz w:val="20"/>
                <w:szCs w:val="20"/>
                <w:color w:val="auto"/>
              </w:rPr>
            </w:pPr>
          </w:p>
        </w:tc>
        <w:tc>
          <w:tcPr>
            <w:tcW w:w="880" w:type="dxa"/>
            <w:vAlign w:val="bottom"/>
            <w:tcBorders>
              <w:top w:val="single" w:sz="8" w:color="auto"/>
            </w:tcBorders>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color w:val="auto"/>
        </w:rPr>
        <w:t>Exhibit 24</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POWER OF ATTORNEY</w:t>
      </w:r>
    </w:p>
    <w:p>
      <w:pPr>
        <w:spacing w:after="0" w:line="200" w:lineRule="exact"/>
        <w:rPr>
          <w:sz w:val="20"/>
          <w:szCs w:val="20"/>
          <w:color w:val="auto"/>
        </w:rPr>
      </w:pPr>
    </w:p>
    <w:p>
      <w:pPr>
        <w:spacing w:after="0" w:line="29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Know all by these presents, that the undersigned hereby constitutes and appoints each of Robert Anderson and Luis de la</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Aguilera, signing singly, the undersigned's true and lawful attorney-in-fact to:</w:t>
      </w:r>
    </w:p>
    <w:p>
      <w:pPr>
        <w:spacing w:after="0" w:line="234" w:lineRule="exact"/>
        <w:rPr>
          <w:sz w:val="20"/>
          <w:szCs w:val="20"/>
          <w:color w:val="auto"/>
        </w:rPr>
      </w:pPr>
    </w:p>
    <w:p>
      <w:pPr>
        <w:ind w:right="40" w:firstLine="720"/>
        <w:spacing w:after="0" w:line="335" w:lineRule="auto"/>
        <w:tabs>
          <w:tab w:leader="none" w:pos="1004"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individual capacity, Forms 3, 4, and 5 in accordance with Section 16(a) of the Securities Exchange Act of 1934, and the rules and regulations promulgated thereunder (the “Exchange Act”);</w:t>
      </w:r>
    </w:p>
    <w:p>
      <w:pPr>
        <w:spacing w:after="0" w:line="142" w:lineRule="exact"/>
        <w:rPr>
          <w:rFonts w:ascii="Arial" w:cs="Arial" w:eastAsia="Arial" w:hAnsi="Arial"/>
          <w:sz w:val="18"/>
          <w:szCs w:val="18"/>
          <w:color w:val="auto"/>
        </w:rPr>
      </w:pPr>
    </w:p>
    <w:p>
      <w:pPr>
        <w:ind w:right="40" w:firstLine="720"/>
        <w:spacing w:after="0" w:line="306" w:lineRule="auto"/>
        <w:tabs>
          <w:tab w:leader="none" w:pos="1004"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 Form ID (if necessary) and any such Form 3, 4, or 5, complete and execute any amendment or amendments thereto and timely file such form with the United States Securities and Exchange Commission and any stock exchange or similar authority; and</w:t>
      </w:r>
    </w:p>
    <w:p>
      <w:pPr>
        <w:spacing w:after="0" w:line="168" w:lineRule="exact"/>
        <w:rPr>
          <w:rFonts w:ascii="Arial" w:cs="Arial" w:eastAsia="Arial" w:hAnsi="Arial"/>
          <w:sz w:val="18"/>
          <w:szCs w:val="18"/>
          <w:color w:val="auto"/>
        </w:rPr>
      </w:pPr>
    </w:p>
    <w:p>
      <w:pPr>
        <w:ind w:firstLine="720"/>
        <w:spacing w:after="0" w:line="277" w:lineRule="auto"/>
        <w:tabs>
          <w:tab w:leader="none" w:pos="1004" w:val="left"/>
        </w:tabs>
        <w:numPr>
          <w:ilvl w:val="0"/>
          <w:numId w:val="6"/>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ind w:right="40" w:firstLine="720"/>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USCB Financial Holdings, Inc. (the “Company”) assuming, any of the undersigned's responsibilities to comply with Section 16 of the Exchange Act.</w:t>
      </w:r>
    </w:p>
    <w:p>
      <w:pPr>
        <w:spacing w:after="0" w:line="188" w:lineRule="exact"/>
        <w:rPr>
          <w:sz w:val="20"/>
          <w:szCs w:val="20"/>
          <w:color w:val="auto"/>
        </w:rPr>
      </w:pPr>
    </w:p>
    <w:p>
      <w:pPr>
        <w:ind w:right="4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xml:space="preserve">IN WITNESS WHEREOF, the undersigned has caused this Power of Attorney to be executed as of this </w:t>
      </w:r>
      <w:r>
        <w:rPr>
          <w:rFonts w:ascii="Arial" w:cs="Arial" w:eastAsia="Arial" w:hAnsi="Arial"/>
          <w:sz w:val="18"/>
          <w:szCs w:val="18"/>
          <w:u w:val="single" w:color="auto"/>
          <w:color w:val="auto"/>
        </w:rPr>
        <w:t>31st</w:t>
      </w:r>
      <w:r>
        <w:rPr>
          <w:rFonts w:ascii="Arial" w:cs="Arial" w:eastAsia="Arial" w:hAnsi="Arial"/>
          <w:sz w:val="18"/>
          <w:szCs w:val="18"/>
          <w:color w:val="auto"/>
        </w:rPr>
        <w:t xml:space="preserve"> day of October</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2023.</w:t>
      </w:r>
    </w:p>
    <w:p>
      <w:pPr>
        <w:spacing w:after="0" w:line="200" w:lineRule="exact"/>
        <w:rPr>
          <w:sz w:val="20"/>
          <w:szCs w:val="20"/>
          <w:color w:val="auto"/>
        </w:rPr>
      </w:pPr>
    </w:p>
    <w:p>
      <w:pPr>
        <w:spacing w:after="0" w:line="274"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By: /s/Maricarmen Logroño</w:t>
      </w:r>
    </w:p>
    <w:p>
      <w:pPr>
        <w:spacing w:after="0" w:line="2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Maricarmen Logroño</w:t>
      </w:r>
    </w:p>
    <w:sectPr>
      <w:pgSz w:w="11900" w:h="16838" w:orient="portrait"/>
      <w:cols w:equalWidth="0" w:num="1">
        <w:col w:w="10940"/>
      </w:cols>
      <w:pgMar w:left="480" w:top="363"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99607" TargetMode="External"/><Relationship Id="rId11"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2023-11-07T12:17:37Z</dcterms:created>
  <dcterms:modified xsi:type="dcterms:W3CDTF">2023-11-07T12:17:37Z</dcterms:modified>
</cp:coreProperties>
</file>