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409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GUERRA-KATTOU MARTHA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2,655 shares of restricted stock which vest at a rate of one-third per year commencing on the first anniversary of the date of grant, which was 1/22/2024, and 3,289 shares of restricted stock which vest at a rate of one-third per year commencing on the first anniversary of the date of grant, which was 3/8/2023.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Martha Guerra-Kattou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108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962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2024-03-11T12:31:43Z</dcterms:created>
  <dcterms:modified xsi:type="dcterms:W3CDTF">2024-03-11T12:31:43Z</dcterms:modified>
</cp:coreProperties>
</file>