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26"/>
          <w:szCs w:val="26"/>
          <w:b w:val="1"/>
          <w:bCs w:val="1"/>
          <w:color w:val="auto"/>
        </w:rPr>
        <w:drawing>
          <wp:anchor simplePos="0" relativeHeight="251657728" behindDoc="1" locked="0" layoutInCell="0" allowOverlap="1">
            <wp:simplePos x="0" y="0"/>
            <wp:positionH relativeFrom="page">
              <wp:posOffset>193675</wp:posOffset>
            </wp:positionH>
            <wp:positionV relativeFrom="page">
              <wp:posOffset>142875</wp:posOffset>
            </wp:positionV>
            <wp:extent cx="7160895" cy="104616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0895" cy="10461625"/>
                    </a:xfrm>
                    <a:prstGeom prst="rect">
                      <a:avLst/>
                    </a:prstGeom>
                    <a:noFill/>
                  </pic:spPr>
                </pic:pic>
              </a:graphicData>
            </a:graphic>
          </wp:anchor>
        </w:drawing>
        <w:t>UNITED STATES</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6"/>
          <w:szCs w:val="26"/>
          <w:b w:val="1"/>
          <w:bCs w:val="1"/>
          <w:color w:val="auto"/>
        </w:rPr>
        <w:t>SECURITIES AND EXCHANGE COMMISSION</w:t>
      </w:r>
    </w:p>
    <w:p>
      <w:pPr>
        <w:ind w:left="3540"/>
        <w:spacing w:after="0"/>
        <w:rPr>
          <w:sz w:val="20"/>
          <w:szCs w:val="20"/>
          <w:color w:val="auto"/>
        </w:rPr>
      </w:pPr>
      <w:r>
        <w:rPr>
          <w:rFonts w:ascii="Arial" w:cs="Arial" w:eastAsia="Arial" w:hAnsi="Arial"/>
          <w:sz w:val="16"/>
          <w:szCs w:val="16"/>
          <w:b w:val="1"/>
          <w:bCs w:val="1"/>
          <w:color w:val="auto"/>
        </w:rPr>
        <w:t>WASHINGTON, D.C. 20549</w:t>
      </w:r>
    </w:p>
    <w:p>
      <w:pPr>
        <w:ind w:left="3580"/>
        <w:spacing w:after="0"/>
        <w:rPr>
          <w:sz w:val="20"/>
          <w:szCs w:val="20"/>
          <w:color w:val="auto"/>
        </w:rPr>
      </w:pPr>
      <w:r>
        <w:rPr>
          <w:rFonts w:ascii="Arial" w:cs="Arial" w:eastAsia="Arial" w:hAnsi="Arial"/>
          <w:sz w:val="14"/>
          <w:szCs w:val="14"/>
          <w:color w:val="auto"/>
        </w:rPr>
        <w:t>__________________________</w:t>
      </w:r>
    </w:p>
    <w:p>
      <w:pPr>
        <w:jc w:val="center"/>
        <w:spacing w:after="0" w:line="239" w:lineRule="auto"/>
        <w:rPr>
          <w:sz w:val="20"/>
          <w:szCs w:val="20"/>
          <w:color w:val="auto"/>
        </w:rPr>
      </w:pPr>
      <w:r>
        <w:rPr>
          <w:rFonts w:ascii="Arial" w:cs="Arial" w:eastAsia="Arial" w:hAnsi="Arial"/>
          <w:sz w:val="26"/>
          <w:szCs w:val="26"/>
          <w:b w:val="1"/>
          <w:bCs w:val="1"/>
          <w:color w:val="auto"/>
        </w:rPr>
        <w:t>FORM 8-K</w:t>
      </w:r>
    </w:p>
    <w:p>
      <w:pPr>
        <w:ind w:left="3580"/>
        <w:spacing w:after="0"/>
        <w:rPr>
          <w:sz w:val="20"/>
          <w:szCs w:val="20"/>
          <w:color w:val="auto"/>
        </w:rPr>
      </w:pPr>
      <w:r>
        <w:rPr>
          <w:rFonts w:ascii="Arial" w:cs="Arial" w:eastAsia="Arial" w:hAnsi="Arial"/>
          <w:sz w:val="14"/>
          <w:szCs w:val="14"/>
          <w:color w:val="auto"/>
        </w:rPr>
        <w:t>__________________________</w:t>
      </w:r>
    </w:p>
    <w:p>
      <w:pPr>
        <w:spacing w:after="0" w:line="117"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CURRENT REPORT</w:t>
      </w:r>
    </w:p>
    <w:p>
      <w:pPr>
        <w:spacing w:after="0" w:line="115"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Pursuant to Section 13 or 15(d) of the Securities Exchange Act of 1934</w:t>
      </w:r>
    </w:p>
    <w:p>
      <w:pPr>
        <w:spacing w:after="0" w:line="12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Date of Report (Date of earliest event reported): July 28, 2022</w:t>
      </w:r>
    </w:p>
    <w:p>
      <w:pPr>
        <w:spacing w:after="0" w:line="18" w:lineRule="exact"/>
        <w:rPr>
          <w:sz w:val="24"/>
          <w:szCs w:val="24"/>
          <w:color w:val="auto"/>
        </w:rPr>
      </w:pPr>
    </w:p>
    <w:p>
      <w:pPr>
        <w:ind w:left="3580"/>
        <w:spacing w:after="0"/>
        <w:rPr>
          <w:sz w:val="20"/>
          <w:szCs w:val="20"/>
          <w:color w:val="auto"/>
        </w:rPr>
      </w:pPr>
      <w:r>
        <w:rPr>
          <w:rFonts w:ascii="Arial" w:cs="Arial" w:eastAsia="Arial" w:hAnsi="Arial"/>
          <w:sz w:val="14"/>
          <w:szCs w:val="14"/>
          <w:color w:val="auto"/>
        </w:rPr>
        <w:t>__________________________</w:t>
      </w:r>
    </w:p>
    <w:p>
      <w:pPr>
        <w:spacing w:after="0" w:line="142" w:lineRule="exact"/>
        <w:rPr>
          <w:sz w:val="24"/>
          <w:szCs w:val="24"/>
          <w:color w:val="auto"/>
        </w:rPr>
      </w:pPr>
    </w:p>
    <w:p>
      <w:pPr>
        <w:jc w:val="center"/>
        <w:ind w:right="19"/>
        <w:spacing w:after="0"/>
        <w:rPr>
          <w:sz w:val="20"/>
          <w:szCs w:val="20"/>
          <w:color w:val="auto"/>
        </w:rPr>
      </w:pPr>
      <w:r>
        <w:rPr>
          <w:rFonts w:ascii="Arial" w:cs="Arial" w:eastAsia="Arial" w:hAnsi="Arial"/>
          <w:sz w:val="31"/>
          <w:szCs w:val="31"/>
          <w:b w:val="1"/>
          <w:bCs w:val="1"/>
          <w:color w:val="auto"/>
        </w:rPr>
        <w:t>USCB Financial Holdings, Inc.</w:t>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126" w:lineRule="exact"/>
        <w:rPr>
          <w:sz w:val="24"/>
          <w:szCs w:val="24"/>
          <w:color w:val="auto"/>
        </w:rPr>
      </w:pPr>
    </w:p>
    <w:p>
      <w:pPr>
        <w:ind w:left="3600"/>
        <w:spacing w:after="0"/>
        <w:rPr>
          <w:sz w:val="20"/>
          <w:szCs w:val="20"/>
          <w:color w:val="auto"/>
        </w:rPr>
      </w:pPr>
      <w:r>
        <w:rPr>
          <w:rFonts w:ascii="Arial" w:cs="Arial" w:eastAsia="Arial" w:hAnsi="Arial"/>
          <w:sz w:val="14"/>
          <w:szCs w:val="14"/>
          <w:color w:val="auto"/>
        </w:rPr>
        <w:t>__________________________</w:t>
      </w:r>
    </w:p>
    <w:p>
      <w:pPr>
        <w:spacing w:after="0" w:line="325" w:lineRule="exact"/>
        <w:rPr>
          <w:sz w:val="24"/>
          <w:szCs w:val="24"/>
          <w:color w:val="auto"/>
        </w:rPr>
      </w:pPr>
    </w:p>
    <w:tbl>
      <w:tblPr>
        <w:tblLayout w:type="fixed"/>
        <w:tblInd w:w="720" w:type="dxa"/>
        <w:tblCellMar>
          <w:top w:w="0" w:type="dxa"/>
          <w:left w:w="0" w:type="dxa"/>
          <w:bottom w:w="0" w:type="dxa"/>
          <w:right w:w="0" w:type="dxa"/>
        </w:tblCellMar>
      </w:tblPr>
      <w:tr>
        <w:trPr>
          <w:trHeight w:val="161"/>
        </w:trPr>
        <w:tc>
          <w:tcPr>
            <w:tcW w:w="2680" w:type="dxa"/>
            <w:vAlign w:val="bottom"/>
          </w:tcPr>
          <w:p>
            <w:pPr>
              <w:jc w:val="center"/>
              <w:ind w:right="169"/>
              <w:spacing w:after="0"/>
              <w:rPr>
                <w:sz w:val="20"/>
                <w:szCs w:val="20"/>
                <w:color w:val="auto"/>
              </w:rPr>
            </w:pPr>
            <w:r>
              <w:rPr>
                <w:rFonts w:ascii="Arial" w:cs="Arial" w:eastAsia="Arial" w:hAnsi="Arial"/>
                <w:sz w:val="14"/>
                <w:szCs w:val="14"/>
                <w:b w:val="1"/>
                <w:bCs w:val="1"/>
                <w:color w:val="auto"/>
                <w:w w:val="94"/>
              </w:rPr>
              <w:t>Florida</w:t>
            </w:r>
          </w:p>
        </w:tc>
        <w:tc>
          <w:tcPr>
            <w:tcW w:w="2520" w:type="dxa"/>
            <w:vAlign w:val="bottom"/>
          </w:tcPr>
          <w:p>
            <w:pPr>
              <w:jc w:val="right"/>
              <w:ind w:right="1049"/>
              <w:spacing w:after="0"/>
              <w:rPr>
                <w:sz w:val="20"/>
                <w:szCs w:val="20"/>
                <w:color w:val="auto"/>
              </w:rPr>
            </w:pPr>
            <w:r>
              <w:rPr>
                <w:rFonts w:ascii="Arial" w:cs="Arial" w:eastAsia="Arial" w:hAnsi="Arial"/>
                <w:sz w:val="14"/>
                <w:szCs w:val="14"/>
                <w:b w:val="1"/>
                <w:bCs w:val="1"/>
                <w:color w:val="auto"/>
              </w:rPr>
              <w:t>001-41196</w:t>
            </w:r>
          </w:p>
        </w:tc>
        <w:tc>
          <w:tcPr>
            <w:tcW w:w="1700" w:type="dxa"/>
            <w:vAlign w:val="bottom"/>
          </w:tcPr>
          <w:p>
            <w:pPr>
              <w:jc w:val="center"/>
              <w:ind w:left="509"/>
              <w:spacing w:after="0"/>
              <w:rPr>
                <w:sz w:val="20"/>
                <w:szCs w:val="20"/>
                <w:color w:val="auto"/>
              </w:rPr>
            </w:pPr>
            <w:r>
              <w:rPr>
                <w:rFonts w:ascii="Arial" w:cs="Arial" w:eastAsia="Arial" w:hAnsi="Arial"/>
                <w:sz w:val="14"/>
                <w:szCs w:val="14"/>
                <w:b w:val="1"/>
                <w:bCs w:val="1"/>
                <w:color w:val="auto"/>
                <w:w w:val="90"/>
              </w:rPr>
              <w:t>87-4070846</w:t>
            </w:r>
          </w:p>
        </w:tc>
      </w:tr>
      <w:tr>
        <w:trPr>
          <w:trHeight w:val="160"/>
        </w:trPr>
        <w:tc>
          <w:tcPr>
            <w:tcW w:w="2680" w:type="dxa"/>
            <w:vAlign w:val="bottom"/>
          </w:tcPr>
          <w:p>
            <w:pPr>
              <w:jc w:val="center"/>
              <w:ind w:right="169"/>
              <w:spacing w:after="0"/>
              <w:rPr>
                <w:sz w:val="20"/>
                <w:szCs w:val="20"/>
                <w:color w:val="auto"/>
              </w:rPr>
            </w:pPr>
            <w:r>
              <w:rPr>
                <w:rFonts w:ascii="Arial" w:cs="Arial" w:eastAsia="Arial" w:hAnsi="Arial"/>
                <w:sz w:val="14"/>
                <w:szCs w:val="14"/>
                <w:b w:val="1"/>
                <w:bCs w:val="1"/>
                <w:color w:val="auto"/>
                <w:w w:val="92"/>
              </w:rPr>
              <w:t>(State or Other Jurisdiction</w:t>
            </w:r>
          </w:p>
        </w:tc>
        <w:tc>
          <w:tcPr>
            <w:tcW w:w="2520" w:type="dxa"/>
            <w:vAlign w:val="bottom"/>
          </w:tcPr>
          <w:p>
            <w:pPr>
              <w:jc w:val="center"/>
              <w:ind w:right="249"/>
              <w:spacing w:after="0"/>
              <w:rPr>
                <w:sz w:val="20"/>
                <w:szCs w:val="20"/>
                <w:color w:val="auto"/>
              </w:rPr>
            </w:pPr>
            <w:r>
              <w:rPr>
                <w:rFonts w:ascii="Arial" w:cs="Arial" w:eastAsia="Arial" w:hAnsi="Arial"/>
                <w:sz w:val="14"/>
                <w:szCs w:val="14"/>
                <w:b w:val="1"/>
                <w:bCs w:val="1"/>
                <w:color w:val="auto"/>
                <w:w w:val="92"/>
              </w:rPr>
              <w:t>(Commission File Number)</w:t>
            </w:r>
          </w:p>
        </w:tc>
        <w:tc>
          <w:tcPr>
            <w:tcW w:w="1700" w:type="dxa"/>
            <w:vAlign w:val="bottom"/>
          </w:tcPr>
          <w:p>
            <w:pPr>
              <w:jc w:val="center"/>
              <w:ind w:left="509"/>
              <w:spacing w:after="0"/>
              <w:rPr>
                <w:sz w:val="20"/>
                <w:szCs w:val="20"/>
                <w:color w:val="auto"/>
              </w:rPr>
            </w:pPr>
            <w:r>
              <w:rPr>
                <w:rFonts w:ascii="Arial" w:cs="Arial" w:eastAsia="Arial" w:hAnsi="Arial"/>
                <w:sz w:val="14"/>
                <w:szCs w:val="14"/>
                <w:b w:val="1"/>
                <w:bCs w:val="1"/>
                <w:color w:val="auto"/>
                <w:w w:val="96"/>
              </w:rPr>
              <w:t>(IRS Employer</w:t>
            </w:r>
          </w:p>
        </w:tc>
      </w:tr>
      <w:tr>
        <w:trPr>
          <w:trHeight w:val="184"/>
        </w:trPr>
        <w:tc>
          <w:tcPr>
            <w:tcW w:w="2680" w:type="dxa"/>
            <w:vAlign w:val="bottom"/>
          </w:tcPr>
          <w:p>
            <w:pPr>
              <w:jc w:val="center"/>
              <w:ind w:right="169"/>
              <w:spacing w:after="0"/>
              <w:rPr>
                <w:sz w:val="20"/>
                <w:szCs w:val="20"/>
                <w:color w:val="auto"/>
              </w:rPr>
            </w:pPr>
            <w:r>
              <w:rPr>
                <w:rFonts w:ascii="Arial" w:cs="Arial" w:eastAsia="Arial" w:hAnsi="Arial"/>
                <w:sz w:val="14"/>
                <w:szCs w:val="14"/>
                <w:b w:val="1"/>
                <w:bCs w:val="1"/>
                <w:color w:val="auto"/>
                <w:w w:val="92"/>
              </w:rPr>
              <w:t>of Incorporation)</w:t>
            </w:r>
          </w:p>
        </w:tc>
        <w:tc>
          <w:tcPr>
            <w:tcW w:w="2520" w:type="dxa"/>
            <w:vAlign w:val="bottom"/>
          </w:tcPr>
          <w:p>
            <w:pPr>
              <w:spacing w:after="0"/>
              <w:rPr>
                <w:sz w:val="16"/>
                <w:szCs w:val="16"/>
                <w:color w:val="auto"/>
              </w:rPr>
            </w:pPr>
          </w:p>
        </w:tc>
        <w:tc>
          <w:tcPr>
            <w:tcW w:w="1700" w:type="dxa"/>
            <w:vAlign w:val="bottom"/>
          </w:tcPr>
          <w:p>
            <w:pPr>
              <w:jc w:val="center"/>
              <w:ind w:left="509"/>
              <w:spacing w:after="0"/>
              <w:rPr>
                <w:sz w:val="20"/>
                <w:szCs w:val="20"/>
                <w:color w:val="auto"/>
              </w:rPr>
            </w:pPr>
            <w:r>
              <w:rPr>
                <w:rFonts w:ascii="Arial" w:cs="Arial" w:eastAsia="Arial" w:hAnsi="Arial"/>
                <w:sz w:val="14"/>
                <w:szCs w:val="14"/>
                <w:b w:val="1"/>
                <w:bCs w:val="1"/>
                <w:color w:val="auto"/>
                <w:w w:val="94"/>
              </w:rPr>
              <w:t>Identification No.)</w:t>
            </w:r>
          </w:p>
        </w:tc>
      </w:tr>
      <w:tr>
        <w:trPr>
          <w:trHeight w:val="307"/>
        </w:trPr>
        <w:tc>
          <w:tcPr>
            <w:tcW w:w="2680" w:type="dxa"/>
            <w:vAlign w:val="bottom"/>
          </w:tcPr>
          <w:p>
            <w:pPr>
              <w:jc w:val="center"/>
              <w:ind w:right="169"/>
              <w:spacing w:after="0"/>
              <w:rPr>
                <w:sz w:val="20"/>
                <w:szCs w:val="20"/>
                <w:color w:val="auto"/>
              </w:rPr>
            </w:pPr>
            <w:r>
              <w:rPr>
                <w:rFonts w:ascii="Arial" w:cs="Arial" w:eastAsia="Arial" w:hAnsi="Arial"/>
                <w:sz w:val="14"/>
                <w:szCs w:val="14"/>
                <w:b w:val="1"/>
                <w:bCs w:val="1"/>
                <w:color w:val="auto"/>
                <w:w w:val="91"/>
              </w:rPr>
              <w:t>2301 N.W. 87th Avenue ,</w:t>
            </w:r>
          </w:p>
        </w:tc>
        <w:tc>
          <w:tcPr>
            <w:tcW w:w="2520" w:type="dxa"/>
            <w:vAlign w:val="bottom"/>
          </w:tcPr>
          <w:p>
            <w:pPr>
              <w:spacing w:after="0"/>
              <w:rPr>
                <w:sz w:val="24"/>
                <w:szCs w:val="24"/>
                <w:color w:val="auto"/>
              </w:rPr>
            </w:pPr>
          </w:p>
        </w:tc>
        <w:tc>
          <w:tcPr>
            <w:tcW w:w="1700" w:type="dxa"/>
            <w:vAlign w:val="bottom"/>
          </w:tcPr>
          <w:p>
            <w:pPr>
              <w:jc w:val="center"/>
              <w:ind w:left="509"/>
              <w:spacing w:after="0"/>
              <w:rPr>
                <w:sz w:val="20"/>
                <w:szCs w:val="20"/>
                <w:color w:val="auto"/>
              </w:rPr>
            </w:pPr>
            <w:r>
              <w:rPr>
                <w:rFonts w:ascii="Arial" w:cs="Arial" w:eastAsia="Arial" w:hAnsi="Arial"/>
                <w:sz w:val="14"/>
                <w:szCs w:val="14"/>
                <w:b w:val="1"/>
                <w:bCs w:val="1"/>
                <w:color w:val="auto"/>
                <w:w w:val="92"/>
              </w:rPr>
              <w:t>33172</w:t>
            </w:r>
          </w:p>
        </w:tc>
      </w:tr>
      <w:tr>
        <w:trPr>
          <w:trHeight w:val="171"/>
        </w:trPr>
        <w:tc>
          <w:tcPr>
            <w:tcW w:w="2680" w:type="dxa"/>
            <w:vAlign w:val="bottom"/>
          </w:tcPr>
          <w:p>
            <w:pPr>
              <w:jc w:val="center"/>
              <w:ind w:right="169"/>
              <w:spacing w:after="0"/>
              <w:rPr>
                <w:sz w:val="20"/>
                <w:szCs w:val="20"/>
                <w:color w:val="auto"/>
              </w:rPr>
            </w:pPr>
            <w:r>
              <w:rPr>
                <w:rFonts w:ascii="Arial" w:cs="Arial" w:eastAsia="Arial" w:hAnsi="Arial"/>
                <w:sz w:val="14"/>
                <w:szCs w:val="14"/>
                <w:b w:val="1"/>
                <w:bCs w:val="1"/>
                <w:color w:val="auto"/>
                <w:w w:val="97"/>
              </w:rPr>
              <w:t>Miami, Florida</w:t>
            </w:r>
          </w:p>
        </w:tc>
        <w:tc>
          <w:tcPr>
            <w:tcW w:w="2520" w:type="dxa"/>
            <w:vAlign w:val="bottom"/>
          </w:tcPr>
          <w:p>
            <w:pPr>
              <w:spacing w:after="0"/>
              <w:rPr>
                <w:sz w:val="14"/>
                <w:szCs w:val="14"/>
                <w:color w:val="auto"/>
              </w:rPr>
            </w:pPr>
          </w:p>
        </w:tc>
        <w:tc>
          <w:tcPr>
            <w:tcW w:w="1700" w:type="dxa"/>
            <w:vAlign w:val="bottom"/>
          </w:tcPr>
          <w:p>
            <w:pPr>
              <w:spacing w:after="0"/>
              <w:rPr>
                <w:sz w:val="14"/>
                <w:szCs w:val="14"/>
                <w:color w:val="auto"/>
              </w:rPr>
            </w:pPr>
          </w:p>
        </w:tc>
      </w:tr>
      <w:tr>
        <w:trPr>
          <w:trHeight w:val="184"/>
        </w:trPr>
        <w:tc>
          <w:tcPr>
            <w:tcW w:w="2680" w:type="dxa"/>
            <w:vAlign w:val="bottom"/>
          </w:tcPr>
          <w:p>
            <w:pPr>
              <w:jc w:val="center"/>
              <w:ind w:right="189"/>
              <w:spacing w:after="0"/>
              <w:rPr>
                <w:sz w:val="20"/>
                <w:szCs w:val="20"/>
                <w:color w:val="auto"/>
              </w:rPr>
            </w:pPr>
            <w:r>
              <w:rPr>
                <w:rFonts w:ascii="Arial" w:cs="Arial" w:eastAsia="Arial" w:hAnsi="Arial"/>
                <w:sz w:val="14"/>
                <w:szCs w:val="14"/>
                <w:b w:val="1"/>
                <w:bCs w:val="1"/>
                <w:color w:val="auto"/>
                <w:w w:val="90"/>
              </w:rPr>
              <w:t>(Address of Principal Executive Offices)</w:t>
            </w:r>
          </w:p>
        </w:tc>
        <w:tc>
          <w:tcPr>
            <w:tcW w:w="2520" w:type="dxa"/>
            <w:vAlign w:val="bottom"/>
          </w:tcPr>
          <w:p>
            <w:pPr>
              <w:spacing w:after="0"/>
              <w:rPr>
                <w:sz w:val="16"/>
                <w:szCs w:val="16"/>
                <w:color w:val="auto"/>
              </w:rPr>
            </w:pPr>
          </w:p>
        </w:tc>
        <w:tc>
          <w:tcPr>
            <w:tcW w:w="1700" w:type="dxa"/>
            <w:vAlign w:val="bottom"/>
          </w:tcPr>
          <w:p>
            <w:pPr>
              <w:jc w:val="center"/>
              <w:ind w:left="529"/>
              <w:spacing w:after="0"/>
              <w:rPr>
                <w:sz w:val="20"/>
                <w:szCs w:val="20"/>
                <w:color w:val="auto"/>
              </w:rPr>
            </w:pPr>
            <w:r>
              <w:rPr>
                <w:rFonts w:ascii="Arial" w:cs="Arial" w:eastAsia="Arial" w:hAnsi="Arial"/>
                <w:sz w:val="14"/>
                <w:szCs w:val="14"/>
                <w:b w:val="1"/>
                <w:bCs w:val="1"/>
                <w:color w:val="auto"/>
                <w:w w:val="95"/>
              </w:rPr>
              <w:t>(Zip Code)</w:t>
            </w:r>
          </w:p>
        </w:tc>
      </w:tr>
    </w:tbl>
    <w:p>
      <w:pPr>
        <w:spacing w:after="0" w:line="13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Registrant’s Telephone Number, Including Area Code: (305) 715-5200</w:t>
      </w:r>
    </w:p>
    <w:p>
      <w:pPr>
        <w:spacing w:after="0" w:line="134" w:lineRule="exact"/>
        <w:rPr>
          <w:sz w:val="24"/>
          <w:szCs w:val="24"/>
          <w:color w:val="auto"/>
        </w:rPr>
      </w:pPr>
    </w:p>
    <w:p>
      <w:pPr>
        <w:ind w:left="3600"/>
        <w:spacing w:after="0"/>
        <w:rPr>
          <w:sz w:val="20"/>
          <w:szCs w:val="20"/>
          <w:color w:val="auto"/>
        </w:rPr>
      </w:pPr>
      <w:r>
        <w:rPr>
          <w:rFonts w:ascii="Arial" w:cs="Arial" w:eastAsia="Arial" w:hAnsi="Arial"/>
          <w:sz w:val="14"/>
          <w:szCs w:val="14"/>
          <w:color w:val="auto"/>
        </w:rPr>
        <w:t>__________________________</w:t>
      </w:r>
    </w:p>
    <w:p>
      <w:pPr>
        <w:spacing w:after="0" w:line="138" w:lineRule="exact"/>
        <w:rPr>
          <w:sz w:val="24"/>
          <w:szCs w:val="24"/>
          <w:color w:val="auto"/>
        </w:rPr>
      </w:pPr>
    </w:p>
    <w:p>
      <w:pPr>
        <w:ind w:left="660" w:right="679"/>
        <w:spacing w:after="0" w:line="267" w:lineRule="auto"/>
        <w:rPr>
          <w:sz w:val="20"/>
          <w:szCs w:val="20"/>
          <w:color w:val="auto"/>
        </w:rPr>
      </w:pPr>
      <w:r>
        <w:rPr>
          <w:rFonts w:ascii="Arial" w:cs="Arial" w:eastAsia="Arial" w:hAnsi="Arial"/>
          <w:sz w:val="14"/>
          <w:szCs w:val="14"/>
          <w:color w:val="auto"/>
        </w:rPr>
        <w:t>Check the appropriate box below if the Form 8-K filing is intended to simultaneously satisfy the filing obligation of the registrant under any of the following provisions:</w:t>
      </w:r>
    </w:p>
    <w:p>
      <w:pPr>
        <w:spacing w:after="0" w:line="133" w:lineRule="exact"/>
        <w:rPr>
          <w:sz w:val="24"/>
          <w:szCs w:val="24"/>
          <w:color w:val="auto"/>
        </w:rPr>
      </w:pPr>
    </w:p>
    <w:p>
      <w:pPr>
        <w:ind w:left="1120" w:hanging="457"/>
        <w:spacing w:after="0"/>
        <w:tabs>
          <w:tab w:leader="none" w:pos="112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Written communications pursuant to Rule 425 under the Securities Act (17 CFR 230.425)</w:t>
      </w:r>
    </w:p>
    <w:p>
      <w:pPr>
        <w:spacing w:after="0" w:line="24" w:lineRule="exact"/>
        <w:rPr>
          <w:rFonts w:ascii="MS PGothic" w:cs="MS PGothic" w:eastAsia="MS PGothic" w:hAnsi="MS PGothic"/>
          <w:sz w:val="14"/>
          <w:szCs w:val="14"/>
          <w:color w:val="auto"/>
        </w:rPr>
      </w:pPr>
    </w:p>
    <w:p>
      <w:pPr>
        <w:ind w:left="1120" w:hanging="457"/>
        <w:spacing w:after="0"/>
        <w:tabs>
          <w:tab w:leader="none" w:pos="112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Soliciting material pursuant to Rule 14a-12 under the Exchange Act (17 CFR 240.14a -12)</w:t>
      </w:r>
    </w:p>
    <w:p>
      <w:pPr>
        <w:spacing w:after="0" w:line="31" w:lineRule="exact"/>
        <w:rPr>
          <w:rFonts w:ascii="MS PGothic" w:cs="MS PGothic" w:eastAsia="MS PGothic" w:hAnsi="MS PGothic"/>
          <w:sz w:val="14"/>
          <w:szCs w:val="14"/>
          <w:color w:val="auto"/>
        </w:rPr>
      </w:pPr>
    </w:p>
    <w:p>
      <w:pPr>
        <w:ind w:left="1120" w:hanging="457"/>
        <w:spacing w:after="0"/>
        <w:tabs>
          <w:tab w:leader="none" w:pos="112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Pre-commencement communications pursuant to Rule 14d-2(b) under the Exchange Act (17 CFR 240.14d-2(b))</w:t>
      </w:r>
    </w:p>
    <w:p>
      <w:pPr>
        <w:spacing w:after="0" w:line="31" w:lineRule="exact"/>
        <w:rPr>
          <w:rFonts w:ascii="MS PGothic" w:cs="MS PGothic" w:eastAsia="MS PGothic" w:hAnsi="MS PGothic"/>
          <w:sz w:val="14"/>
          <w:szCs w:val="14"/>
          <w:color w:val="auto"/>
        </w:rPr>
      </w:pPr>
    </w:p>
    <w:p>
      <w:pPr>
        <w:ind w:left="1120" w:hanging="457"/>
        <w:spacing w:after="0"/>
        <w:tabs>
          <w:tab w:leader="none" w:pos="112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Pre-commencement communications pursuant to Rule 13e-4(c) under the Exchange Act (17 CFR 240.13e-4(c))</w:t>
      </w:r>
    </w:p>
    <w:p>
      <w:pPr>
        <w:spacing w:after="0" w:line="187" w:lineRule="exact"/>
        <w:rPr>
          <w:sz w:val="24"/>
          <w:szCs w:val="24"/>
          <w:color w:val="auto"/>
        </w:rPr>
      </w:pPr>
    </w:p>
    <w:p>
      <w:pPr>
        <w:ind w:left="660"/>
        <w:spacing w:after="0"/>
        <w:rPr>
          <w:sz w:val="20"/>
          <w:szCs w:val="20"/>
          <w:color w:val="auto"/>
        </w:rPr>
      </w:pPr>
      <w:r>
        <w:rPr>
          <w:rFonts w:ascii="Arial" w:cs="Arial" w:eastAsia="Arial" w:hAnsi="Arial"/>
          <w:sz w:val="14"/>
          <w:szCs w:val="14"/>
          <w:color w:val="auto"/>
        </w:rPr>
        <w:t>Securities registered pursuant to Section 12(b) of the Act:</w:t>
      </w:r>
    </w:p>
    <w:p>
      <w:pPr>
        <w:spacing w:after="0" w:line="4" w:lineRule="exact"/>
        <w:rPr>
          <w:sz w:val="24"/>
          <w:szCs w:val="24"/>
          <w:color w:val="auto"/>
        </w:rPr>
      </w:pPr>
    </w:p>
    <w:tbl>
      <w:tblPr>
        <w:tblLayout w:type="fixed"/>
        <w:tblInd w:w="660" w:type="dxa"/>
        <w:tblCellMar>
          <w:top w:w="0" w:type="dxa"/>
          <w:left w:w="0" w:type="dxa"/>
          <w:bottom w:w="0" w:type="dxa"/>
          <w:right w:w="0" w:type="dxa"/>
        </w:tblCellMar>
      </w:tblPr>
      <w:tr>
        <w:trPr>
          <w:trHeight w:val="126"/>
        </w:trPr>
        <w:tc>
          <w:tcPr>
            <w:tcW w:w="28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520" w:type="dxa"/>
            <w:vAlign w:val="bottom"/>
          </w:tcPr>
          <w:p>
            <w:pPr>
              <w:jc w:val="center"/>
              <w:spacing w:after="0"/>
              <w:rPr>
                <w:sz w:val="20"/>
                <w:szCs w:val="20"/>
                <w:color w:val="auto"/>
              </w:rPr>
            </w:pPr>
            <w:r>
              <w:rPr>
                <w:rFonts w:ascii="Arial" w:cs="Arial" w:eastAsia="Arial" w:hAnsi="Arial"/>
                <w:sz w:val="11"/>
                <w:szCs w:val="11"/>
                <w:b w:val="1"/>
                <w:bCs w:val="1"/>
                <w:color w:val="auto"/>
                <w:w w:val="99"/>
              </w:rPr>
              <w:t>Trading</w:t>
            </w:r>
          </w:p>
        </w:tc>
        <w:tc>
          <w:tcPr>
            <w:tcW w:w="200" w:type="dxa"/>
            <w:vAlign w:val="bottom"/>
          </w:tcPr>
          <w:p>
            <w:pPr>
              <w:spacing w:after="0"/>
              <w:rPr>
                <w:sz w:val="10"/>
                <w:szCs w:val="10"/>
                <w:color w:val="auto"/>
              </w:rPr>
            </w:pPr>
          </w:p>
        </w:tc>
        <w:tc>
          <w:tcPr>
            <w:tcW w:w="2880" w:type="dxa"/>
            <w:vAlign w:val="bottom"/>
          </w:tcPr>
          <w:p>
            <w:pPr>
              <w:spacing w:after="0"/>
              <w:rPr>
                <w:sz w:val="10"/>
                <w:szCs w:val="10"/>
                <w:color w:val="auto"/>
              </w:rPr>
            </w:pPr>
          </w:p>
        </w:tc>
      </w:tr>
      <w:tr>
        <w:trPr>
          <w:trHeight w:val="135"/>
        </w:trPr>
        <w:tc>
          <w:tcPr>
            <w:tcW w:w="28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0"/>
              </w:rPr>
              <w:t>Title of each class</w:t>
            </w:r>
          </w:p>
        </w:tc>
        <w:tc>
          <w:tcPr>
            <w:tcW w:w="200" w:type="dxa"/>
            <w:vAlign w:val="bottom"/>
          </w:tcPr>
          <w:p>
            <w:pPr>
              <w:spacing w:after="0"/>
              <w:rPr>
                <w:sz w:val="11"/>
                <w:szCs w:val="11"/>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0"/>
              </w:rPr>
              <w:t>Symbol(s)</w:t>
            </w:r>
          </w:p>
        </w:tc>
        <w:tc>
          <w:tcPr>
            <w:tcW w:w="200" w:type="dxa"/>
            <w:vAlign w:val="bottom"/>
          </w:tcPr>
          <w:p>
            <w:pPr>
              <w:spacing w:after="0"/>
              <w:rPr>
                <w:sz w:val="11"/>
                <w:szCs w:val="11"/>
                <w:color w:val="auto"/>
              </w:rPr>
            </w:pPr>
          </w:p>
        </w:tc>
        <w:tc>
          <w:tcPr>
            <w:tcW w:w="288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2"/>
              </w:rPr>
              <w:t>Name of each exchange on which registered</w:t>
            </w:r>
          </w:p>
        </w:tc>
      </w:tr>
      <w:tr>
        <w:trPr>
          <w:trHeight w:val="171"/>
        </w:trPr>
        <w:tc>
          <w:tcPr>
            <w:tcW w:w="2880" w:type="dxa"/>
            <w:vAlign w:val="bottom"/>
          </w:tcPr>
          <w:p>
            <w:pPr>
              <w:jc w:val="center"/>
              <w:spacing w:after="0"/>
              <w:rPr>
                <w:sz w:val="20"/>
                <w:szCs w:val="20"/>
                <w:color w:val="auto"/>
              </w:rPr>
            </w:pPr>
            <w:r>
              <w:rPr>
                <w:rFonts w:ascii="Arial" w:cs="Arial" w:eastAsia="Arial" w:hAnsi="Arial"/>
                <w:sz w:val="14"/>
                <w:szCs w:val="14"/>
                <w:color w:val="auto"/>
                <w:w w:val="90"/>
              </w:rPr>
              <w:t>Class A common stock, $1.00 par value per share</w:t>
            </w:r>
          </w:p>
        </w:tc>
        <w:tc>
          <w:tcPr>
            <w:tcW w:w="200" w:type="dxa"/>
            <w:vAlign w:val="bottom"/>
          </w:tcPr>
          <w:p>
            <w:pPr>
              <w:spacing w:after="0"/>
              <w:rPr>
                <w:sz w:val="14"/>
                <w:szCs w:val="14"/>
                <w:color w:val="auto"/>
              </w:rPr>
            </w:pPr>
          </w:p>
        </w:tc>
        <w:tc>
          <w:tcPr>
            <w:tcW w:w="1520" w:type="dxa"/>
            <w:vAlign w:val="bottom"/>
          </w:tcPr>
          <w:p>
            <w:pPr>
              <w:jc w:val="center"/>
              <w:spacing w:after="0"/>
              <w:rPr>
                <w:sz w:val="20"/>
                <w:szCs w:val="20"/>
                <w:color w:val="auto"/>
              </w:rPr>
            </w:pPr>
            <w:r>
              <w:rPr>
                <w:rFonts w:ascii="Arial" w:cs="Arial" w:eastAsia="Arial" w:hAnsi="Arial"/>
                <w:sz w:val="14"/>
                <w:szCs w:val="14"/>
                <w:color w:val="auto"/>
                <w:w w:val="97"/>
              </w:rPr>
              <w:t>USCB</w:t>
            </w:r>
          </w:p>
        </w:tc>
        <w:tc>
          <w:tcPr>
            <w:tcW w:w="200" w:type="dxa"/>
            <w:vAlign w:val="bottom"/>
          </w:tcPr>
          <w:p>
            <w:pPr>
              <w:spacing w:after="0"/>
              <w:rPr>
                <w:sz w:val="14"/>
                <w:szCs w:val="14"/>
                <w:color w:val="auto"/>
              </w:rPr>
            </w:pPr>
          </w:p>
        </w:tc>
        <w:tc>
          <w:tcPr>
            <w:tcW w:w="2880" w:type="dxa"/>
            <w:vAlign w:val="bottom"/>
          </w:tcPr>
          <w:p>
            <w:pPr>
              <w:jc w:val="center"/>
              <w:spacing w:after="0"/>
              <w:rPr>
                <w:sz w:val="20"/>
                <w:szCs w:val="20"/>
                <w:color w:val="auto"/>
              </w:rPr>
            </w:pPr>
            <w:r>
              <w:rPr>
                <w:rFonts w:ascii="Arial" w:cs="Arial" w:eastAsia="Arial" w:hAnsi="Arial"/>
                <w:sz w:val="14"/>
                <w:szCs w:val="14"/>
                <w:color w:val="auto"/>
                <w:w w:val="94"/>
              </w:rPr>
              <w:t>The Nasdaq Stock Market LLC</w:t>
            </w:r>
          </w:p>
        </w:tc>
      </w:tr>
    </w:tbl>
    <w:p>
      <w:pPr>
        <w:spacing w:after="0" w:line="140" w:lineRule="exact"/>
        <w:rPr>
          <w:sz w:val="24"/>
          <w:szCs w:val="24"/>
          <w:color w:val="auto"/>
        </w:rPr>
      </w:pPr>
    </w:p>
    <w:p>
      <w:pPr>
        <w:jc w:val="both"/>
        <w:ind w:left="660" w:right="699"/>
        <w:spacing w:after="0" w:line="267" w:lineRule="auto"/>
        <w:rPr>
          <w:sz w:val="20"/>
          <w:szCs w:val="20"/>
          <w:color w:val="auto"/>
        </w:rPr>
      </w:pPr>
      <w:r>
        <w:rPr>
          <w:rFonts w:ascii="Arial" w:cs="Arial" w:eastAsia="Arial" w:hAnsi="Arial"/>
          <w:sz w:val="14"/>
          <w:szCs w:val="14"/>
          <w:color w:val="auto"/>
        </w:rPr>
        <w:t>Indicate by check mark whether the registrant is an emerging growth company as defined in Rule 405 of the Securities Act of 1933 (§ 230.405 of this chapter) or Rule 12b-2 of the Securities Exchange Act of 1934 (§ 240.12b -2 of this chapter).</w:t>
      </w:r>
    </w:p>
    <w:p>
      <w:pPr>
        <w:spacing w:after="0" w:line="107" w:lineRule="exact"/>
        <w:rPr>
          <w:sz w:val="24"/>
          <w:szCs w:val="24"/>
          <w:color w:val="auto"/>
        </w:rPr>
      </w:pPr>
    </w:p>
    <w:p>
      <w:pPr>
        <w:ind w:left="660"/>
        <w:spacing w:after="0" w:line="161" w:lineRule="exact"/>
        <w:rPr>
          <w:sz w:val="20"/>
          <w:szCs w:val="20"/>
          <w:color w:val="auto"/>
        </w:rPr>
      </w:pPr>
      <w:r>
        <w:rPr>
          <w:rFonts w:ascii="Arial" w:cs="Arial" w:eastAsia="Arial" w:hAnsi="Arial"/>
          <w:sz w:val="14"/>
          <w:szCs w:val="14"/>
          <w:color w:val="auto"/>
        </w:rPr>
        <w:t xml:space="preserve">Emerging growth company </w:t>
      </w:r>
      <w:r>
        <w:rPr>
          <w:rFonts w:ascii="MS PGothic" w:cs="MS PGothic" w:eastAsia="MS PGothic" w:hAnsi="MS PGothic"/>
          <w:sz w:val="14"/>
          <w:szCs w:val="14"/>
          <w:color w:val="auto"/>
        </w:rPr>
        <w:t>☒</w:t>
      </w:r>
    </w:p>
    <w:p>
      <w:pPr>
        <w:spacing w:after="0" w:line="195" w:lineRule="exact"/>
        <w:rPr>
          <w:sz w:val="24"/>
          <w:szCs w:val="24"/>
          <w:color w:val="auto"/>
        </w:rPr>
      </w:pPr>
    </w:p>
    <w:p>
      <w:pPr>
        <w:jc w:val="both"/>
        <w:ind w:left="660" w:right="699"/>
        <w:spacing w:after="0" w:line="181"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1</w:t>
      </w:r>
    </w:p>
    <w:p>
      <w:pPr>
        <w:sectPr>
          <w:pgSz w:w="11900" w:h="16838" w:orient="portrait"/>
          <w:cols w:equalWidth="0" w:num="1">
            <w:col w:w="9019"/>
          </w:cols>
          <w:pgMar w:left="1440" w:top="801" w:right="1440" w:bottom="1440" w:gutter="0" w:footer="0" w:header="0"/>
        </w:sectPr>
      </w:pPr>
    </w:p>
    <w:bookmarkStart w:id="1" w:name="page2"/>
    <w:bookmarkEnd w:id="1"/>
    <w:p>
      <w:pPr>
        <w:ind w:left="660"/>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Item 2.02. Results of Operations and Financial Condition.</w:t>
      </w:r>
    </w:p>
    <w:p>
      <w:pPr>
        <w:spacing w:after="0" w:line="174" w:lineRule="exact"/>
        <w:rPr>
          <w:sz w:val="20"/>
          <w:szCs w:val="20"/>
          <w:color w:val="auto"/>
        </w:rPr>
      </w:pPr>
    </w:p>
    <w:p>
      <w:pPr>
        <w:jc w:val="both"/>
        <w:ind w:left="660" w:right="679" w:firstLine="512"/>
        <w:spacing w:after="0" w:line="260" w:lineRule="auto"/>
        <w:rPr>
          <w:sz w:val="20"/>
          <w:szCs w:val="20"/>
          <w:color w:val="auto"/>
        </w:rPr>
      </w:pPr>
      <w:r>
        <w:rPr>
          <w:rFonts w:ascii="Arial" w:cs="Arial" w:eastAsia="Arial" w:hAnsi="Arial"/>
          <w:sz w:val="14"/>
          <w:szCs w:val="14"/>
          <w:color w:val="auto"/>
        </w:rPr>
        <w:t>On July 28, 2022, USCB Financial Holdings, Inc. (the “Company”), issued a press release announcing its financial results for the second quarter ended June 30, 2022. A copy of the press release is furnished as Exhibit 99.1 to this Current Report on Form 8-K and is incorporated herein by reference.</w:t>
      </w:r>
    </w:p>
    <w:p>
      <w:pPr>
        <w:spacing w:after="0" w:line="128" w:lineRule="exact"/>
        <w:rPr>
          <w:sz w:val="20"/>
          <w:szCs w:val="20"/>
          <w:color w:val="auto"/>
        </w:rPr>
      </w:pPr>
    </w:p>
    <w:p>
      <w:pPr>
        <w:jc w:val="both"/>
        <w:ind w:left="660" w:right="679" w:firstLine="512"/>
        <w:spacing w:after="0" w:line="253" w:lineRule="auto"/>
        <w:rPr>
          <w:sz w:val="20"/>
          <w:szCs w:val="20"/>
          <w:color w:val="auto"/>
        </w:rPr>
      </w:pPr>
      <w:r>
        <w:rPr>
          <w:rFonts w:ascii="Arial" w:cs="Arial" w:eastAsia="Arial" w:hAnsi="Arial"/>
          <w:sz w:val="14"/>
          <w:szCs w:val="14"/>
          <w:color w:val="auto"/>
        </w:rPr>
        <w:t>The information in this Item 2.02, including Exhibit 99.1, is being furnished and shall not be deemed “filed” for purposes of Section 18 of the Securities Exchange Act of 1934 (the “Exchange Act”), or otherwise subject to the liability of that section, and shall not be deemed to be incorporated by reference into any filing under the Securities Act of 1933 (the “Securities Act”) or the Exchange Act.</w:t>
      </w:r>
    </w:p>
    <w:p>
      <w:pPr>
        <w:spacing w:after="0" w:line="139"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Item 7.01. Regulation FD Disclosure.</w:t>
      </w:r>
    </w:p>
    <w:p>
      <w:pPr>
        <w:spacing w:after="0" w:line="174" w:lineRule="exact"/>
        <w:rPr>
          <w:sz w:val="20"/>
          <w:szCs w:val="20"/>
          <w:color w:val="auto"/>
        </w:rPr>
      </w:pPr>
    </w:p>
    <w:p>
      <w:pPr>
        <w:jc w:val="both"/>
        <w:ind w:left="660" w:right="679" w:firstLine="512"/>
        <w:spacing w:after="0" w:line="279" w:lineRule="auto"/>
        <w:rPr>
          <w:sz w:val="20"/>
          <w:szCs w:val="20"/>
          <w:color w:val="auto"/>
        </w:rPr>
      </w:pPr>
      <w:r>
        <w:rPr>
          <w:rFonts w:ascii="Arial" w:cs="Arial" w:eastAsia="Arial" w:hAnsi="Arial"/>
          <w:sz w:val="13"/>
          <w:szCs w:val="13"/>
          <w:color w:val="auto"/>
        </w:rPr>
        <w:t>As previously announced, at 9:00 a.m. ET on July 29, 2022, the Company will hold an earnings conference call to discuss its financial performance for the quarter ended June 30, 2022. A copy of the slides forming the basis of the presentation is being furnished as Exhibit 99.2 to this Current Report on Form 8-K and is incorporated herein by reference. A copy of the slides has also been posted to the Company’s investor relations website, located at investors.uscenturybank.com.</w:t>
      </w:r>
    </w:p>
    <w:p>
      <w:pPr>
        <w:spacing w:after="0" w:line="116" w:lineRule="exact"/>
        <w:rPr>
          <w:sz w:val="20"/>
          <w:szCs w:val="20"/>
          <w:color w:val="auto"/>
        </w:rPr>
      </w:pPr>
    </w:p>
    <w:p>
      <w:pPr>
        <w:ind w:left="660" w:right="599" w:firstLine="512"/>
        <w:spacing w:after="0" w:line="260" w:lineRule="auto"/>
        <w:rPr>
          <w:sz w:val="20"/>
          <w:szCs w:val="20"/>
          <w:color w:val="auto"/>
        </w:rPr>
      </w:pPr>
      <w:r>
        <w:rPr>
          <w:rFonts w:ascii="Arial" w:cs="Arial" w:eastAsia="Arial" w:hAnsi="Arial"/>
          <w:sz w:val="14"/>
          <w:szCs w:val="14"/>
          <w:color w:val="auto"/>
        </w:rPr>
        <w:t>The information in this Item 7.01, including Exhibits 99.1 and 99.2, is being furnished and shall not be deemed “filed” for purposes of Section 18 of the Exchange Act, or otherwise subject to the liability of that section, and shall not be deemed to be incorporated by reference into any filing under the Securities Act or the Exchange Act.</w:t>
      </w:r>
    </w:p>
    <w:p>
      <w:pPr>
        <w:spacing w:after="0" w:line="134"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Item 9.01. Financial Statements and Exhibits.</w:t>
      </w:r>
    </w:p>
    <w:p>
      <w:pPr>
        <w:spacing w:after="0" w:line="159" w:lineRule="exact"/>
        <w:rPr>
          <w:sz w:val="20"/>
          <w:szCs w:val="20"/>
          <w:color w:val="auto"/>
        </w:rPr>
      </w:pPr>
    </w:p>
    <w:p>
      <w:pPr>
        <w:ind w:left="1180"/>
        <w:spacing w:after="0"/>
        <w:rPr>
          <w:sz w:val="20"/>
          <w:szCs w:val="20"/>
          <w:color w:val="auto"/>
        </w:rPr>
      </w:pPr>
      <w:r>
        <w:rPr>
          <w:rFonts w:ascii="Arial" w:cs="Arial" w:eastAsia="Arial" w:hAnsi="Arial"/>
          <w:sz w:val="14"/>
          <w:szCs w:val="14"/>
          <w:b w:val="1"/>
          <w:bCs w:val="1"/>
          <w:color w:val="auto"/>
        </w:rPr>
        <w:t>(d) Exhibits.</w:t>
      </w:r>
    </w:p>
    <w:p>
      <w:pPr>
        <w:spacing w:after="0" w:line="170" w:lineRule="exact"/>
        <w:rPr>
          <w:sz w:val="20"/>
          <w:szCs w:val="20"/>
          <w:color w:val="auto"/>
        </w:rPr>
      </w:pPr>
    </w:p>
    <w:tbl>
      <w:tblPr>
        <w:tblLayout w:type="fixed"/>
        <w:tblInd w:w="1160" w:type="dxa"/>
        <w:tblCellMar>
          <w:top w:w="0" w:type="dxa"/>
          <w:left w:w="0" w:type="dxa"/>
          <w:bottom w:w="0" w:type="dxa"/>
          <w:right w:w="0" w:type="dxa"/>
        </w:tblCellMar>
      </w:tblPr>
      <w:tr>
        <w:trPr>
          <w:trHeight w:val="174"/>
        </w:trPr>
        <w:tc>
          <w:tcPr>
            <w:tcW w:w="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5"/>
              </w:rPr>
              <w:t>Exhibit No.</w:t>
            </w:r>
          </w:p>
        </w:tc>
        <w:tc>
          <w:tcPr>
            <w:tcW w:w="644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rPr>
              <w:t>Description</w:t>
            </w:r>
          </w:p>
        </w:tc>
      </w:tr>
      <w:tr>
        <w:trPr>
          <w:trHeight w:val="129"/>
        </w:trPr>
        <w:tc>
          <w:tcPr>
            <w:tcW w:w="260" w:type="dxa"/>
            <w:vAlign w:val="bottom"/>
            <w:gridSpan w:val="2"/>
          </w:tcPr>
          <w:p>
            <w:pPr>
              <w:ind w:left="20"/>
              <w:spacing w:after="0" w:line="129" w:lineRule="exact"/>
              <w:rPr>
                <w:rFonts w:ascii="Arial" w:cs="Arial" w:eastAsia="Arial" w:hAnsi="Arial"/>
                <w:sz w:val="14"/>
                <w:szCs w:val="14"/>
                <w:color w:val="0563C1"/>
                <w:w w:val="80"/>
              </w:rPr>
            </w:pPr>
            <w:hyperlink w:anchor="page4">
              <w:r>
                <w:rPr>
                  <w:rFonts w:ascii="Arial" w:cs="Arial" w:eastAsia="Arial" w:hAnsi="Arial"/>
                  <w:sz w:val="14"/>
                  <w:szCs w:val="14"/>
                  <w:color w:val="0563C1"/>
                  <w:w w:val="80"/>
                </w:rPr>
                <w:t>99.</w:t>
              </w:r>
              <w:r>
                <w:rPr>
                  <w:rFonts w:ascii="Arial" w:cs="Arial" w:eastAsia="Arial" w:hAnsi="Arial"/>
                  <w:sz w:val="14"/>
                  <w:szCs w:val="14"/>
                  <w:u w:val="single" w:color="auto"/>
                  <w:color w:val="0563C1"/>
                  <w:w w:val="80"/>
                </w:rPr>
                <w:t>1</w:t>
              </w:r>
            </w:hyperlink>
          </w:p>
        </w:tc>
        <w:tc>
          <w:tcPr>
            <w:tcW w:w="480" w:type="dxa"/>
            <w:vAlign w:val="bottom"/>
          </w:tcPr>
          <w:p>
            <w:pPr>
              <w:spacing w:after="0"/>
              <w:rPr>
                <w:sz w:val="11"/>
                <w:szCs w:val="11"/>
                <w:color w:val="auto"/>
              </w:rPr>
            </w:pPr>
          </w:p>
        </w:tc>
        <w:tc>
          <w:tcPr>
            <w:tcW w:w="6440" w:type="dxa"/>
            <w:vAlign w:val="bottom"/>
            <w:gridSpan w:val="4"/>
          </w:tcPr>
          <w:p>
            <w:pPr>
              <w:ind w:left="40"/>
              <w:spacing w:after="0" w:line="129" w:lineRule="exact"/>
              <w:rPr>
                <w:rFonts w:ascii="Arial" w:cs="Arial" w:eastAsia="Arial" w:hAnsi="Arial"/>
                <w:sz w:val="14"/>
                <w:szCs w:val="14"/>
                <w:color w:val="0563C1"/>
              </w:rPr>
            </w:pPr>
            <w:hyperlink w:anchor="page4">
              <w:r>
                <w:rPr>
                  <w:rFonts w:ascii="Arial" w:cs="Arial" w:eastAsia="Arial" w:hAnsi="Arial"/>
                  <w:sz w:val="14"/>
                  <w:szCs w:val="14"/>
                  <w:color w:val="0563C1"/>
                </w:rPr>
                <w:t>USCB Financial Holdings, Inc. Press Release, dated July 28, 2022</w:t>
              </w:r>
            </w:hyperlink>
          </w:p>
        </w:tc>
      </w:tr>
      <w:tr>
        <w:trPr>
          <w:trHeight w:val="20"/>
        </w:trPr>
        <w:tc>
          <w:tcPr>
            <w:tcW w:w="20" w:type="dxa"/>
            <w:vAlign w:val="bottom"/>
          </w:tcPr>
          <w:p>
            <w:pPr>
              <w:spacing w:after="0" w:line="20" w:lineRule="exact"/>
              <w:rPr>
                <w:sz w:val="1"/>
                <w:szCs w:val="1"/>
                <w:color w:val="auto"/>
              </w:rPr>
            </w:pPr>
          </w:p>
        </w:tc>
        <w:tc>
          <w:tcPr>
            <w:tcW w:w="240" w:type="dxa"/>
            <w:vAlign w:val="bottom"/>
            <w:shd w:val="clear" w:color="auto" w:fill="0563C1"/>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20" w:type="dxa"/>
            <w:vAlign w:val="bottom"/>
            <w:shd w:val="clear" w:color="auto" w:fill="0563C1"/>
          </w:tcPr>
          <w:p>
            <w:pPr>
              <w:spacing w:after="0" w:line="20" w:lineRule="exact"/>
              <w:rPr>
                <w:sz w:val="1"/>
                <w:szCs w:val="1"/>
                <w:color w:val="auto"/>
              </w:rPr>
            </w:pPr>
          </w:p>
        </w:tc>
        <w:tc>
          <w:tcPr>
            <w:tcW w:w="1340" w:type="dxa"/>
            <w:vAlign w:val="bottom"/>
            <w:shd w:val="clear" w:color="auto" w:fill="0563C1"/>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140"/>
        </w:trPr>
        <w:tc>
          <w:tcPr>
            <w:tcW w:w="260" w:type="dxa"/>
            <w:vAlign w:val="bottom"/>
            <w:gridSpan w:val="2"/>
          </w:tcPr>
          <w:p>
            <w:pPr>
              <w:ind w:left="20"/>
              <w:spacing w:after="0" w:line="140" w:lineRule="exact"/>
              <w:rPr>
                <w:rFonts w:ascii="Arial" w:cs="Arial" w:eastAsia="Arial" w:hAnsi="Arial"/>
                <w:sz w:val="14"/>
                <w:szCs w:val="14"/>
                <w:color w:val="0563C1"/>
                <w:w w:val="80"/>
              </w:rPr>
            </w:pPr>
            <w:hyperlink w:anchor="page13">
              <w:r>
                <w:rPr>
                  <w:rFonts w:ascii="Arial" w:cs="Arial" w:eastAsia="Arial" w:hAnsi="Arial"/>
                  <w:sz w:val="14"/>
                  <w:szCs w:val="14"/>
                  <w:color w:val="0563C1"/>
                  <w:w w:val="80"/>
                </w:rPr>
                <w:t>99.</w:t>
              </w:r>
              <w:r>
                <w:rPr>
                  <w:rFonts w:ascii="Arial" w:cs="Arial" w:eastAsia="Arial" w:hAnsi="Arial"/>
                  <w:sz w:val="14"/>
                  <w:szCs w:val="14"/>
                  <w:u w:val="single" w:color="auto"/>
                  <w:color w:val="0563C1"/>
                  <w:w w:val="80"/>
                </w:rPr>
                <w:t>2</w:t>
              </w:r>
            </w:hyperlink>
          </w:p>
        </w:tc>
        <w:tc>
          <w:tcPr>
            <w:tcW w:w="480" w:type="dxa"/>
            <w:vAlign w:val="bottom"/>
          </w:tcPr>
          <w:p>
            <w:pPr>
              <w:spacing w:after="0"/>
              <w:rPr>
                <w:sz w:val="12"/>
                <w:szCs w:val="12"/>
                <w:color w:val="auto"/>
              </w:rPr>
            </w:pPr>
          </w:p>
        </w:tc>
        <w:tc>
          <w:tcPr>
            <w:tcW w:w="6440" w:type="dxa"/>
            <w:vAlign w:val="bottom"/>
            <w:gridSpan w:val="4"/>
          </w:tcPr>
          <w:p>
            <w:pPr>
              <w:ind w:left="40"/>
              <w:spacing w:after="0" w:line="140" w:lineRule="exact"/>
              <w:rPr>
                <w:rFonts w:ascii="Arial" w:cs="Arial" w:eastAsia="Arial" w:hAnsi="Arial"/>
                <w:sz w:val="14"/>
                <w:szCs w:val="14"/>
                <w:color w:val="0563C1"/>
              </w:rPr>
            </w:pPr>
            <w:hyperlink w:anchor="page13">
              <w:r>
                <w:rPr>
                  <w:rFonts w:ascii="Arial" w:cs="Arial" w:eastAsia="Arial" w:hAnsi="Arial"/>
                  <w:sz w:val="14"/>
                  <w:szCs w:val="14"/>
                  <w:color w:val="0563C1"/>
                </w:rPr>
                <w:t>Earnings Presentation, dated July 29, 2022</w:t>
              </w:r>
            </w:hyperlink>
          </w:p>
        </w:tc>
      </w:tr>
      <w:tr>
        <w:trPr>
          <w:trHeight w:val="20"/>
        </w:trPr>
        <w:tc>
          <w:tcPr>
            <w:tcW w:w="20" w:type="dxa"/>
            <w:vAlign w:val="bottom"/>
          </w:tcPr>
          <w:p>
            <w:pPr>
              <w:spacing w:after="0" w:line="20" w:lineRule="exact"/>
              <w:rPr>
                <w:sz w:val="1"/>
                <w:szCs w:val="1"/>
                <w:color w:val="auto"/>
              </w:rPr>
            </w:pPr>
          </w:p>
        </w:tc>
        <w:tc>
          <w:tcPr>
            <w:tcW w:w="240" w:type="dxa"/>
            <w:vAlign w:val="bottom"/>
            <w:shd w:val="clear" w:color="auto" w:fill="0563C1"/>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20" w:type="dxa"/>
            <w:vAlign w:val="bottom"/>
            <w:shd w:val="clear" w:color="auto" w:fill="0563C1"/>
          </w:tcPr>
          <w:p>
            <w:pPr>
              <w:spacing w:after="0" w:line="20" w:lineRule="exact"/>
              <w:rPr>
                <w:sz w:val="1"/>
                <w:szCs w:val="1"/>
                <w:color w:val="auto"/>
              </w:rPr>
            </w:pPr>
          </w:p>
        </w:tc>
        <w:tc>
          <w:tcPr>
            <w:tcW w:w="3980" w:type="dxa"/>
            <w:vAlign w:val="bottom"/>
            <w:gridSpan w:val="2"/>
          </w:tcPr>
          <w:p>
            <w:pPr>
              <w:spacing w:after="0" w:line="20" w:lineRule="exact"/>
              <w:rPr>
                <w:sz w:val="1"/>
                <w:szCs w:val="1"/>
                <w:color w:val="auto"/>
              </w:rPr>
            </w:pPr>
          </w:p>
        </w:tc>
      </w:tr>
      <w:tr>
        <w:trPr>
          <w:trHeight w:val="182"/>
        </w:trPr>
        <w:tc>
          <w:tcPr>
            <w:tcW w:w="260" w:type="dxa"/>
            <w:vAlign w:val="bottom"/>
            <w:gridSpan w:val="2"/>
          </w:tcPr>
          <w:p>
            <w:pPr>
              <w:ind w:left="20"/>
              <w:spacing w:after="0"/>
              <w:rPr>
                <w:sz w:val="20"/>
                <w:szCs w:val="20"/>
                <w:color w:val="auto"/>
              </w:rPr>
            </w:pPr>
            <w:r>
              <w:rPr>
                <w:rFonts w:ascii="Arial" w:cs="Arial" w:eastAsia="Arial" w:hAnsi="Arial"/>
                <w:sz w:val="14"/>
                <w:szCs w:val="14"/>
                <w:color w:val="auto"/>
                <w:w w:val="94"/>
              </w:rPr>
              <w:t>104</w:t>
            </w:r>
          </w:p>
        </w:tc>
        <w:tc>
          <w:tcPr>
            <w:tcW w:w="480" w:type="dxa"/>
            <w:vAlign w:val="bottom"/>
          </w:tcPr>
          <w:p>
            <w:pPr>
              <w:spacing w:after="0"/>
              <w:rPr>
                <w:sz w:val="15"/>
                <w:szCs w:val="15"/>
                <w:color w:val="auto"/>
              </w:rPr>
            </w:pPr>
          </w:p>
        </w:tc>
        <w:tc>
          <w:tcPr>
            <w:tcW w:w="6440" w:type="dxa"/>
            <w:vAlign w:val="bottom"/>
            <w:gridSpan w:val="4"/>
          </w:tcPr>
          <w:p>
            <w:pPr>
              <w:ind w:left="40"/>
              <w:spacing w:after="0"/>
              <w:rPr>
                <w:sz w:val="20"/>
                <w:szCs w:val="20"/>
                <w:color w:val="auto"/>
              </w:rPr>
            </w:pPr>
            <w:r>
              <w:rPr>
                <w:rFonts w:ascii="Arial" w:cs="Arial" w:eastAsia="Arial" w:hAnsi="Arial"/>
                <w:sz w:val="14"/>
                <w:szCs w:val="14"/>
                <w:color w:val="auto"/>
              </w:rPr>
              <w:t>Cover Page Interactive Data File (embedded within the Inline XBRL document)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9019"/>
          </w:cols>
          <w:pgMar w:left="1440" w:top="723" w:right="1440"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72624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0895" cy="7262495"/>
                    </a:xfrm>
                    <a:prstGeom prst="rect">
                      <a:avLst/>
                    </a:prstGeom>
                    <a:noFill/>
                  </pic:spPr>
                </pic:pic>
              </a:graphicData>
            </a:graphic>
          </wp:anchor>
        </w:drawing>
        <w:t>SIGNATURE</w:t>
      </w:r>
    </w:p>
    <w:p>
      <w:pPr>
        <w:spacing w:after="0" w:line="174" w:lineRule="exact"/>
        <w:rPr>
          <w:sz w:val="20"/>
          <w:szCs w:val="20"/>
          <w:color w:val="auto"/>
        </w:rPr>
      </w:pPr>
    </w:p>
    <w:p>
      <w:pPr>
        <w:ind w:left="660" w:right="679" w:firstLine="512"/>
        <w:spacing w:after="0" w:line="267" w:lineRule="auto"/>
        <w:rPr>
          <w:sz w:val="20"/>
          <w:szCs w:val="20"/>
          <w:color w:val="auto"/>
        </w:rPr>
      </w:pPr>
      <w:r>
        <w:rPr>
          <w:rFonts w:ascii="Arial" w:cs="Arial" w:eastAsia="Arial" w:hAnsi="Arial"/>
          <w:sz w:val="14"/>
          <w:szCs w:val="14"/>
          <w:color w:val="auto"/>
        </w:rPr>
        <w:t>Pursuant to the requirements of the Securities Exchange Act of 1934, the registrant has duly caused this report to be signed on its behalf by the undersigned hereunto duly authorized.</w:t>
      </w:r>
    </w:p>
    <w:p>
      <w:pPr>
        <w:spacing w:after="0" w:line="129" w:lineRule="exact"/>
        <w:rPr>
          <w:sz w:val="20"/>
          <w:szCs w:val="20"/>
          <w:color w:val="auto"/>
        </w:rPr>
      </w:pPr>
    </w:p>
    <w:p>
      <w:pPr>
        <w:ind w:left="5200"/>
        <w:spacing w:after="0"/>
        <w:rPr>
          <w:sz w:val="20"/>
          <w:szCs w:val="20"/>
          <w:color w:val="auto"/>
        </w:rPr>
      </w:pPr>
      <w:r>
        <w:rPr>
          <w:rFonts w:ascii="Arial" w:cs="Arial" w:eastAsia="Arial" w:hAnsi="Arial"/>
          <w:sz w:val="14"/>
          <w:szCs w:val="14"/>
          <w:b w:val="1"/>
          <w:bCs w:val="1"/>
          <w:color w:val="auto"/>
        </w:rPr>
        <w:t>USCB Financial Holdings, Inc.</w:t>
      </w:r>
    </w:p>
    <w:p>
      <w:pPr>
        <w:spacing w:after="0" w:line="334" w:lineRule="exact"/>
        <w:rPr>
          <w:sz w:val="20"/>
          <w:szCs w:val="20"/>
          <w:color w:val="auto"/>
        </w:rPr>
      </w:pPr>
    </w:p>
    <w:tbl>
      <w:tblPr>
        <w:tblLayout w:type="fixed"/>
        <w:tblInd w:w="5200" w:type="dxa"/>
        <w:tblCellMar>
          <w:top w:w="0" w:type="dxa"/>
          <w:left w:w="0" w:type="dxa"/>
          <w:bottom w:w="0" w:type="dxa"/>
          <w:right w:w="0" w:type="dxa"/>
        </w:tblCellMar>
      </w:tblPr>
      <w:tr>
        <w:trPr>
          <w:trHeight w:val="170"/>
        </w:trPr>
        <w:tc>
          <w:tcPr>
            <w:tcW w:w="580" w:type="dxa"/>
            <w:vAlign w:val="bottom"/>
          </w:tcPr>
          <w:p>
            <w:pPr>
              <w:spacing w:after="0"/>
              <w:rPr>
                <w:sz w:val="20"/>
                <w:szCs w:val="20"/>
                <w:color w:val="auto"/>
              </w:rPr>
            </w:pPr>
            <w:r>
              <w:rPr>
                <w:rFonts w:ascii="Arial" w:cs="Arial" w:eastAsia="Arial" w:hAnsi="Arial"/>
                <w:sz w:val="14"/>
                <w:szCs w:val="14"/>
                <w:color w:val="auto"/>
              </w:rPr>
              <w:t>By:</w:t>
            </w:r>
          </w:p>
        </w:tc>
        <w:tc>
          <w:tcPr>
            <w:tcW w:w="25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 Robert Anderson</w:t>
            </w:r>
          </w:p>
        </w:tc>
      </w:tr>
      <w:tr>
        <w:trPr>
          <w:trHeight w:val="140"/>
        </w:trPr>
        <w:tc>
          <w:tcPr>
            <w:tcW w:w="580" w:type="dxa"/>
            <w:vAlign w:val="bottom"/>
          </w:tcPr>
          <w:p>
            <w:pPr>
              <w:spacing w:after="0" w:line="141" w:lineRule="exact"/>
              <w:rPr>
                <w:sz w:val="20"/>
                <w:szCs w:val="20"/>
                <w:color w:val="auto"/>
              </w:rPr>
            </w:pPr>
            <w:r>
              <w:rPr>
                <w:rFonts w:ascii="Arial" w:cs="Arial" w:eastAsia="Arial" w:hAnsi="Arial"/>
                <w:sz w:val="14"/>
                <w:szCs w:val="14"/>
                <w:color w:val="auto"/>
              </w:rPr>
              <w:t>Name:</w:t>
            </w:r>
          </w:p>
        </w:tc>
        <w:tc>
          <w:tcPr>
            <w:tcW w:w="2560" w:type="dxa"/>
            <w:vAlign w:val="bottom"/>
          </w:tcPr>
          <w:p>
            <w:pPr>
              <w:spacing w:after="0" w:line="141" w:lineRule="exact"/>
              <w:rPr>
                <w:sz w:val="20"/>
                <w:szCs w:val="20"/>
                <w:color w:val="auto"/>
              </w:rPr>
            </w:pPr>
            <w:r>
              <w:rPr>
                <w:rFonts w:ascii="Arial" w:cs="Arial" w:eastAsia="Arial" w:hAnsi="Arial"/>
                <w:sz w:val="14"/>
                <w:szCs w:val="14"/>
                <w:color w:val="auto"/>
              </w:rPr>
              <w:t>Robert Anderson</w:t>
            </w:r>
          </w:p>
        </w:tc>
      </w:tr>
      <w:tr>
        <w:trPr>
          <w:trHeight w:val="180"/>
        </w:trPr>
        <w:tc>
          <w:tcPr>
            <w:tcW w:w="580" w:type="dxa"/>
            <w:vAlign w:val="bottom"/>
          </w:tcPr>
          <w:p>
            <w:pPr>
              <w:spacing w:after="0"/>
              <w:rPr>
                <w:sz w:val="20"/>
                <w:szCs w:val="20"/>
                <w:color w:val="auto"/>
              </w:rPr>
            </w:pPr>
            <w:r>
              <w:rPr>
                <w:rFonts w:ascii="Arial" w:cs="Arial" w:eastAsia="Arial" w:hAnsi="Arial"/>
                <w:sz w:val="14"/>
                <w:szCs w:val="14"/>
                <w:color w:val="auto"/>
              </w:rPr>
              <w:t>Title:</w:t>
            </w:r>
          </w:p>
        </w:tc>
        <w:tc>
          <w:tcPr>
            <w:tcW w:w="2560" w:type="dxa"/>
            <w:vAlign w:val="bottom"/>
          </w:tcPr>
          <w:p>
            <w:pPr>
              <w:spacing w:after="0"/>
              <w:rPr>
                <w:sz w:val="20"/>
                <w:szCs w:val="20"/>
                <w:color w:val="auto"/>
              </w:rPr>
            </w:pPr>
            <w:r>
              <w:rPr>
                <w:rFonts w:ascii="Arial" w:cs="Arial" w:eastAsia="Arial" w:hAnsi="Arial"/>
                <w:sz w:val="14"/>
                <w:szCs w:val="14"/>
                <w:color w:val="auto"/>
              </w:rPr>
              <w:t>Chief Financial Officer</w:t>
            </w:r>
          </w:p>
        </w:tc>
      </w:tr>
    </w:tbl>
    <w:p>
      <w:pPr>
        <w:spacing w:after="0" w:line="151" w:lineRule="exact"/>
        <w:rPr>
          <w:sz w:val="20"/>
          <w:szCs w:val="20"/>
          <w:color w:val="auto"/>
        </w:rPr>
      </w:pPr>
    </w:p>
    <w:p>
      <w:pPr>
        <w:ind w:left="660"/>
        <w:spacing w:after="0"/>
        <w:rPr>
          <w:sz w:val="20"/>
          <w:szCs w:val="20"/>
          <w:color w:val="auto"/>
        </w:rPr>
      </w:pPr>
      <w:r>
        <w:rPr>
          <w:rFonts w:ascii="Arial" w:cs="Arial" w:eastAsia="Arial" w:hAnsi="Arial"/>
          <w:sz w:val="14"/>
          <w:szCs w:val="14"/>
          <w:color w:val="auto"/>
        </w:rPr>
        <w:t>Date: July 28,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9019"/>
          </w:cols>
          <w:pgMar w:left="1440" w:top="723" w:right="1440" w:bottom="1440" w:gutter="0" w:footer="0" w:header="0"/>
        </w:sectPr>
      </w:pPr>
    </w:p>
    <w:bookmarkStart w:id="3" w:name="page4"/>
    <w:bookmarkEnd w:id="3"/>
    <w:p>
      <w:pPr>
        <w:ind w:left="7620"/>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Exhibit 99.1</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EARNINGS RELEASE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USCB Financial Holdings, Inc. Reports Second Quarter 2022 Results</w:t>
      </w:r>
    </w:p>
    <w:p>
      <w:pPr>
        <w:spacing w:after="0" w:line="173" w:lineRule="exact"/>
        <w:rPr>
          <w:sz w:val="20"/>
          <w:szCs w:val="20"/>
          <w:color w:val="auto"/>
        </w:rPr>
      </w:pPr>
    </w:p>
    <w:p>
      <w:pPr>
        <w:jc w:val="both"/>
        <w:ind w:left="660" w:right="679"/>
        <w:spacing w:after="0" w:line="271" w:lineRule="auto"/>
        <w:rPr>
          <w:sz w:val="20"/>
          <w:szCs w:val="20"/>
          <w:color w:val="auto"/>
        </w:rPr>
      </w:pPr>
      <w:r>
        <w:rPr>
          <w:rFonts w:ascii="Arial" w:cs="Arial" w:eastAsia="Arial" w:hAnsi="Arial"/>
          <w:sz w:val="13"/>
          <w:szCs w:val="13"/>
          <w:b w:val="1"/>
          <w:bCs w:val="1"/>
          <w:color w:val="auto"/>
        </w:rPr>
        <w:t>MIAMI – July 28, 2022 – USCB Financial Holdings, Inc. (the “Company”) (NASDAQ: USCB)</w:t>
      </w:r>
      <w:r>
        <w:rPr>
          <w:rFonts w:ascii="Arial" w:cs="Arial" w:eastAsia="Arial" w:hAnsi="Arial"/>
          <w:sz w:val="13"/>
          <w:szCs w:val="13"/>
          <w:color w:val="auto"/>
        </w:rPr>
        <w:t>, the holding company for U.S.</w:t>
      </w:r>
      <w:r>
        <w:rPr>
          <w:rFonts w:ascii="Arial" w:cs="Arial" w:eastAsia="Arial" w:hAnsi="Arial"/>
          <w:sz w:val="13"/>
          <w:szCs w:val="13"/>
          <w:b w:val="1"/>
          <w:bCs w:val="1"/>
          <w:color w:val="auto"/>
        </w:rPr>
        <w:t xml:space="preserve"> </w:t>
      </w:r>
      <w:r>
        <w:rPr>
          <w:rFonts w:ascii="Arial" w:cs="Arial" w:eastAsia="Arial" w:hAnsi="Arial"/>
          <w:sz w:val="13"/>
          <w:szCs w:val="13"/>
          <w:color w:val="auto"/>
        </w:rPr>
        <w:t>Century Bank, reported net income of $5.3 million or $0.26 per diluted share for the three months ended June 30, 2022, compared with net income of $4.1 million or $0.64 and $0.13 per diluted share for Class A and Class B common stock, respectively, for the same period in 2021. On December 21, 2021, the Company agreed to exchange all the outstanding shares of Class B common stock for Class A common stock at a ratio of 1 share of Class A common stock for each 5 shares of Class B common stock. As of December 31, 2021, the Company’s only class of securities issued and outstanding was Class A common stock.</w:t>
      </w:r>
    </w:p>
    <w:p>
      <w:pPr>
        <w:spacing w:after="0" w:line="133" w:lineRule="exact"/>
        <w:rPr>
          <w:sz w:val="20"/>
          <w:szCs w:val="20"/>
          <w:color w:val="auto"/>
        </w:rPr>
      </w:pPr>
    </w:p>
    <w:p>
      <w:pPr>
        <w:jc w:val="both"/>
        <w:ind w:left="660" w:right="679"/>
        <w:spacing w:after="0" w:line="249" w:lineRule="auto"/>
        <w:rPr>
          <w:sz w:val="20"/>
          <w:szCs w:val="20"/>
          <w:color w:val="auto"/>
        </w:rPr>
      </w:pPr>
      <w:r>
        <w:rPr>
          <w:rFonts w:ascii="Arial" w:cs="Arial" w:eastAsia="Arial" w:hAnsi="Arial"/>
          <w:sz w:val="14"/>
          <w:szCs w:val="14"/>
          <w:color w:val="auto"/>
        </w:rPr>
        <w:t>“Second quarter results demonstrated continued solid performance by our USCB team members. Total assets exceeded $2.0 billion for the first time, loans grew 19.9% from June 30, 2021, our net interest margin expanded to 3.37%, operating expenses remained in line with an efficiency ratio of 55.34%, and credit quality remains pristine. We are pleased with our profitability metrics and believe we will be able to continue to successfully execute on our strategy that delivers improved performance in the years to come.” said Luis de la Aguilera, President and Chief Executive Officer.</w:t>
      </w:r>
    </w:p>
    <w:p>
      <w:pPr>
        <w:spacing w:after="0" w:line="146" w:lineRule="exact"/>
        <w:rPr>
          <w:sz w:val="20"/>
          <w:szCs w:val="20"/>
          <w:color w:val="auto"/>
        </w:rPr>
      </w:pPr>
    </w:p>
    <w:p>
      <w:pPr>
        <w:jc w:val="both"/>
        <w:ind w:left="660" w:right="679"/>
        <w:spacing w:after="0" w:line="267" w:lineRule="auto"/>
        <w:rPr>
          <w:sz w:val="20"/>
          <w:szCs w:val="20"/>
          <w:color w:val="auto"/>
        </w:rPr>
      </w:pPr>
      <w:r>
        <w:rPr>
          <w:rFonts w:ascii="Arial" w:cs="Arial" w:eastAsia="Arial" w:hAnsi="Arial"/>
          <w:sz w:val="14"/>
          <w:szCs w:val="14"/>
          <w:color w:val="auto"/>
        </w:rPr>
        <w:t>Unless otherwise stated, all percentage comparisons in the bullet points below are calculated for the quarter ended June 30, 2022 compared to the quarter ended June 30, 2021 and annualized where appropriate.</w:t>
      </w:r>
    </w:p>
    <w:p>
      <w:pPr>
        <w:spacing w:after="0" w:line="129"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Profitability</w:t>
      </w:r>
    </w:p>
    <w:p>
      <w:pPr>
        <w:spacing w:after="0" w:line="174" w:lineRule="exact"/>
        <w:rPr>
          <w:sz w:val="20"/>
          <w:szCs w:val="20"/>
          <w:color w:val="auto"/>
        </w:rPr>
      </w:pPr>
    </w:p>
    <w:p>
      <w:pPr>
        <w:ind w:left="920" w:right="679" w:hanging="257"/>
        <w:spacing w:after="0" w:line="267" w:lineRule="auto"/>
        <w:tabs>
          <w:tab w:leader="none" w:pos="920" w:val="left"/>
        </w:tabs>
        <w:numPr>
          <w:ilvl w:val="0"/>
          <w:numId w:val="2"/>
        </w:numPr>
        <w:rPr>
          <w:rFonts w:ascii="Arial" w:cs="Arial" w:eastAsia="Arial" w:hAnsi="Arial"/>
          <w:sz w:val="14"/>
          <w:szCs w:val="14"/>
          <w:color w:val="auto"/>
        </w:rPr>
      </w:pPr>
      <w:r>
        <w:rPr>
          <w:rFonts w:ascii="Arial" w:cs="Arial" w:eastAsia="Arial" w:hAnsi="Arial"/>
          <w:sz w:val="14"/>
          <w:szCs w:val="14"/>
          <w:color w:val="auto"/>
        </w:rPr>
        <w:t>Annualized return on average assets for the quarter ended June 30, 2022 was 1.08% compared to 0.98% for the second quarter of 2021.</w:t>
      </w:r>
    </w:p>
    <w:p>
      <w:pPr>
        <w:spacing w:after="0" w:line="132" w:lineRule="exact"/>
        <w:rPr>
          <w:rFonts w:ascii="Arial" w:cs="Arial" w:eastAsia="Arial" w:hAnsi="Arial"/>
          <w:sz w:val="14"/>
          <w:szCs w:val="14"/>
          <w:color w:val="auto"/>
        </w:rPr>
      </w:pPr>
    </w:p>
    <w:p>
      <w:pPr>
        <w:ind w:left="920" w:right="679" w:hanging="257"/>
        <w:spacing w:after="0" w:line="267" w:lineRule="auto"/>
        <w:tabs>
          <w:tab w:leader="none" w:pos="920" w:val="left"/>
        </w:tabs>
        <w:numPr>
          <w:ilvl w:val="0"/>
          <w:numId w:val="2"/>
        </w:numPr>
        <w:rPr>
          <w:rFonts w:ascii="Arial" w:cs="Arial" w:eastAsia="Arial" w:hAnsi="Arial"/>
          <w:sz w:val="14"/>
          <w:szCs w:val="14"/>
          <w:color w:val="auto"/>
        </w:rPr>
      </w:pPr>
      <w:r>
        <w:rPr>
          <w:rFonts w:ascii="Arial" w:cs="Arial" w:eastAsia="Arial" w:hAnsi="Arial"/>
          <w:sz w:val="14"/>
          <w:szCs w:val="14"/>
          <w:color w:val="auto"/>
        </w:rPr>
        <w:t>Annualized return on average stockholders’ equity for the quarter ended June 30, 2022 was 11.38 % compared to 9.74% for the second quarter of 2021.</w:t>
      </w:r>
    </w:p>
    <w:p>
      <w:pPr>
        <w:spacing w:after="0" w:line="132" w:lineRule="exact"/>
        <w:rPr>
          <w:rFonts w:ascii="Arial" w:cs="Arial" w:eastAsia="Arial" w:hAnsi="Arial"/>
          <w:sz w:val="14"/>
          <w:szCs w:val="14"/>
          <w:color w:val="auto"/>
        </w:rPr>
      </w:pPr>
    </w:p>
    <w:p>
      <w:pPr>
        <w:ind w:left="920" w:right="679" w:hanging="257"/>
        <w:spacing w:after="0" w:line="267" w:lineRule="auto"/>
        <w:tabs>
          <w:tab w:leader="none" w:pos="920" w:val="left"/>
        </w:tabs>
        <w:numPr>
          <w:ilvl w:val="0"/>
          <w:numId w:val="2"/>
        </w:numPr>
        <w:rPr>
          <w:rFonts w:ascii="Arial" w:cs="Arial" w:eastAsia="Arial" w:hAnsi="Arial"/>
          <w:sz w:val="14"/>
          <w:szCs w:val="14"/>
          <w:color w:val="auto"/>
        </w:rPr>
      </w:pPr>
      <w:r>
        <w:rPr>
          <w:rFonts w:ascii="Arial" w:cs="Arial" w:eastAsia="Arial" w:hAnsi="Arial"/>
          <w:sz w:val="14"/>
          <w:szCs w:val="14"/>
          <w:color w:val="auto"/>
        </w:rPr>
        <w:t>The efficiency ratio for the quarter ended June 30, 2022 was 55.34% an improvement as compared to 62.00% for the second quarter of 2021.</w:t>
      </w:r>
    </w:p>
    <w:p>
      <w:pPr>
        <w:spacing w:after="0" w:line="132" w:lineRule="exact"/>
        <w:rPr>
          <w:rFonts w:ascii="Arial" w:cs="Arial" w:eastAsia="Arial" w:hAnsi="Arial"/>
          <w:sz w:val="14"/>
          <w:szCs w:val="14"/>
          <w:color w:val="auto"/>
        </w:rPr>
      </w:pPr>
    </w:p>
    <w:p>
      <w:pPr>
        <w:ind w:left="920" w:hanging="257"/>
        <w:spacing w:after="0"/>
        <w:tabs>
          <w:tab w:leader="none" w:pos="920" w:val="left"/>
        </w:tabs>
        <w:numPr>
          <w:ilvl w:val="0"/>
          <w:numId w:val="2"/>
        </w:numPr>
        <w:rPr>
          <w:rFonts w:ascii="Arial" w:cs="Arial" w:eastAsia="Arial" w:hAnsi="Arial"/>
          <w:sz w:val="13"/>
          <w:szCs w:val="13"/>
          <w:color w:val="auto"/>
        </w:rPr>
      </w:pPr>
      <w:r>
        <w:rPr>
          <w:rFonts w:ascii="Arial" w:cs="Arial" w:eastAsia="Arial" w:hAnsi="Arial"/>
          <w:sz w:val="13"/>
          <w:szCs w:val="13"/>
          <w:color w:val="auto"/>
        </w:rPr>
        <w:t>Net interest margin increased to 3.37% for the quarter ended June 30, 2022 compared to 3.14% for the second quarter of 2021.</w:t>
      </w:r>
    </w:p>
    <w:p>
      <w:pPr>
        <w:spacing w:after="0" w:line="170" w:lineRule="exact"/>
        <w:rPr>
          <w:rFonts w:ascii="Arial" w:cs="Arial" w:eastAsia="Arial" w:hAnsi="Arial"/>
          <w:sz w:val="13"/>
          <w:szCs w:val="13"/>
          <w:color w:val="auto"/>
        </w:rPr>
      </w:pPr>
    </w:p>
    <w:p>
      <w:pPr>
        <w:jc w:val="both"/>
        <w:ind w:left="920" w:right="679" w:hanging="257"/>
        <w:spacing w:after="0" w:line="260" w:lineRule="auto"/>
        <w:tabs>
          <w:tab w:leader="none" w:pos="920" w:val="left"/>
        </w:tabs>
        <w:numPr>
          <w:ilvl w:val="0"/>
          <w:numId w:val="2"/>
        </w:numPr>
        <w:rPr>
          <w:rFonts w:ascii="Arial" w:cs="Arial" w:eastAsia="Arial" w:hAnsi="Arial"/>
          <w:sz w:val="14"/>
          <w:szCs w:val="14"/>
          <w:color w:val="auto"/>
        </w:rPr>
      </w:pPr>
      <w:r>
        <w:rPr>
          <w:rFonts w:ascii="Arial" w:cs="Arial" w:eastAsia="Arial" w:hAnsi="Arial"/>
          <w:sz w:val="14"/>
          <w:szCs w:val="14"/>
          <w:color w:val="auto"/>
        </w:rPr>
        <w:t>Net interest income before provision for credit losses was $15.6 million for the quarter ended June 30, 2022, an increase of $3.2 million or 25.4% compared to the second quarter of 2021. The increase was primarily driven by higher loan and investment securities income.</w:t>
      </w:r>
    </w:p>
    <w:p>
      <w:pPr>
        <w:spacing w:after="0" w:line="134"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Balance Sheet</w:t>
      </w:r>
    </w:p>
    <w:p>
      <w:pPr>
        <w:spacing w:after="0" w:line="163" w:lineRule="exact"/>
        <w:rPr>
          <w:sz w:val="20"/>
          <w:szCs w:val="20"/>
          <w:color w:val="auto"/>
        </w:rPr>
      </w:pPr>
    </w:p>
    <w:p>
      <w:pPr>
        <w:ind w:left="920" w:hanging="257"/>
        <w:spacing w:after="0"/>
        <w:tabs>
          <w:tab w:leader="none" w:pos="920" w:val="left"/>
        </w:tabs>
        <w:numPr>
          <w:ilvl w:val="0"/>
          <w:numId w:val="3"/>
        </w:numPr>
        <w:rPr>
          <w:rFonts w:ascii="Arial" w:cs="Arial" w:eastAsia="Arial" w:hAnsi="Arial"/>
          <w:sz w:val="13"/>
          <w:szCs w:val="13"/>
          <w:color w:val="auto"/>
        </w:rPr>
      </w:pPr>
      <w:r>
        <w:rPr>
          <w:rFonts w:ascii="Arial" w:cs="Arial" w:eastAsia="Arial" w:hAnsi="Arial"/>
          <w:sz w:val="13"/>
          <w:szCs w:val="13"/>
          <w:color w:val="auto"/>
        </w:rPr>
        <w:t>Total assets were $2.0 billion at June 30, 2022, representing an increase of $349.1 million or 20.9% from June 30, 2021.</w:t>
      </w:r>
    </w:p>
    <w:p>
      <w:pPr>
        <w:spacing w:after="0" w:line="181" w:lineRule="exact"/>
        <w:rPr>
          <w:rFonts w:ascii="Arial" w:cs="Arial" w:eastAsia="Arial" w:hAnsi="Arial"/>
          <w:sz w:val="13"/>
          <w:szCs w:val="13"/>
          <w:color w:val="auto"/>
        </w:rPr>
      </w:pPr>
    </w:p>
    <w:p>
      <w:pPr>
        <w:ind w:left="920" w:hanging="257"/>
        <w:spacing w:after="0"/>
        <w:tabs>
          <w:tab w:leader="none" w:pos="920" w:val="left"/>
        </w:tabs>
        <w:numPr>
          <w:ilvl w:val="0"/>
          <w:numId w:val="3"/>
        </w:numPr>
        <w:rPr>
          <w:rFonts w:ascii="Arial" w:cs="Arial" w:eastAsia="Arial" w:hAnsi="Arial"/>
          <w:sz w:val="14"/>
          <w:szCs w:val="14"/>
          <w:color w:val="auto"/>
        </w:rPr>
      </w:pPr>
      <w:r>
        <w:rPr>
          <w:rFonts w:ascii="Arial" w:cs="Arial" w:eastAsia="Arial" w:hAnsi="Arial"/>
          <w:sz w:val="14"/>
          <w:szCs w:val="14"/>
          <w:color w:val="auto"/>
        </w:rPr>
        <w:t>Total loans were $1.4 billion at June 30, 2022, representing an increase of $227.6 million or 19.9% from June 30, 2021.</w:t>
      </w:r>
    </w:p>
    <w:p>
      <w:pPr>
        <w:spacing w:after="0" w:line="169" w:lineRule="exact"/>
        <w:rPr>
          <w:rFonts w:ascii="Arial" w:cs="Arial" w:eastAsia="Arial" w:hAnsi="Arial"/>
          <w:sz w:val="14"/>
          <w:szCs w:val="14"/>
          <w:color w:val="auto"/>
        </w:rPr>
      </w:pPr>
    </w:p>
    <w:p>
      <w:pPr>
        <w:ind w:left="920" w:hanging="257"/>
        <w:spacing w:after="0"/>
        <w:tabs>
          <w:tab w:leader="none" w:pos="920" w:val="left"/>
        </w:tabs>
        <w:numPr>
          <w:ilvl w:val="0"/>
          <w:numId w:val="3"/>
        </w:numPr>
        <w:rPr>
          <w:rFonts w:ascii="Arial" w:cs="Arial" w:eastAsia="Arial" w:hAnsi="Arial"/>
          <w:sz w:val="13"/>
          <w:szCs w:val="13"/>
          <w:color w:val="auto"/>
        </w:rPr>
      </w:pPr>
      <w:r>
        <w:rPr>
          <w:rFonts w:ascii="Arial" w:cs="Arial" w:eastAsia="Arial" w:hAnsi="Arial"/>
          <w:sz w:val="13"/>
          <w:szCs w:val="13"/>
          <w:color w:val="auto"/>
        </w:rPr>
        <w:t>Total deposits were $1.7 billion at June 30, 2022, representing an increase of $299.9 million or 20.8% from June 30, 2021.</w:t>
      </w:r>
    </w:p>
    <w:p>
      <w:pPr>
        <w:spacing w:after="0" w:line="170" w:lineRule="exact"/>
        <w:rPr>
          <w:rFonts w:ascii="Arial" w:cs="Arial" w:eastAsia="Arial" w:hAnsi="Arial"/>
          <w:sz w:val="13"/>
          <w:szCs w:val="13"/>
          <w:color w:val="auto"/>
        </w:rPr>
      </w:pPr>
    </w:p>
    <w:p>
      <w:pPr>
        <w:ind w:left="920" w:right="679" w:hanging="257"/>
        <w:spacing w:after="0" w:line="283" w:lineRule="auto"/>
        <w:tabs>
          <w:tab w:leader="none" w:pos="920" w:val="left"/>
        </w:tabs>
        <w:numPr>
          <w:ilvl w:val="0"/>
          <w:numId w:val="3"/>
        </w:numPr>
        <w:rPr>
          <w:rFonts w:ascii="Arial" w:cs="Arial" w:eastAsia="Arial" w:hAnsi="Arial"/>
          <w:sz w:val="14"/>
          <w:szCs w:val="14"/>
          <w:color w:val="auto"/>
        </w:rPr>
      </w:pPr>
      <w:r>
        <w:rPr>
          <w:rFonts w:ascii="Arial" w:cs="Arial" w:eastAsia="Arial" w:hAnsi="Arial"/>
          <w:sz w:val="14"/>
          <w:szCs w:val="14"/>
          <w:color w:val="auto"/>
        </w:rPr>
        <w:t>Total stockholders’ equity was $180.1 million at June 30, 2022, representing an increase of $13.8 million or 8.3% from June 30, 2021.</w:t>
      </w:r>
    </w:p>
    <w:p>
      <w:pPr>
        <w:spacing w:after="0" w:line="107"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Asset Quality</w:t>
      </w:r>
    </w:p>
    <w:p>
      <w:pPr>
        <w:spacing w:after="0" w:line="174" w:lineRule="exact"/>
        <w:rPr>
          <w:sz w:val="20"/>
          <w:szCs w:val="20"/>
          <w:color w:val="auto"/>
        </w:rPr>
      </w:pPr>
    </w:p>
    <w:p>
      <w:pPr>
        <w:ind w:left="920" w:hanging="257"/>
        <w:spacing w:after="0"/>
        <w:tabs>
          <w:tab w:leader="none" w:pos="920" w:val="left"/>
        </w:tabs>
        <w:numPr>
          <w:ilvl w:val="0"/>
          <w:numId w:val="4"/>
        </w:numPr>
        <w:rPr>
          <w:rFonts w:ascii="Arial" w:cs="Arial" w:eastAsia="Arial" w:hAnsi="Arial"/>
          <w:sz w:val="12"/>
          <w:szCs w:val="12"/>
          <w:color w:val="auto"/>
        </w:rPr>
      </w:pPr>
      <w:r>
        <w:rPr>
          <w:rFonts w:ascii="Arial" w:cs="Arial" w:eastAsia="Arial" w:hAnsi="Arial"/>
          <w:sz w:val="12"/>
          <w:szCs w:val="12"/>
          <w:color w:val="auto"/>
        </w:rPr>
        <w:t>The allowance for credit losses increased by $938 thousand to $15.8 million at June 30, 2022 from $14.9 million at June 30, 2021.</w:t>
      </w:r>
    </w:p>
    <w:p>
      <w:pPr>
        <w:spacing w:after="0" w:line="192" w:lineRule="exact"/>
        <w:rPr>
          <w:rFonts w:ascii="Arial" w:cs="Arial" w:eastAsia="Arial" w:hAnsi="Arial"/>
          <w:sz w:val="12"/>
          <w:szCs w:val="12"/>
          <w:color w:val="auto"/>
        </w:rPr>
      </w:pPr>
    </w:p>
    <w:p>
      <w:pPr>
        <w:ind w:left="920" w:hanging="257"/>
        <w:spacing w:after="0"/>
        <w:tabs>
          <w:tab w:leader="none" w:pos="920" w:val="left"/>
        </w:tabs>
        <w:numPr>
          <w:ilvl w:val="0"/>
          <w:numId w:val="4"/>
        </w:numPr>
        <w:rPr>
          <w:rFonts w:ascii="Arial" w:cs="Arial" w:eastAsia="Arial" w:hAnsi="Arial"/>
          <w:sz w:val="13"/>
          <w:szCs w:val="13"/>
          <w:color w:val="auto"/>
        </w:rPr>
      </w:pPr>
      <w:r>
        <w:rPr>
          <w:rFonts w:ascii="Arial" w:cs="Arial" w:eastAsia="Arial" w:hAnsi="Arial"/>
          <w:sz w:val="13"/>
          <w:szCs w:val="13"/>
          <w:color w:val="auto"/>
        </w:rPr>
        <w:t>The allowance for credit losses represented 1.15% of total loans at June 30, 2022 compared to 1.30% at June 30, 2021.</w:t>
      </w:r>
    </w:p>
    <w:p>
      <w:pPr>
        <w:spacing w:after="0" w:line="170" w:lineRule="exact"/>
        <w:rPr>
          <w:rFonts w:ascii="Arial" w:cs="Arial" w:eastAsia="Arial" w:hAnsi="Arial"/>
          <w:sz w:val="13"/>
          <w:szCs w:val="13"/>
          <w:color w:val="auto"/>
        </w:rPr>
      </w:pPr>
    </w:p>
    <w:p>
      <w:pPr>
        <w:ind w:left="920" w:hanging="257"/>
        <w:spacing w:after="0"/>
        <w:tabs>
          <w:tab w:leader="none" w:pos="920" w:val="left"/>
        </w:tabs>
        <w:numPr>
          <w:ilvl w:val="0"/>
          <w:numId w:val="4"/>
        </w:numPr>
        <w:rPr>
          <w:rFonts w:ascii="Arial" w:cs="Arial" w:eastAsia="Arial" w:hAnsi="Arial"/>
          <w:sz w:val="14"/>
          <w:szCs w:val="14"/>
          <w:color w:val="auto"/>
        </w:rPr>
      </w:pPr>
      <w:r>
        <w:rPr>
          <w:rFonts w:ascii="Arial" w:cs="Arial" w:eastAsia="Arial" w:hAnsi="Arial"/>
          <w:sz w:val="14"/>
          <w:szCs w:val="14"/>
          <w:color w:val="auto"/>
        </w:rPr>
        <w:t>Non-performing loans to total loans was 0.00% at June 30, 2022 and 2021.</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w:t>
      </w:r>
    </w:p>
    <w:p>
      <w:pPr>
        <w:sectPr>
          <w:pgSz w:w="11900" w:h="16838" w:orient="portrait"/>
          <w:cols w:equalWidth="0" w:num="1">
            <w:col w:w="9019"/>
          </w:cols>
          <w:pgMar w:left="1440" w:top="723" w:right="1440" w:bottom="1440" w:gutter="0" w:footer="0" w:header="0"/>
        </w:sectPr>
      </w:pPr>
    </w:p>
    <w:bookmarkStart w:id="4" w:name="page5"/>
    <w:bookmarkEnd w:id="4"/>
    <w:p>
      <w:pPr>
        <w:ind w:left="660"/>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Non-interest Income and Non-interest Expense</w:t>
      </w:r>
    </w:p>
    <w:p>
      <w:pPr>
        <w:spacing w:after="0" w:line="163" w:lineRule="exact"/>
        <w:rPr>
          <w:sz w:val="20"/>
          <w:szCs w:val="20"/>
          <w:color w:val="auto"/>
        </w:rPr>
      </w:pPr>
    </w:p>
    <w:p>
      <w:pPr>
        <w:ind w:left="920" w:right="679" w:hanging="257"/>
        <w:spacing w:after="0" w:line="283" w:lineRule="auto"/>
        <w:tabs>
          <w:tab w:leader="none" w:pos="920" w:val="left"/>
        </w:tabs>
        <w:numPr>
          <w:ilvl w:val="0"/>
          <w:numId w:val="5"/>
        </w:numPr>
        <w:rPr>
          <w:rFonts w:ascii="Arial" w:cs="Arial" w:eastAsia="Arial" w:hAnsi="Arial"/>
          <w:sz w:val="14"/>
          <w:szCs w:val="14"/>
          <w:color w:val="auto"/>
        </w:rPr>
      </w:pPr>
      <w:r>
        <w:rPr>
          <w:rFonts w:ascii="Arial" w:cs="Arial" w:eastAsia="Arial" w:hAnsi="Arial"/>
          <w:sz w:val="14"/>
          <w:szCs w:val="14"/>
          <w:color w:val="auto"/>
        </w:rPr>
        <w:t>Non-interest income was $1.6 million for the three months ended June 30, 2022, an increase of $101 thousand or 6.7% compared to the same period in 2021.</w:t>
      </w:r>
    </w:p>
    <w:p>
      <w:pPr>
        <w:spacing w:after="0" w:line="111" w:lineRule="exact"/>
        <w:rPr>
          <w:rFonts w:ascii="Arial" w:cs="Arial" w:eastAsia="Arial" w:hAnsi="Arial"/>
          <w:sz w:val="14"/>
          <w:szCs w:val="14"/>
          <w:color w:val="auto"/>
        </w:rPr>
      </w:pPr>
    </w:p>
    <w:p>
      <w:pPr>
        <w:jc w:val="both"/>
        <w:ind w:left="920" w:right="679" w:hanging="257"/>
        <w:spacing w:after="0" w:line="260" w:lineRule="auto"/>
        <w:tabs>
          <w:tab w:leader="none" w:pos="920" w:val="left"/>
        </w:tabs>
        <w:numPr>
          <w:ilvl w:val="0"/>
          <w:numId w:val="5"/>
        </w:numPr>
        <w:rPr>
          <w:rFonts w:ascii="Arial" w:cs="Arial" w:eastAsia="Arial" w:hAnsi="Arial"/>
          <w:sz w:val="14"/>
          <w:szCs w:val="14"/>
          <w:color w:val="auto"/>
        </w:rPr>
      </w:pPr>
      <w:r>
        <w:rPr>
          <w:rFonts w:ascii="Arial" w:cs="Arial" w:eastAsia="Arial" w:hAnsi="Arial"/>
          <w:sz w:val="14"/>
          <w:szCs w:val="14"/>
          <w:color w:val="auto"/>
        </w:rPr>
        <w:t>Non-interest expense was $9.6 million for the three months ended June 30, 2022 compared to $8.7 million for the same period in 2021, an increase of $877 thousand or 10.1%. The increase was primarily driven by higher salaries and employee benefits due to new hires and salary compensation.</w:t>
      </w:r>
    </w:p>
    <w:p>
      <w:pPr>
        <w:spacing w:after="0" w:line="134"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Capital</w:t>
      </w:r>
    </w:p>
    <w:p>
      <w:pPr>
        <w:spacing w:after="0" w:line="163" w:lineRule="exact"/>
        <w:rPr>
          <w:sz w:val="20"/>
          <w:szCs w:val="20"/>
          <w:color w:val="auto"/>
        </w:rPr>
      </w:pPr>
    </w:p>
    <w:p>
      <w:pPr>
        <w:jc w:val="both"/>
        <w:ind w:left="920" w:right="659" w:hanging="257"/>
        <w:spacing w:after="0" w:line="260" w:lineRule="auto"/>
        <w:tabs>
          <w:tab w:leader="none" w:pos="920" w:val="left"/>
        </w:tabs>
        <w:numPr>
          <w:ilvl w:val="0"/>
          <w:numId w:val="6"/>
        </w:numPr>
        <w:rPr>
          <w:rFonts w:ascii="Arial" w:cs="Arial" w:eastAsia="Arial" w:hAnsi="Arial"/>
          <w:sz w:val="14"/>
          <w:szCs w:val="14"/>
          <w:color w:val="auto"/>
        </w:rPr>
      </w:pPr>
      <w:r>
        <w:rPr>
          <w:rFonts w:ascii="Arial" w:cs="Arial" w:eastAsia="Arial" w:hAnsi="Arial"/>
          <w:sz w:val="14"/>
          <w:szCs w:val="14"/>
          <w:color w:val="auto"/>
        </w:rPr>
        <w:t>The Company and its wholly owned subsidiary, U.S. Century Bank (the “Bank”), exceeded all regulatory capital requirements and remained significantly above “well-capitalized” guidelines. As of June 30, 2022, total risk-based capital ratios for the Company and the Bank were 13.74% and 13.67%, respectively.</w:t>
      </w:r>
    </w:p>
    <w:p>
      <w:pPr>
        <w:spacing w:after="0" w:line="134"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Conference Call and Webcast</w:t>
      </w:r>
    </w:p>
    <w:p>
      <w:pPr>
        <w:spacing w:after="0" w:line="163" w:lineRule="exact"/>
        <w:rPr>
          <w:sz w:val="20"/>
          <w:szCs w:val="20"/>
          <w:color w:val="auto"/>
        </w:rPr>
      </w:pPr>
    </w:p>
    <w:p>
      <w:pPr>
        <w:jc w:val="both"/>
        <w:ind w:left="660" w:right="679"/>
        <w:spacing w:after="0" w:line="260" w:lineRule="auto"/>
        <w:rPr>
          <w:sz w:val="20"/>
          <w:szCs w:val="20"/>
          <w:color w:val="auto"/>
        </w:rPr>
      </w:pPr>
      <w:r>
        <w:rPr>
          <w:rFonts w:ascii="Arial" w:cs="Arial" w:eastAsia="Arial" w:hAnsi="Arial"/>
          <w:sz w:val="14"/>
          <w:szCs w:val="14"/>
          <w:color w:val="auto"/>
        </w:rPr>
        <w:t>The Company will host a conference call on Friday, July 29, 2022, at 9:00 a.m. Eastern Time to discuss the Company’s unaudited financial results for the quarter ended June 30, 2022. To access the conference call, dial (866) 374-5140 (U.S. toll-free) and use conference code 31578788.</w:t>
      </w:r>
    </w:p>
    <w:p>
      <w:pPr>
        <w:spacing w:after="0" w:line="138" w:lineRule="exact"/>
        <w:rPr>
          <w:sz w:val="20"/>
          <w:szCs w:val="20"/>
          <w:color w:val="auto"/>
        </w:rPr>
      </w:pPr>
    </w:p>
    <w:p>
      <w:pPr>
        <w:jc w:val="both"/>
        <w:ind w:left="660" w:right="699"/>
        <w:spacing w:after="0" w:line="306" w:lineRule="auto"/>
        <w:rPr>
          <w:sz w:val="20"/>
          <w:szCs w:val="20"/>
          <w:color w:val="auto"/>
        </w:rPr>
      </w:pPr>
      <w:r>
        <w:rPr>
          <w:rFonts w:ascii="Arial" w:cs="Arial" w:eastAsia="Arial" w:hAnsi="Arial"/>
          <w:sz w:val="13"/>
          <w:szCs w:val="13"/>
          <w:color w:val="auto"/>
        </w:rPr>
        <w:t>Additionally, interested parties can listen to a live webcast of the call in the “Investor Relations” section of the Company’s website at www.uscentury.com . An archived version of the webcast will be available in the same location shortly after the live call has ended.</w:t>
      </w:r>
    </w:p>
    <w:p>
      <w:pPr>
        <w:spacing w:after="0" w:line="106"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About USCB Financial Holdings, Inc.</w:t>
      </w:r>
    </w:p>
    <w:p>
      <w:pPr>
        <w:spacing w:after="0" w:line="163" w:lineRule="exact"/>
        <w:rPr>
          <w:sz w:val="20"/>
          <w:szCs w:val="20"/>
          <w:color w:val="auto"/>
        </w:rPr>
      </w:pPr>
    </w:p>
    <w:p>
      <w:pPr>
        <w:jc w:val="both"/>
        <w:ind w:left="660" w:right="679"/>
        <w:spacing w:after="0" w:line="273" w:lineRule="auto"/>
        <w:rPr>
          <w:sz w:val="20"/>
          <w:szCs w:val="20"/>
          <w:color w:val="auto"/>
        </w:rPr>
      </w:pPr>
      <w:r>
        <w:rPr>
          <w:rFonts w:ascii="Arial" w:cs="Arial" w:eastAsia="Arial" w:hAnsi="Arial"/>
          <w:sz w:val="13"/>
          <w:szCs w:val="13"/>
          <w:color w:val="auto"/>
        </w:rPr>
        <w:t>USCB Financial Holdings, Inc. is the bank holding company for U.S. Century Bank. Established in 2002, U.S. Century Bank is one of the largest community banks headquartered in Miami, and one of the largest community banks in the state of Florida. U.S. Century Bank is rated 5-Stars by BauerFinancial, the nation’s leading independent bank rating firm. U.S. Century Bank offers customers a wide range of financial products and services and supports numerous community organizations, including the Greater Miami Chamber of Commerce, the South Florida Hispanic Chamber of Commerce, and ChamberSouth. For more information or to find a banking center near you, please call (305) 715-5200 or visit www.uscentury.com.</w:t>
      </w:r>
    </w:p>
    <w:p>
      <w:pPr>
        <w:spacing w:after="0" w:line="128"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Forward-Looking Statements</w:t>
      </w:r>
    </w:p>
    <w:p>
      <w:pPr>
        <w:spacing w:after="0" w:line="174" w:lineRule="exact"/>
        <w:rPr>
          <w:sz w:val="20"/>
          <w:szCs w:val="20"/>
          <w:color w:val="auto"/>
        </w:rPr>
      </w:pPr>
    </w:p>
    <w:p>
      <w:pPr>
        <w:jc w:val="both"/>
        <w:ind w:left="660" w:right="679"/>
        <w:spacing w:after="0" w:line="293" w:lineRule="auto"/>
        <w:rPr>
          <w:sz w:val="20"/>
          <w:szCs w:val="20"/>
          <w:color w:val="auto"/>
        </w:rPr>
      </w:pPr>
      <w:r>
        <w:rPr>
          <w:rFonts w:ascii="Arial" w:cs="Arial" w:eastAsia="Arial" w:hAnsi="Arial"/>
          <w:sz w:val="12"/>
          <w:szCs w:val="12"/>
          <w:color w:val="auto"/>
        </w:rPr>
        <w:t>This earnings release may contain statements that are not historical in nature and are intended to be, and are hereby identified as, forward-looking statements for purposes of the safe harbor provided by Section 21E of the Securities Exchange Act of 1934, as amended. The words “may,” “will,” “anticipate,” “should,” “would,” “believe,” “contemplate,” “expect,” “aim,” “plan,” “estimate,” “continue,” and “intend,” as well as other similar words and expressions of the future, are intended to identify forward-looking statements. These forward-looking statements include statements related to our projected growth, anticipated future financial performance, and management’s long-term performance goals, as well as statements relating to the anticipated effects on results of operations and financial condition from expected developments or events, or business and growth strategies, including anticipated internal growth.</w:t>
      </w:r>
    </w:p>
    <w:p>
      <w:pPr>
        <w:spacing w:after="0" w:line="122" w:lineRule="exact"/>
        <w:rPr>
          <w:sz w:val="20"/>
          <w:szCs w:val="20"/>
          <w:color w:val="auto"/>
        </w:rPr>
      </w:pPr>
    </w:p>
    <w:p>
      <w:pPr>
        <w:jc w:val="both"/>
        <w:ind w:left="660" w:right="679"/>
        <w:spacing w:after="0" w:line="267" w:lineRule="auto"/>
        <w:rPr>
          <w:sz w:val="20"/>
          <w:szCs w:val="20"/>
          <w:color w:val="auto"/>
        </w:rPr>
      </w:pPr>
      <w:r>
        <w:rPr>
          <w:rFonts w:ascii="Arial" w:cs="Arial" w:eastAsia="Arial" w:hAnsi="Arial"/>
          <w:sz w:val="14"/>
          <w:szCs w:val="14"/>
          <w:color w:val="auto"/>
        </w:rPr>
        <w:t>These forward-looking statements involve significant risks and uncertainties that could cause our actual results to differ materially from those anticipated in such statements. Potential risks and uncertainties include, but are not limited to:</w:t>
      </w:r>
    </w:p>
    <w:p>
      <w:pPr>
        <w:spacing w:after="0" w:line="133" w:lineRule="exact"/>
        <w:rPr>
          <w:sz w:val="20"/>
          <w:szCs w:val="20"/>
          <w:color w:val="auto"/>
        </w:rPr>
      </w:pPr>
    </w:p>
    <w:p>
      <w:pPr>
        <w:ind w:left="920" w:hanging="257"/>
        <w:spacing w:after="0"/>
        <w:tabs>
          <w:tab w:leader="none" w:pos="920" w:val="left"/>
        </w:tabs>
        <w:numPr>
          <w:ilvl w:val="0"/>
          <w:numId w:val="7"/>
        </w:numPr>
        <w:rPr>
          <w:rFonts w:ascii="Arial" w:cs="Arial" w:eastAsia="Arial" w:hAnsi="Arial"/>
          <w:sz w:val="13"/>
          <w:szCs w:val="13"/>
          <w:color w:val="auto"/>
        </w:rPr>
      </w:pPr>
      <w:r>
        <w:rPr>
          <w:rFonts w:ascii="Arial" w:cs="Arial" w:eastAsia="Arial" w:hAnsi="Arial"/>
          <w:sz w:val="13"/>
          <w:szCs w:val="13"/>
          <w:color w:val="auto"/>
        </w:rPr>
        <w:t>the strength of the United States economy in general and the strength of the local economies in which we conduct operations;</w:t>
      </w:r>
    </w:p>
    <w:p>
      <w:pPr>
        <w:spacing w:after="0" w:line="22" w:lineRule="exact"/>
        <w:rPr>
          <w:rFonts w:ascii="Arial" w:cs="Arial" w:eastAsia="Arial" w:hAnsi="Arial"/>
          <w:sz w:val="13"/>
          <w:szCs w:val="13"/>
          <w:color w:val="auto"/>
        </w:rPr>
      </w:pPr>
    </w:p>
    <w:p>
      <w:pPr>
        <w:ind w:left="920" w:right="699" w:hanging="257"/>
        <w:spacing w:after="0" w:line="246" w:lineRule="auto"/>
        <w:tabs>
          <w:tab w:leader="none" w:pos="920" w:val="left"/>
        </w:tabs>
        <w:numPr>
          <w:ilvl w:val="0"/>
          <w:numId w:val="7"/>
        </w:numPr>
        <w:rPr>
          <w:rFonts w:ascii="Arial" w:cs="Arial" w:eastAsia="Arial" w:hAnsi="Arial"/>
          <w:sz w:val="14"/>
          <w:szCs w:val="14"/>
          <w:color w:val="auto"/>
        </w:rPr>
      </w:pPr>
      <w:r>
        <w:rPr>
          <w:rFonts w:ascii="Arial" w:cs="Arial" w:eastAsia="Arial" w:hAnsi="Arial"/>
          <w:sz w:val="14"/>
          <w:szCs w:val="14"/>
          <w:color w:val="auto"/>
        </w:rPr>
        <w:t>the continuation of the COVID-19 pandemic and its impact on us, our employees, customers and third-party service providers, and the ultimate extent of the impacts of the pandemic and related government stimulus programs;</w:t>
      </w:r>
    </w:p>
    <w:p>
      <w:pPr>
        <w:ind w:left="920" w:hanging="257"/>
        <w:spacing w:after="0"/>
        <w:tabs>
          <w:tab w:leader="none" w:pos="920" w:val="left"/>
        </w:tabs>
        <w:numPr>
          <w:ilvl w:val="0"/>
          <w:numId w:val="7"/>
        </w:numPr>
        <w:rPr>
          <w:rFonts w:ascii="Arial" w:cs="Arial" w:eastAsia="Arial" w:hAnsi="Arial"/>
          <w:sz w:val="14"/>
          <w:szCs w:val="14"/>
          <w:color w:val="auto"/>
        </w:rPr>
      </w:pPr>
      <w:r>
        <w:rPr>
          <w:rFonts w:ascii="Arial" w:cs="Arial" w:eastAsia="Arial" w:hAnsi="Arial"/>
          <w:sz w:val="14"/>
          <w:szCs w:val="14"/>
          <w:color w:val="auto"/>
        </w:rPr>
        <w:t>our ability to successfully manage interest rate risk, credit risk, liquidity risk, and other risks inherent to our industry;</w:t>
      </w:r>
    </w:p>
    <w:p>
      <w:pPr>
        <w:ind w:left="920" w:right="679" w:hanging="257"/>
        <w:spacing w:after="0" w:line="246" w:lineRule="auto"/>
        <w:tabs>
          <w:tab w:leader="none" w:pos="920" w:val="left"/>
        </w:tabs>
        <w:numPr>
          <w:ilvl w:val="0"/>
          <w:numId w:val="7"/>
        </w:numPr>
        <w:rPr>
          <w:rFonts w:ascii="Arial" w:cs="Arial" w:eastAsia="Arial" w:hAnsi="Arial"/>
          <w:sz w:val="14"/>
          <w:szCs w:val="14"/>
          <w:color w:val="auto"/>
        </w:rPr>
      </w:pPr>
      <w:r>
        <w:rPr>
          <w:rFonts w:ascii="Arial" w:cs="Arial" w:eastAsia="Arial" w:hAnsi="Arial"/>
          <w:sz w:val="14"/>
          <w:szCs w:val="14"/>
          <w:color w:val="auto"/>
        </w:rPr>
        <w:t>the accuracy of our financial statement estimates and assumptions, including the estimates used for our credit loss reserve and deferred tax asset valuation allowance;</w:t>
      </w:r>
    </w:p>
    <w:p>
      <w:pPr>
        <w:ind w:left="920" w:hanging="257"/>
        <w:spacing w:after="0"/>
        <w:tabs>
          <w:tab w:leader="none" w:pos="920" w:val="left"/>
        </w:tabs>
        <w:numPr>
          <w:ilvl w:val="0"/>
          <w:numId w:val="7"/>
        </w:numPr>
        <w:rPr>
          <w:rFonts w:ascii="Arial" w:cs="Arial" w:eastAsia="Arial" w:hAnsi="Arial"/>
          <w:sz w:val="14"/>
          <w:szCs w:val="14"/>
          <w:color w:val="auto"/>
        </w:rPr>
      </w:pPr>
      <w:r>
        <w:rPr>
          <w:rFonts w:ascii="Arial" w:cs="Arial" w:eastAsia="Arial" w:hAnsi="Arial"/>
          <w:sz w:val="14"/>
          <w:szCs w:val="14"/>
          <w:color w:val="auto"/>
        </w:rPr>
        <w:t>the efficiency and effectiveness of our internal control environment;</w:t>
      </w:r>
    </w:p>
    <w:p>
      <w:pPr>
        <w:ind w:left="920" w:right="679" w:hanging="257"/>
        <w:spacing w:after="0" w:line="246" w:lineRule="auto"/>
        <w:tabs>
          <w:tab w:leader="none" w:pos="920" w:val="left"/>
        </w:tabs>
        <w:numPr>
          <w:ilvl w:val="0"/>
          <w:numId w:val="7"/>
        </w:numPr>
        <w:rPr>
          <w:rFonts w:ascii="Arial" w:cs="Arial" w:eastAsia="Arial" w:hAnsi="Arial"/>
          <w:sz w:val="14"/>
          <w:szCs w:val="14"/>
          <w:color w:val="auto"/>
        </w:rPr>
      </w:pPr>
      <w:r>
        <w:rPr>
          <w:rFonts w:ascii="Arial" w:cs="Arial" w:eastAsia="Arial" w:hAnsi="Arial"/>
          <w:sz w:val="14"/>
          <w:szCs w:val="14"/>
          <w:color w:val="auto"/>
        </w:rPr>
        <w:t>our ability to comply with the extensive laws and regulations to which we are subject, including the laws for each jurisdiction where we operate;</w:t>
      </w:r>
    </w:p>
    <w:p>
      <w:pPr>
        <w:ind w:left="920" w:right="699" w:hanging="257"/>
        <w:spacing w:after="0" w:line="244" w:lineRule="auto"/>
        <w:tabs>
          <w:tab w:leader="none" w:pos="920" w:val="left"/>
        </w:tabs>
        <w:numPr>
          <w:ilvl w:val="0"/>
          <w:numId w:val="7"/>
        </w:numPr>
        <w:rPr>
          <w:rFonts w:ascii="Arial" w:cs="Arial" w:eastAsia="Arial" w:hAnsi="Arial"/>
          <w:sz w:val="14"/>
          <w:szCs w:val="14"/>
          <w:color w:val="auto"/>
        </w:rPr>
      </w:pPr>
      <w:r>
        <w:rPr>
          <w:rFonts w:ascii="Arial" w:cs="Arial" w:eastAsia="Arial" w:hAnsi="Arial"/>
          <w:sz w:val="14"/>
          <w:szCs w:val="14"/>
          <w:color w:val="auto"/>
        </w:rPr>
        <w:t>legislative or regulatory changes and changes in accounting principles, policies, practices or guidelines, including the effects of the forthcoming implementation of the Current Expected Credit Losses (“CECL”) standard;</w:t>
      </w:r>
    </w:p>
    <w:p>
      <w:pPr>
        <w:ind w:left="920" w:right="679" w:hanging="257"/>
        <w:spacing w:after="0"/>
        <w:tabs>
          <w:tab w:leader="none" w:pos="920" w:val="left"/>
        </w:tabs>
        <w:numPr>
          <w:ilvl w:val="0"/>
          <w:numId w:val="7"/>
        </w:numPr>
        <w:rPr>
          <w:rFonts w:ascii="Arial" w:cs="Arial" w:eastAsia="Arial" w:hAnsi="Arial"/>
          <w:sz w:val="14"/>
          <w:szCs w:val="14"/>
          <w:color w:val="auto"/>
        </w:rPr>
      </w:pPr>
      <w:r>
        <w:rPr>
          <w:rFonts w:ascii="Arial" w:cs="Arial" w:eastAsia="Arial" w:hAnsi="Arial"/>
          <w:sz w:val="14"/>
          <w:szCs w:val="14"/>
          <w:color w:val="auto"/>
        </w:rPr>
        <w:t>the effects of our lack of a diversified loan portfolio and concentration in the South Florida market, including the risks of geographic, depositor, and industry concentrations, including our concentration in loans secured by real estate;</w:t>
      </w:r>
    </w:p>
    <w:p>
      <w:pPr>
        <w:ind w:left="920" w:hanging="257"/>
        <w:spacing w:after="0"/>
        <w:tabs>
          <w:tab w:leader="none" w:pos="920" w:val="left"/>
        </w:tabs>
        <w:numPr>
          <w:ilvl w:val="0"/>
          <w:numId w:val="7"/>
        </w:numPr>
        <w:rPr>
          <w:rFonts w:ascii="Arial" w:cs="Arial" w:eastAsia="Arial" w:hAnsi="Arial"/>
          <w:sz w:val="14"/>
          <w:szCs w:val="14"/>
          <w:color w:val="auto"/>
        </w:rPr>
      </w:pPr>
      <w:r>
        <w:rPr>
          <w:rFonts w:ascii="Arial" w:cs="Arial" w:eastAsia="Arial" w:hAnsi="Arial"/>
          <w:sz w:val="14"/>
          <w:szCs w:val="14"/>
          <w:color w:val="auto"/>
        </w:rPr>
        <w:t>the concentration of ownership of our Class A common stock;</w:t>
      </w:r>
    </w:p>
    <w:p>
      <w:pPr>
        <w:spacing w:after="0" w:line="7" w:lineRule="exact"/>
        <w:rPr>
          <w:rFonts w:ascii="Arial" w:cs="Arial" w:eastAsia="Arial" w:hAnsi="Arial"/>
          <w:sz w:val="14"/>
          <w:szCs w:val="14"/>
          <w:color w:val="auto"/>
        </w:rPr>
      </w:pPr>
    </w:p>
    <w:p>
      <w:pPr>
        <w:ind w:left="920" w:hanging="257"/>
        <w:spacing w:after="0"/>
        <w:tabs>
          <w:tab w:leader="none" w:pos="920" w:val="left"/>
        </w:tabs>
        <w:numPr>
          <w:ilvl w:val="0"/>
          <w:numId w:val="7"/>
        </w:numPr>
        <w:rPr>
          <w:rFonts w:ascii="Arial" w:cs="Arial" w:eastAsia="Arial" w:hAnsi="Arial"/>
          <w:sz w:val="14"/>
          <w:szCs w:val="14"/>
          <w:color w:val="auto"/>
        </w:rPr>
      </w:pPr>
      <w:r>
        <w:rPr>
          <w:rFonts w:ascii="Arial" w:cs="Arial" w:eastAsia="Arial" w:hAnsi="Arial"/>
          <w:sz w:val="14"/>
          <w:szCs w:val="14"/>
          <w:color w:val="auto"/>
        </w:rPr>
        <w:t>fluctuations in the price of our Class A common stock;</w:t>
      </w: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9019"/>
          </w:cols>
          <w:pgMar w:left="1440" w:top="893" w:right="1440" w:bottom="1440" w:gutter="0" w:footer="0" w:header="0"/>
        </w:sectPr>
      </w:pPr>
    </w:p>
    <w:bookmarkStart w:id="5" w:name="page6"/>
    <w:bookmarkEnd w:id="5"/>
    <w:p>
      <w:pPr>
        <w:ind w:left="920" w:right="699" w:hanging="257"/>
        <w:spacing w:after="0" w:line="255" w:lineRule="auto"/>
        <w:tabs>
          <w:tab w:leader="none" w:pos="920" w:val="left"/>
        </w:tabs>
        <w:numPr>
          <w:ilvl w:val="0"/>
          <w:numId w:val="8"/>
        </w:numPr>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our ability to fund or access the capital markets at attractive rates and terms and manage our growth, both organic growth as well as growth through other means, such as future acquisitions;</w:t>
      </w:r>
    </w:p>
    <w:p>
      <w:pPr>
        <w:ind w:left="920" w:hanging="257"/>
        <w:spacing w:after="0"/>
        <w:tabs>
          <w:tab w:leader="none" w:pos="920" w:val="left"/>
        </w:tabs>
        <w:numPr>
          <w:ilvl w:val="0"/>
          <w:numId w:val="8"/>
        </w:numPr>
        <w:rPr>
          <w:rFonts w:ascii="Arial" w:cs="Arial" w:eastAsia="Arial" w:hAnsi="Arial"/>
          <w:sz w:val="14"/>
          <w:szCs w:val="14"/>
          <w:color w:val="auto"/>
        </w:rPr>
      </w:pPr>
      <w:r>
        <w:rPr>
          <w:rFonts w:ascii="Arial" w:cs="Arial" w:eastAsia="Arial" w:hAnsi="Arial"/>
          <w:sz w:val="14"/>
          <w:szCs w:val="14"/>
          <w:color w:val="auto"/>
        </w:rPr>
        <w:t>inflation, interest rate, unemployment rate, market, and monetary fluctuations;</w:t>
      </w:r>
    </w:p>
    <w:p>
      <w:pPr>
        <w:ind w:left="920" w:hanging="257"/>
        <w:spacing w:after="0"/>
        <w:tabs>
          <w:tab w:leader="none" w:pos="920" w:val="left"/>
        </w:tabs>
        <w:numPr>
          <w:ilvl w:val="0"/>
          <w:numId w:val="8"/>
        </w:numPr>
        <w:rPr>
          <w:rFonts w:ascii="Arial" w:cs="Arial" w:eastAsia="Arial" w:hAnsi="Arial"/>
          <w:sz w:val="14"/>
          <w:szCs w:val="14"/>
          <w:color w:val="auto"/>
        </w:rPr>
      </w:pPr>
      <w:r>
        <w:rPr>
          <w:rFonts w:ascii="Arial" w:cs="Arial" w:eastAsia="Arial" w:hAnsi="Arial"/>
          <w:sz w:val="14"/>
          <w:szCs w:val="14"/>
          <w:color w:val="auto"/>
        </w:rPr>
        <w:t>increased competition and its effect on the pricing of our products and services as well as our interest rate margin;</w:t>
      </w:r>
    </w:p>
    <w:p>
      <w:pPr>
        <w:spacing w:after="0" w:line="7" w:lineRule="exact"/>
        <w:rPr>
          <w:rFonts w:ascii="Arial" w:cs="Arial" w:eastAsia="Arial" w:hAnsi="Arial"/>
          <w:sz w:val="14"/>
          <w:szCs w:val="14"/>
          <w:color w:val="auto"/>
        </w:rPr>
      </w:pPr>
    </w:p>
    <w:p>
      <w:pPr>
        <w:ind w:left="920" w:right="679" w:hanging="257"/>
        <w:spacing w:after="0"/>
        <w:tabs>
          <w:tab w:leader="none" w:pos="920" w:val="left"/>
        </w:tabs>
        <w:numPr>
          <w:ilvl w:val="0"/>
          <w:numId w:val="8"/>
        </w:numPr>
        <w:rPr>
          <w:rFonts w:ascii="Arial" w:cs="Arial" w:eastAsia="Arial" w:hAnsi="Arial"/>
          <w:sz w:val="14"/>
          <w:szCs w:val="14"/>
          <w:color w:val="auto"/>
        </w:rPr>
      </w:pPr>
      <w:r>
        <w:rPr>
          <w:rFonts w:ascii="Arial" w:cs="Arial" w:eastAsia="Arial" w:hAnsi="Arial"/>
          <w:sz w:val="14"/>
          <w:szCs w:val="14"/>
          <w:color w:val="auto"/>
        </w:rPr>
        <w:t>the effectiveness of our risk management strategies, including operational risks, including, but not limited to, client, employee, or third-party fraud and security breaches; and</w:t>
      </w:r>
    </w:p>
    <w:p>
      <w:pPr>
        <w:ind w:left="920" w:hanging="257"/>
        <w:spacing w:after="0"/>
        <w:tabs>
          <w:tab w:leader="none" w:pos="920" w:val="left"/>
        </w:tabs>
        <w:numPr>
          <w:ilvl w:val="0"/>
          <w:numId w:val="8"/>
        </w:numPr>
        <w:rPr>
          <w:rFonts w:ascii="Arial" w:cs="Arial" w:eastAsia="Arial" w:hAnsi="Arial"/>
          <w:sz w:val="13"/>
          <w:szCs w:val="13"/>
          <w:color w:val="auto"/>
        </w:rPr>
      </w:pPr>
      <w:r>
        <w:rPr>
          <w:rFonts w:ascii="Arial" w:cs="Arial" w:eastAsia="Arial" w:hAnsi="Arial"/>
          <w:sz w:val="13"/>
          <w:szCs w:val="13"/>
          <w:color w:val="auto"/>
        </w:rPr>
        <w:t>other risks described in this earnings release and other filings we make with the Securities and Exchange Commission (“SEC”).</w:t>
      </w:r>
    </w:p>
    <w:p>
      <w:pPr>
        <w:spacing w:after="0" w:line="169" w:lineRule="exact"/>
        <w:rPr>
          <w:sz w:val="20"/>
          <w:szCs w:val="20"/>
          <w:color w:val="auto"/>
        </w:rPr>
      </w:pPr>
    </w:p>
    <w:p>
      <w:pPr>
        <w:jc w:val="both"/>
        <w:ind w:left="660" w:right="679"/>
        <w:spacing w:after="0" w:line="270" w:lineRule="auto"/>
        <w:rPr>
          <w:sz w:val="20"/>
          <w:szCs w:val="20"/>
          <w:color w:val="auto"/>
        </w:rPr>
      </w:pPr>
      <w:r>
        <w:rPr>
          <w:rFonts w:ascii="Arial" w:cs="Arial" w:eastAsia="Arial" w:hAnsi="Arial"/>
          <w:sz w:val="13"/>
          <w:szCs w:val="13"/>
          <w:color w:val="auto"/>
        </w:rPr>
        <w:t>All forward-looking statements are necessarily only estimates of future results, and there can be no assurance that actual results will not differ materially from expectations. Therefore, you are cautioned not to place undue reliance on any forward-looking statements. Further, forward-looking statements included in this earnings release are made only as of the date hereof, and we undertake no obligation to update or revise any forward-looking statement to reflect events or circumstances after the date on which the statement is made or to reflect the occurrence of unanticipated events, unless required to do so under the federal securities laws. You should also review the risk factors described in the reports the Company filed or will file with the SEC and, for periods prior to the completion of the bank holding company reorganization in December 2021, the Bank filed with the FDIC.</w:t>
      </w:r>
    </w:p>
    <w:p>
      <w:pPr>
        <w:spacing w:after="0" w:line="131"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Non-GAAP Financial Measures</w:t>
      </w:r>
    </w:p>
    <w:p>
      <w:pPr>
        <w:spacing w:after="0" w:line="163" w:lineRule="exact"/>
        <w:rPr>
          <w:sz w:val="20"/>
          <w:szCs w:val="20"/>
          <w:color w:val="auto"/>
        </w:rPr>
      </w:pPr>
    </w:p>
    <w:p>
      <w:pPr>
        <w:jc w:val="both"/>
        <w:ind w:left="660" w:right="679"/>
        <w:spacing w:after="0" w:line="269" w:lineRule="auto"/>
        <w:rPr>
          <w:sz w:val="20"/>
          <w:szCs w:val="20"/>
          <w:color w:val="auto"/>
        </w:rPr>
      </w:pPr>
      <w:r>
        <w:rPr>
          <w:rFonts w:ascii="Arial" w:cs="Arial" w:eastAsia="Arial" w:hAnsi="Arial"/>
          <w:sz w:val="13"/>
          <w:szCs w:val="13"/>
          <w:color w:val="auto"/>
        </w:rPr>
        <w:t>This earnings release includes financial information determined by methods other than in accordance with generally accepted accounting principles (“GAAP”). This financial information includes certain operating performance measures. Management has included these non-GAAP measures because it believes these measures may provide useful supplemental information for evaluating the Company’s underlying performance trends. Further, management uses these measures in managing and evaluating the Company’s business and intends to refer to them in discussions about our operations and performance. Operating performance measures should be viewed in addition to, and not as an alternative to or substitute for, measures determined in accordance with GAAP, and are not necessarily comparable to non-GAAP measures that may be presented by other companies. To the extent applicable, reconciliations of these non-GAAP measures to the most directly comparable GAAP measures can be found in the ‘Non-GAAP Reconciliation Tables’ included in the exhibits to this earnings release.</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14"/>
          <w:szCs w:val="14"/>
          <w:color w:val="auto"/>
        </w:rPr>
        <w:t>You should assume that all numbers are unaudited unless otherwise noted.</w:t>
      </w:r>
    </w:p>
    <w:p>
      <w:pPr>
        <w:spacing w:after="0" w:line="155"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Contacts: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Investor Relations</w:t>
      </w:r>
    </w:p>
    <w:p>
      <w:pPr>
        <w:spacing w:after="0" w:line="15" w:lineRule="exact"/>
        <w:rPr>
          <w:sz w:val="20"/>
          <w:szCs w:val="20"/>
          <w:color w:val="auto"/>
        </w:rPr>
      </w:pPr>
    </w:p>
    <w:p>
      <w:pPr>
        <w:ind w:left="660"/>
        <w:spacing w:after="0"/>
        <w:rPr>
          <w:sz w:val="20"/>
          <w:szCs w:val="20"/>
          <w:color w:val="auto"/>
        </w:rPr>
      </w:pPr>
      <w:r>
        <w:rPr>
          <w:rFonts w:ascii="Arial" w:cs="Arial" w:eastAsia="Arial" w:hAnsi="Arial"/>
          <w:sz w:val="14"/>
          <w:szCs w:val="14"/>
          <w:color w:val="0000FF"/>
        </w:rPr>
        <w:t>InvestorRelations@uscentury.com</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Media Relations</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4"/>
          <w:szCs w:val="14"/>
          <w:color w:val="auto"/>
        </w:rPr>
        <w:t>Martha Guerra-Kattou</w:t>
      </w:r>
    </w:p>
    <w:p>
      <w:pPr>
        <w:spacing w:after="0" w:line="2" w:lineRule="exact"/>
        <w:rPr>
          <w:sz w:val="20"/>
          <w:szCs w:val="20"/>
          <w:color w:val="auto"/>
        </w:rPr>
      </w:pPr>
    </w:p>
    <w:p>
      <w:pPr>
        <w:ind w:left="660"/>
        <w:spacing w:after="0"/>
        <w:rPr>
          <w:sz w:val="20"/>
          <w:szCs w:val="20"/>
          <w:color w:val="auto"/>
        </w:rPr>
      </w:pPr>
      <w:r>
        <w:rPr>
          <w:rFonts w:ascii="Arial" w:cs="Arial" w:eastAsia="Arial" w:hAnsi="Arial"/>
          <w:sz w:val="14"/>
          <w:szCs w:val="14"/>
          <w:color w:val="0000FF"/>
        </w:rPr>
        <w:t>MGuerra@uscentury.com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9019"/>
          </w:cols>
          <w:pgMar w:left="1440" w:top="727" w:right="1440"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USCB FINANCIAL HOLDINGS, INC.</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CONSOLIDATED STATEMENTS OF INCOME (UNAUDITED)</w:t>
      </w:r>
    </w:p>
    <w:p>
      <w:pPr>
        <w:jc w:val="center"/>
        <w:ind w:right="19"/>
        <w:spacing w:after="0"/>
        <w:rPr>
          <w:sz w:val="20"/>
          <w:szCs w:val="20"/>
          <w:color w:val="auto"/>
        </w:rPr>
      </w:pPr>
      <w:r>
        <w:rPr>
          <w:rFonts w:ascii="Arial" w:cs="Arial" w:eastAsia="Arial" w:hAnsi="Arial"/>
          <w:sz w:val="14"/>
          <w:szCs w:val="14"/>
          <w:color w:val="auto"/>
        </w:rPr>
        <w:t>(Dollars in thousands, except per share data)</w:t>
      </w:r>
    </w:p>
    <w:p>
      <w:pPr>
        <w:spacing w:after="0" w:line="171" w:lineRule="exact"/>
        <w:rPr>
          <w:sz w:val="20"/>
          <w:szCs w:val="20"/>
          <w:color w:val="auto"/>
        </w:rPr>
      </w:pPr>
    </w:p>
    <w:tbl>
      <w:tblPr>
        <w:tblLayout w:type="fixed"/>
        <w:tblInd w:w="660" w:type="dxa"/>
        <w:tblCellMar>
          <w:top w:w="0" w:type="dxa"/>
          <w:left w:w="0" w:type="dxa"/>
          <w:bottom w:w="0" w:type="dxa"/>
          <w:right w:w="0" w:type="dxa"/>
        </w:tblCellMar>
      </w:tblPr>
      <w:tr>
        <w:trPr>
          <w:trHeight w:val="135"/>
        </w:trPr>
        <w:tc>
          <w:tcPr>
            <w:tcW w:w="3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20" w:type="dxa"/>
            <w:vAlign w:val="bottom"/>
            <w:gridSpan w:val="5"/>
          </w:tcPr>
          <w:p>
            <w:pPr>
              <w:jc w:val="right"/>
              <w:ind w:right="203"/>
              <w:spacing w:after="0"/>
              <w:rPr>
                <w:sz w:val="20"/>
                <w:szCs w:val="20"/>
                <w:color w:val="auto"/>
              </w:rPr>
            </w:pPr>
            <w:r>
              <w:rPr>
                <w:rFonts w:ascii="Arial" w:cs="Arial" w:eastAsia="Arial" w:hAnsi="Arial"/>
                <w:sz w:val="11"/>
                <w:szCs w:val="11"/>
                <w:b w:val="1"/>
                <w:bCs w:val="1"/>
                <w:color w:val="auto"/>
                <w:w w:val="98"/>
              </w:rPr>
              <w:t>Three Months Ended June 30,</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760" w:type="dxa"/>
            <w:vAlign w:val="bottom"/>
            <w:gridSpan w:val="5"/>
          </w:tcPr>
          <w:p>
            <w:pPr>
              <w:jc w:val="right"/>
              <w:ind w:right="300"/>
              <w:spacing w:after="0"/>
              <w:rPr>
                <w:sz w:val="20"/>
                <w:szCs w:val="20"/>
                <w:color w:val="auto"/>
              </w:rPr>
            </w:pPr>
            <w:r>
              <w:rPr>
                <w:rFonts w:ascii="Arial" w:cs="Arial" w:eastAsia="Arial" w:hAnsi="Arial"/>
                <w:sz w:val="11"/>
                <w:szCs w:val="11"/>
                <w:b w:val="1"/>
                <w:bCs w:val="1"/>
                <w:color w:val="auto"/>
              </w:rPr>
              <w:t>Six Months Ended June 30,</w:t>
            </w:r>
          </w:p>
        </w:tc>
      </w:tr>
      <w:tr>
        <w:trPr>
          <w:trHeight w:val="131"/>
        </w:trPr>
        <w:tc>
          <w:tcPr>
            <w:tcW w:w="3620" w:type="dxa"/>
            <w:vAlign w:val="bottom"/>
            <w:tcBorders>
              <w:bottom w:val="single" w:sz="8" w:color="CCEEFF"/>
            </w:tcBorders>
          </w:tcPr>
          <w:p>
            <w:pPr>
              <w:spacing w:after="0"/>
              <w:rPr>
                <w:sz w:val="11"/>
                <w:szCs w:val="11"/>
                <w:color w:val="auto"/>
              </w:rPr>
            </w:pPr>
          </w:p>
        </w:tc>
        <w:tc>
          <w:tcPr>
            <w:tcW w:w="20" w:type="dxa"/>
            <w:vAlign w:val="bottom"/>
            <w:tcBorders>
              <w:top w:val="single" w:sz="8" w:color="auto"/>
              <w:bottom w:val="single" w:sz="8" w:color="auto"/>
            </w:tcBorders>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760" w:type="dxa"/>
            <w:vAlign w:val="bottom"/>
            <w:tcBorders>
              <w:top w:val="single" w:sz="8" w:color="auto"/>
              <w:bottom w:val="single" w:sz="8" w:color="auto"/>
            </w:tcBorders>
          </w:tcPr>
          <w:p>
            <w:pPr>
              <w:jc w:val="right"/>
              <w:ind w:right="303"/>
              <w:spacing w:after="0"/>
              <w:rPr>
                <w:sz w:val="20"/>
                <w:szCs w:val="20"/>
                <w:color w:val="auto"/>
              </w:rPr>
            </w:pPr>
            <w:r>
              <w:rPr>
                <w:rFonts w:ascii="Arial" w:cs="Arial" w:eastAsia="Arial" w:hAnsi="Arial"/>
                <w:sz w:val="11"/>
                <w:szCs w:val="11"/>
                <w:b w:val="1"/>
                <w:bCs w:val="1"/>
                <w:color w:val="auto"/>
              </w:rPr>
              <w:t>2022</w:t>
            </w:r>
          </w:p>
        </w:tc>
        <w:tc>
          <w:tcPr>
            <w:tcW w:w="100" w:type="dxa"/>
            <w:vAlign w:val="bottom"/>
            <w:tcBorders>
              <w:top w:val="single" w:sz="8" w:color="auto"/>
              <w:bottom w:val="single" w:sz="8" w:color="CCEEFF"/>
            </w:tcBorders>
          </w:tcPr>
          <w:p>
            <w:pPr>
              <w:spacing w:after="0"/>
              <w:rPr>
                <w:sz w:val="11"/>
                <w:szCs w:val="11"/>
                <w:color w:val="auto"/>
              </w:rPr>
            </w:pPr>
          </w:p>
        </w:tc>
        <w:tc>
          <w:tcPr>
            <w:tcW w:w="20" w:type="dxa"/>
            <w:vAlign w:val="bottom"/>
            <w:tcBorders>
              <w:top w:val="single" w:sz="8" w:color="auto"/>
              <w:bottom w:val="single" w:sz="8" w:color="auto"/>
            </w:tcBorders>
          </w:tcPr>
          <w:p>
            <w:pPr>
              <w:spacing w:after="0"/>
              <w:rPr>
                <w:sz w:val="11"/>
                <w:szCs w:val="11"/>
                <w:color w:val="auto"/>
              </w:rPr>
            </w:pPr>
          </w:p>
        </w:tc>
        <w:tc>
          <w:tcPr>
            <w:tcW w:w="240" w:type="dxa"/>
            <w:vAlign w:val="bottom"/>
            <w:tcBorders>
              <w:top w:val="single" w:sz="8" w:color="auto"/>
              <w:bottom w:val="single" w:sz="8" w:color="auto"/>
            </w:tcBorders>
          </w:tcPr>
          <w:p>
            <w:pPr>
              <w:spacing w:after="0"/>
              <w:rPr>
                <w:sz w:val="11"/>
                <w:szCs w:val="11"/>
                <w:color w:val="auto"/>
              </w:rPr>
            </w:pPr>
          </w:p>
        </w:tc>
        <w:tc>
          <w:tcPr>
            <w:tcW w:w="700" w:type="dxa"/>
            <w:vAlign w:val="bottom"/>
            <w:tcBorders>
              <w:top w:val="single" w:sz="8" w:color="auto"/>
              <w:bottom w:val="single" w:sz="8" w:color="auto"/>
            </w:tcBorders>
          </w:tcPr>
          <w:p>
            <w:pPr>
              <w:jc w:val="right"/>
              <w:ind w:right="303"/>
              <w:spacing w:after="0"/>
              <w:rPr>
                <w:sz w:val="20"/>
                <w:szCs w:val="20"/>
                <w:color w:val="auto"/>
              </w:rPr>
            </w:pPr>
            <w:r>
              <w:rPr>
                <w:rFonts w:ascii="Arial" w:cs="Arial" w:eastAsia="Arial" w:hAnsi="Arial"/>
                <w:sz w:val="11"/>
                <w:szCs w:val="11"/>
                <w:b w:val="1"/>
                <w:bCs w:val="1"/>
                <w:color w:val="auto"/>
              </w:rPr>
              <w:t>2021</w:t>
            </w:r>
          </w:p>
        </w:tc>
        <w:tc>
          <w:tcPr>
            <w:tcW w:w="20" w:type="dxa"/>
            <w:vAlign w:val="bottom"/>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720" w:type="dxa"/>
            <w:vAlign w:val="bottom"/>
            <w:tcBorders>
              <w:top w:val="single" w:sz="8" w:color="auto"/>
              <w:bottom w:val="single" w:sz="8" w:color="auto"/>
            </w:tcBorders>
          </w:tcPr>
          <w:p>
            <w:pPr>
              <w:jc w:val="right"/>
              <w:ind w:right="283"/>
              <w:spacing w:after="0"/>
              <w:rPr>
                <w:sz w:val="20"/>
                <w:szCs w:val="20"/>
                <w:color w:val="auto"/>
              </w:rPr>
            </w:pPr>
            <w:r>
              <w:rPr>
                <w:rFonts w:ascii="Arial" w:cs="Arial" w:eastAsia="Arial" w:hAnsi="Arial"/>
                <w:sz w:val="11"/>
                <w:szCs w:val="11"/>
                <w:b w:val="1"/>
                <w:bCs w:val="1"/>
                <w:color w:val="auto"/>
              </w:rPr>
              <w:t>2022</w:t>
            </w:r>
          </w:p>
        </w:tc>
        <w:tc>
          <w:tcPr>
            <w:tcW w:w="120" w:type="dxa"/>
            <w:vAlign w:val="bottom"/>
            <w:tcBorders>
              <w:top w:val="single" w:sz="8" w:color="auto"/>
              <w:bottom w:val="single" w:sz="8" w:color="CCEEFF"/>
            </w:tcBorders>
          </w:tcPr>
          <w:p>
            <w:pPr>
              <w:spacing w:after="0"/>
              <w:rPr>
                <w:sz w:val="11"/>
                <w:szCs w:val="11"/>
                <w:color w:val="auto"/>
              </w:rPr>
            </w:pPr>
          </w:p>
        </w:tc>
        <w:tc>
          <w:tcPr>
            <w:tcW w:w="200" w:type="dxa"/>
            <w:vAlign w:val="bottom"/>
            <w:tcBorders>
              <w:top w:val="single" w:sz="8" w:color="auto"/>
              <w:bottom w:val="single" w:sz="8" w:color="auto"/>
            </w:tcBorders>
          </w:tcPr>
          <w:p>
            <w:pPr>
              <w:spacing w:after="0"/>
              <w:rPr>
                <w:sz w:val="11"/>
                <w:szCs w:val="11"/>
                <w:color w:val="auto"/>
              </w:rPr>
            </w:pPr>
          </w:p>
        </w:tc>
        <w:tc>
          <w:tcPr>
            <w:tcW w:w="700" w:type="dxa"/>
            <w:vAlign w:val="bottom"/>
            <w:tcBorders>
              <w:top w:val="single" w:sz="8" w:color="auto"/>
              <w:bottom w:val="single" w:sz="8" w:color="auto"/>
            </w:tcBorders>
          </w:tcPr>
          <w:p>
            <w:pPr>
              <w:jc w:val="right"/>
              <w:ind w:right="283"/>
              <w:spacing w:after="0"/>
              <w:rPr>
                <w:sz w:val="20"/>
                <w:szCs w:val="20"/>
                <w:color w:val="auto"/>
              </w:rPr>
            </w:pPr>
            <w:r>
              <w:rPr>
                <w:rFonts w:ascii="Arial" w:cs="Arial" w:eastAsia="Arial" w:hAnsi="Arial"/>
                <w:sz w:val="11"/>
                <w:szCs w:val="11"/>
                <w:b w:val="1"/>
                <w:bCs w:val="1"/>
                <w:color w:val="auto"/>
              </w:rPr>
              <w:t>2021</w:t>
            </w:r>
          </w:p>
        </w:tc>
        <w:tc>
          <w:tcPr>
            <w:tcW w:w="20" w:type="dxa"/>
            <w:vAlign w:val="bottom"/>
          </w:tcPr>
          <w:p>
            <w:pPr>
              <w:spacing w:after="0"/>
              <w:rPr>
                <w:sz w:val="11"/>
                <w:szCs w:val="11"/>
                <w:color w:val="auto"/>
              </w:rPr>
            </w:pPr>
          </w:p>
        </w:tc>
      </w:tr>
      <w:tr>
        <w:trPr>
          <w:trHeight w:val="149"/>
        </w:trPr>
        <w:tc>
          <w:tcPr>
            <w:tcW w:w="362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Interest income:</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r>
      <w:tr>
        <w:trPr>
          <w:trHeight w:val="160"/>
        </w:trPr>
        <w:tc>
          <w:tcPr>
            <w:tcW w:w="3620" w:type="dxa"/>
            <w:vAlign w:val="bottom"/>
          </w:tcPr>
          <w:p>
            <w:pPr>
              <w:ind w:left="100"/>
              <w:spacing w:after="0"/>
              <w:rPr>
                <w:sz w:val="20"/>
                <w:szCs w:val="20"/>
                <w:color w:val="auto"/>
              </w:rPr>
            </w:pPr>
            <w:r>
              <w:rPr>
                <w:rFonts w:ascii="Arial" w:cs="Arial" w:eastAsia="Arial" w:hAnsi="Arial"/>
                <w:sz w:val="11"/>
                <w:szCs w:val="11"/>
                <w:color w:val="auto"/>
              </w:rPr>
              <w:t>Loans, including fees</w:t>
            </w:r>
          </w:p>
        </w:tc>
        <w:tc>
          <w:tcPr>
            <w:tcW w:w="20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760" w:type="dxa"/>
            <w:vAlign w:val="bottom"/>
          </w:tcPr>
          <w:p>
            <w:pPr>
              <w:jc w:val="right"/>
              <w:spacing w:after="0"/>
              <w:rPr>
                <w:sz w:val="20"/>
                <w:szCs w:val="20"/>
                <w:color w:val="auto"/>
              </w:rPr>
            </w:pPr>
            <w:r>
              <w:rPr>
                <w:rFonts w:ascii="Arial" w:cs="Arial" w:eastAsia="Arial" w:hAnsi="Arial"/>
                <w:sz w:val="11"/>
                <w:szCs w:val="11"/>
                <w:color w:val="auto"/>
              </w:rPr>
              <w:t>14,053</w:t>
            </w:r>
          </w:p>
        </w:tc>
        <w:tc>
          <w:tcPr>
            <w:tcW w:w="360" w:type="dxa"/>
            <w:vAlign w:val="bottom"/>
            <w:gridSpan w:val="3"/>
          </w:tcPr>
          <w:p>
            <w:pPr>
              <w:jc w:val="right"/>
              <w:ind w:right="120"/>
              <w:spacing w:after="0"/>
              <w:rPr>
                <w:sz w:val="20"/>
                <w:szCs w:val="20"/>
                <w:color w:val="auto"/>
              </w:rPr>
            </w:pPr>
            <w:r>
              <w:rPr>
                <w:rFonts w:ascii="Arial" w:cs="Arial" w:eastAsia="Arial" w:hAnsi="Arial"/>
                <w:sz w:val="11"/>
                <w:szCs w:val="11"/>
                <w:color w:val="auto"/>
              </w:rPr>
              <w:t>$</w:t>
            </w:r>
          </w:p>
        </w:tc>
        <w:tc>
          <w:tcPr>
            <w:tcW w:w="700" w:type="dxa"/>
            <w:vAlign w:val="bottom"/>
          </w:tcPr>
          <w:p>
            <w:pPr>
              <w:jc w:val="right"/>
              <w:spacing w:after="0"/>
              <w:rPr>
                <w:sz w:val="20"/>
                <w:szCs w:val="20"/>
                <w:color w:val="auto"/>
              </w:rPr>
            </w:pPr>
            <w:r>
              <w:rPr>
                <w:rFonts w:ascii="Arial" w:cs="Arial" w:eastAsia="Arial" w:hAnsi="Arial"/>
                <w:sz w:val="11"/>
                <w:szCs w:val="11"/>
                <w:color w:val="auto"/>
              </w:rPr>
              <w:t>11,538</w:t>
            </w:r>
          </w:p>
        </w:tc>
        <w:tc>
          <w:tcPr>
            <w:tcW w:w="300" w:type="dxa"/>
            <w:vAlign w:val="bottom"/>
            <w:gridSpan w:val="3"/>
          </w:tcPr>
          <w:p>
            <w:pPr>
              <w:jc w:val="right"/>
              <w:ind w:right="120"/>
              <w:spacing w:after="0"/>
              <w:rPr>
                <w:sz w:val="20"/>
                <w:szCs w:val="20"/>
                <w:color w:val="auto"/>
              </w:rPr>
            </w:pPr>
            <w:r>
              <w:rPr>
                <w:rFonts w:ascii="Arial" w:cs="Arial" w:eastAsia="Arial" w:hAnsi="Arial"/>
                <w:sz w:val="11"/>
                <w:szCs w:val="11"/>
                <w:color w:val="auto"/>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27,035</w:t>
            </w:r>
          </w:p>
        </w:tc>
        <w:tc>
          <w:tcPr>
            <w:tcW w:w="3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700" w:type="dxa"/>
            <w:vAlign w:val="bottom"/>
          </w:tcPr>
          <w:p>
            <w:pPr>
              <w:jc w:val="right"/>
              <w:spacing w:after="0"/>
              <w:rPr>
                <w:sz w:val="20"/>
                <w:szCs w:val="20"/>
                <w:color w:val="auto"/>
              </w:rPr>
            </w:pPr>
            <w:r>
              <w:rPr>
                <w:rFonts w:ascii="Arial" w:cs="Arial" w:eastAsia="Arial" w:hAnsi="Arial"/>
                <w:sz w:val="11"/>
                <w:szCs w:val="11"/>
                <w:color w:val="auto"/>
              </w:rPr>
              <w:t>23,406</w:t>
            </w:r>
          </w:p>
        </w:tc>
        <w:tc>
          <w:tcPr>
            <w:tcW w:w="20" w:type="dxa"/>
            <w:vAlign w:val="bottom"/>
          </w:tcPr>
          <w:p>
            <w:pPr>
              <w:spacing w:after="0"/>
              <w:rPr>
                <w:sz w:val="13"/>
                <w:szCs w:val="13"/>
                <w:color w:val="auto"/>
              </w:rPr>
            </w:pPr>
          </w:p>
        </w:tc>
      </w:tr>
      <w:tr>
        <w:trPr>
          <w:trHeight w:val="160"/>
        </w:trPr>
        <w:tc>
          <w:tcPr>
            <w:tcW w:w="3620" w:type="dxa"/>
            <w:vAlign w:val="bottom"/>
            <w:shd w:val="clear" w:color="auto" w:fill="CCEEFF"/>
          </w:tcPr>
          <w:p>
            <w:pPr>
              <w:ind w:left="100"/>
              <w:spacing w:after="0"/>
              <w:rPr>
                <w:sz w:val="20"/>
                <w:szCs w:val="20"/>
                <w:color w:val="auto"/>
              </w:rPr>
            </w:pPr>
            <w:r>
              <w:rPr>
                <w:rFonts w:ascii="Arial" w:cs="Arial" w:eastAsia="Arial" w:hAnsi="Arial"/>
                <w:sz w:val="11"/>
                <w:szCs w:val="11"/>
                <w:color w:val="auto"/>
              </w:rPr>
              <w:t>Investment securities</w:t>
            </w:r>
          </w:p>
        </w:tc>
        <w:tc>
          <w:tcPr>
            <w:tcW w:w="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2,510</w:t>
            </w: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1,968</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4,839</w:t>
            </w: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3,812</w:t>
            </w:r>
          </w:p>
        </w:tc>
        <w:tc>
          <w:tcPr>
            <w:tcW w:w="20" w:type="dxa"/>
            <w:vAlign w:val="bottom"/>
            <w:shd w:val="clear" w:color="auto" w:fill="CCEEFF"/>
          </w:tcPr>
          <w:p>
            <w:pPr>
              <w:spacing w:after="0"/>
              <w:rPr>
                <w:sz w:val="13"/>
                <w:szCs w:val="13"/>
                <w:color w:val="auto"/>
              </w:rPr>
            </w:pPr>
          </w:p>
        </w:tc>
      </w:tr>
      <w:tr>
        <w:trPr>
          <w:trHeight w:val="169"/>
        </w:trPr>
        <w:tc>
          <w:tcPr>
            <w:tcW w:w="3620" w:type="dxa"/>
            <w:vAlign w:val="bottom"/>
          </w:tcPr>
          <w:p>
            <w:pPr>
              <w:ind w:left="100"/>
              <w:spacing w:after="0"/>
              <w:rPr>
                <w:sz w:val="20"/>
                <w:szCs w:val="20"/>
                <w:color w:val="auto"/>
              </w:rPr>
            </w:pPr>
            <w:r>
              <w:rPr>
                <w:rFonts w:ascii="Arial" w:cs="Arial" w:eastAsia="Arial" w:hAnsi="Arial"/>
                <w:sz w:val="11"/>
                <w:szCs w:val="11"/>
                <w:color w:val="auto"/>
              </w:rPr>
              <w:t>Interest-bearing deposits in financial institutions</w:t>
            </w: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121</w:t>
            </w:r>
          </w:p>
        </w:tc>
        <w:tc>
          <w:tcPr>
            <w:tcW w:w="10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23</w:t>
            </w:r>
          </w:p>
        </w:tc>
        <w:tc>
          <w:tcPr>
            <w:tcW w:w="20" w:type="dxa"/>
            <w:vAlign w:val="bottom"/>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152</w:t>
            </w:r>
          </w:p>
        </w:tc>
        <w:tc>
          <w:tcPr>
            <w:tcW w:w="1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39</w:t>
            </w:r>
          </w:p>
        </w:tc>
        <w:tc>
          <w:tcPr>
            <w:tcW w:w="20" w:type="dxa"/>
            <w:vAlign w:val="bottom"/>
          </w:tcPr>
          <w:p>
            <w:pPr>
              <w:spacing w:after="0"/>
              <w:rPr>
                <w:sz w:val="14"/>
                <w:szCs w:val="14"/>
                <w:color w:val="auto"/>
              </w:rPr>
            </w:pPr>
          </w:p>
        </w:tc>
      </w:tr>
      <w:tr>
        <w:trPr>
          <w:trHeight w:val="131"/>
        </w:trPr>
        <w:tc>
          <w:tcPr>
            <w:tcW w:w="3620" w:type="dxa"/>
            <w:vAlign w:val="bottom"/>
            <w:tcBorders>
              <w:top w:val="single" w:sz="8" w:color="CCEEFF"/>
            </w:tcBorders>
            <w:shd w:val="clear" w:color="auto" w:fill="CCEEFF"/>
          </w:tcPr>
          <w:p>
            <w:pPr>
              <w:ind w:left="200"/>
              <w:spacing w:after="0"/>
              <w:rPr>
                <w:sz w:val="20"/>
                <w:szCs w:val="20"/>
                <w:color w:val="auto"/>
              </w:rPr>
            </w:pPr>
            <w:r>
              <w:rPr>
                <w:rFonts w:ascii="Arial" w:cs="Arial" w:eastAsia="Arial" w:hAnsi="Arial"/>
                <w:sz w:val="11"/>
                <w:szCs w:val="11"/>
                <w:color w:val="auto"/>
              </w:rPr>
              <w:t>Total interest income</w:t>
            </w:r>
          </w:p>
        </w:tc>
        <w:tc>
          <w:tcPr>
            <w:tcW w:w="20" w:type="dxa"/>
            <w:vAlign w:val="bottom"/>
            <w:tcBorders>
              <w:top w:val="single" w:sz="8" w:color="CCEEFF"/>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16,684</w:t>
            </w:r>
          </w:p>
        </w:tc>
        <w:tc>
          <w:tcPr>
            <w:tcW w:w="10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13,529</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32,026</w:t>
            </w:r>
          </w:p>
        </w:tc>
        <w:tc>
          <w:tcPr>
            <w:tcW w:w="120" w:type="dxa"/>
            <w:vAlign w:val="bottom"/>
            <w:tcBorders>
              <w:top w:val="single" w:sz="8" w:color="CCEEFF"/>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27,257</w:t>
            </w:r>
          </w:p>
        </w:tc>
        <w:tc>
          <w:tcPr>
            <w:tcW w:w="20" w:type="dxa"/>
            <w:vAlign w:val="bottom"/>
            <w:shd w:val="clear" w:color="auto" w:fill="CCEEFF"/>
          </w:tcPr>
          <w:p>
            <w:pPr>
              <w:spacing w:after="0"/>
              <w:rPr>
                <w:sz w:val="11"/>
                <w:szCs w:val="11"/>
                <w:color w:val="auto"/>
              </w:rPr>
            </w:pPr>
          </w:p>
        </w:tc>
      </w:tr>
      <w:tr>
        <w:trPr>
          <w:trHeight w:val="160"/>
        </w:trPr>
        <w:tc>
          <w:tcPr>
            <w:tcW w:w="3620" w:type="dxa"/>
            <w:vAlign w:val="bottom"/>
          </w:tcPr>
          <w:p>
            <w:pPr>
              <w:spacing w:after="0"/>
              <w:rPr>
                <w:sz w:val="20"/>
                <w:szCs w:val="20"/>
                <w:color w:val="auto"/>
              </w:rPr>
            </w:pPr>
            <w:r>
              <w:rPr>
                <w:rFonts w:ascii="Arial" w:cs="Arial" w:eastAsia="Arial" w:hAnsi="Arial"/>
                <w:sz w:val="11"/>
                <w:szCs w:val="11"/>
                <w:b w:val="1"/>
                <w:bCs w:val="1"/>
                <w:color w:val="auto"/>
              </w:rPr>
              <w:t>Interest expense:</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0"/>
        </w:trPr>
        <w:tc>
          <w:tcPr>
            <w:tcW w:w="3620" w:type="dxa"/>
            <w:vAlign w:val="bottom"/>
            <w:shd w:val="clear" w:color="auto" w:fill="CCEEFF"/>
          </w:tcPr>
          <w:p>
            <w:pPr>
              <w:ind w:left="100"/>
              <w:spacing w:after="0"/>
              <w:rPr>
                <w:sz w:val="20"/>
                <w:szCs w:val="20"/>
                <w:color w:val="auto"/>
              </w:rPr>
            </w:pPr>
            <w:r>
              <w:rPr>
                <w:rFonts w:ascii="Arial" w:cs="Arial" w:eastAsia="Arial" w:hAnsi="Arial"/>
                <w:sz w:val="11"/>
                <w:szCs w:val="11"/>
                <w:color w:val="auto"/>
              </w:rPr>
              <w:t>Interest-bearing deposits</w:t>
            </w:r>
          </w:p>
        </w:tc>
        <w:tc>
          <w:tcPr>
            <w:tcW w:w="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w:t>
            </w: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33</w:t>
            </w: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29</w:t>
            </w:r>
          </w:p>
        </w:tc>
        <w:tc>
          <w:tcPr>
            <w:tcW w:w="20" w:type="dxa"/>
            <w:vAlign w:val="bottom"/>
            <w:shd w:val="clear" w:color="auto" w:fill="CCEEFF"/>
          </w:tcPr>
          <w:p>
            <w:pPr>
              <w:spacing w:after="0"/>
              <w:rPr>
                <w:sz w:val="13"/>
                <w:szCs w:val="13"/>
                <w:color w:val="auto"/>
              </w:rPr>
            </w:pPr>
          </w:p>
        </w:tc>
      </w:tr>
      <w:tr>
        <w:trPr>
          <w:trHeight w:val="160"/>
        </w:trPr>
        <w:tc>
          <w:tcPr>
            <w:tcW w:w="3620" w:type="dxa"/>
            <w:vAlign w:val="bottom"/>
          </w:tcPr>
          <w:p>
            <w:pPr>
              <w:ind w:left="100"/>
              <w:spacing w:after="0"/>
              <w:rPr>
                <w:sz w:val="20"/>
                <w:szCs w:val="20"/>
                <w:color w:val="auto"/>
              </w:rPr>
            </w:pPr>
            <w:r>
              <w:rPr>
                <w:rFonts w:ascii="Arial" w:cs="Arial" w:eastAsia="Arial" w:hAnsi="Arial"/>
                <w:sz w:val="11"/>
                <w:szCs w:val="11"/>
                <w:color w:val="auto"/>
              </w:rPr>
              <w:t>Savings and money markets accounts</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615</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523</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1,166</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1,071</w:t>
            </w:r>
          </w:p>
        </w:tc>
        <w:tc>
          <w:tcPr>
            <w:tcW w:w="20" w:type="dxa"/>
            <w:vAlign w:val="bottom"/>
          </w:tcPr>
          <w:p>
            <w:pPr>
              <w:spacing w:after="0"/>
              <w:rPr>
                <w:sz w:val="13"/>
                <w:szCs w:val="13"/>
                <w:color w:val="auto"/>
              </w:rPr>
            </w:pPr>
          </w:p>
        </w:tc>
      </w:tr>
      <w:tr>
        <w:trPr>
          <w:trHeight w:val="149"/>
        </w:trPr>
        <w:tc>
          <w:tcPr>
            <w:tcW w:w="3620" w:type="dxa"/>
            <w:vAlign w:val="bottom"/>
            <w:shd w:val="clear" w:color="auto" w:fill="CCEEFF"/>
          </w:tcPr>
          <w:p>
            <w:pPr>
              <w:ind w:left="100"/>
              <w:spacing w:after="0"/>
              <w:rPr>
                <w:sz w:val="20"/>
                <w:szCs w:val="20"/>
                <w:color w:val="auto"/>
              </w:rPr>
            </w:pPr>
            <w:r>
              <w:rPr>
                <w:rFonts w:ascii="Arial" w:cs="Arial" w:eastAsia="Arial" w:hAnsi="Arial"/>
                <w:sz w:val="11"/>
                <w:szCs w:val="11"/>
                <w:color w:val="auto"/>
              </w:rPr>
              <w:t>Time deposits</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271</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379</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530</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933</w:t>
            </w:r>
          </w:p>
        </w:tc>
        <w:tc>
          <w:tcPr>
            <w:tcW w:w="20" w:type="dxa"/>
            <w:vAlign w:val="bottom"/>
            <w:shd w:val="clear" w:color="auto" w:fill="CCEEFF"/>
          </w:tcPr>
          <w:p>
            <w:pPr>
              <w:spacing w:after="0"/>
              <w:rPr>
                <w:sz w:val="12"/>
                <w:szCs w:val="12"/>
                <w:color w:val="auto"/>
              </w:rPr>
            </w:pPr>
          </w:p>
        </w:tc>
      </w:tr>
      <w:tr>
        <w:trPr>
          <w:trHeight w:val="160"/>
        </w:trPr>
        <w:tc>
          <w:tcPr>
            <w:tcW w:w="3620" w:type="dxa"/>
            <w:vAlign w:val="bottom"/>
            <w:tcBorders>
              <w:bottom w:val="single" w:sz="8" w:color="CCEEFF"/>
            </w:tcBorders>
          </w:tcPr>
          <w:p>
            <w:pPr>
              <w:ind w:left="100"/>
              <w:spacing w:after="0"/>
              <w:rPr>
                <w:sz w:val="20"/>
                <w:szCs w:val="20"/>
                <w:color w:val="auto"/>
              </w:rPr>
            </w:pPr>
            <w:r>
              <w:rPr>
                <w:rFonts w:ascii="Arial" w:cs="Arial" w:eastAsia="Arial" w:hAnsi="Arial"/>
                <w:sz w:val="11"/>
                <w:szCs w:val="11"/>
                <w:color w:val="auto"/>
              </w:rPr>
              <w:t>Federal Home Loan Bank advances</w:t>
            </w:r>
          </w:p>
        </w:tc>
        <w:tc>
          <w:tcPr>
            <w:tcW w:w="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139</w:t>
            </w:r>
          </w:p>
        </w:tc>
        <w:tc>
          <w:tcPr>
            <w:tcW w:w="10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138</w:t>
            </w:r>
          </w:p>
        </w:tc>
        <w:tc>
          <w:tcPr>
            <w:tcW w:w="20" w:type="dxa"/>
            <w:vAlign w:val="bottom"/>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276</w:t>
            </w:r>
          </w:p>
        </w:tc>
        <w:tc>
          <w:tcPr>
            <w:tcW w:w="12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275</w:t>
            </w:r>
          </w:p>
        </w:tc>
        <w:tc>
          <w:tcPr>
            <w:tcW w:w="20" w:type="dxa"/>
            <w:vAlign w:val="bottom"/>
          </w:tcPr>
          <w:p>
            <w:pPr>
              <w:spacing w:after="0"/>
              <w:rPr>
                <w:sz w:val="13"/>
                <w:szCs w:val="13"/>
                <w:color w:val="auto"/>
              </w:rPr>
            </w:pPr>
          </w:p>
        </w:tc>
      </w:tr>
      <w:tr>
        <w:trPr>
          <w:trHeight w:val="140"/>
        </w:trPr>
        <w:tc>
          <w:tcPr>
            <w:tcW w:w="36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1"/>
                <w:szCs w:val="11"/>
                <w:color w:val="auto"/>
              </w:rPr>
              <w:t>Total interest expense</w:t>
            </w:r>
          </w:p>
        </w:tc>
        <w:tc>
          <w:tcPr>
            <w:tcW w:w="20" w:type="dxa"/>
            <w:vAlign w:val="bottom"/>
            <w:tcBorders>
              <w:bottom w:val="single" w:sz="8" w:color="auto"/>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1,042</w:t>
            </w:r>
          </w:p>
        </w:tc>
        <w:tc>
          <w:tcPr>
            <w:tcW w:w="10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1,055</w:t>
            </w:r>
          </w:p>
        </w:tc>
        <w:tc>
          <w:tcPr>
            <w:tcW w:w="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2,005</w:t>
            </w:r>
          </w:p>
        </w:tc>
        <w:tc>
          <w:tcPr>
            <w:tcW w:w="12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2,308</w:t>
            </w:r>
          </w:p>
        </w:tc>
        <w:tc>
          <w:tcPr>
            <w:tcW w:w="20" w:type="dxa"/>
            <w:vAlign w:val="bottom"/>
            <w:tcBorders>
              <w:bottom w:val="single" w:sz="8" w:color="CCEEFF"/>
            </w:tcBorders>
            <w:shd w:val="clear" w:color="auto" w:fill="CCEEFF"/>
          </w:tcPr>
          <w:p>
            <w:pPr>
              <w:spacing w:after="0"/>
              <w:rPr>
                <w:sz w:val="12"/>
                <w:szCs w:val="12"/>
                <w:color w:val="auto"/>
              </w:rPr>
            </w:pPr>
          </w:p>
        </w:tc>
      </w:tr>
      <w:tr>
        <w:trPr>
          <w:trHeight w:val="160"/>
        </w:trPr>
        <w:tc>
          <w:tcPr>
            <w:tcW w:w="3620" w:type="dxa"/>
            <w:vAlign w:val="bottom"/>
          </w:tcPr>
          <w:p>
            <w:pPr>
              <w:ind w:left="200"/>
              <w:spacing w:after="0"/>
              <w:rPr>
                <w:sz w:val="20"/>
                <w:szCs w:val="20"/>
                <w:color w:val="auto"/>
              </w:rPr>
            </w:pPr>
            <w:r>
              <w:rPr>
                <w:rFonts w:ascii="Arial" w:cs="Arial" w:eastAsia="Arial" w:hAnsi="Arial"/>
                <w:sz w:val="11"/>
                <w:szCs w:val="11"/>
                <w:color w:val="auto"/>
              </w:rPr>
              <w:t>Net interest income before provision for credit losses</w:t>
            </w:r>
          </w:p>
        </w:tc>
        <w:tc>
          <w:tcPr>
            <w:tcW w:w="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15,642</w:t>
            </w:r>
          </w:p>
        </w:tc>
        <w:tc>
          <w:tcPr>
            <w:tcW w:w="10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12,474</w:t>
            </w:r>
          </w:p>
        </w:tc>
        <w:tc>
          <w:tcPr>
            <w:tcW w:w="20" w:type="dxa"/>
            <w:vAlign w:val="bottom"/>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30,021</w:t>
            </w:r>
          </w:p>
        </w:tc>
        <w:tc>
          <w:tcPr>
            <w:tcW w:w="12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24,949</w:t>
            </w:r>
          </w:p>
        </w:tc>
        <w:tc>
          <w:tcPr>
            <w:tcW w:w="20" w:type="dxa"/>
            <w:vAlign w:val="bottom"/>
          </w:tcPr>
          <w:p>
            <w:pPr>
              <w:spacing w:after="0"/>
              <w:rPr>
                <w:sz w:val="13"/>
                <w:szCs w:val="13"/>
                <w:color w:val="auto"/>
              </w:rPr>
            </w:pPr>
          </w:p>
        </w:tc>
      </w:tr>
      <w:tr>
        <w:trPr>
          <w:trHeight w:val="131"/>
        </w:trPr>
        <w:tc>
          <w:tcPr>
            <w:tcW w:w="3620" w:type="dxa"/>
            <w:vAlign w:val="bottom"/>
            <w:tcBorders>
              <w:top w:val="single" w:sz="8" w:color="CCEEFF"/>
            </w:tcBorders>
            <w:shd w:val="clear" w:color="auto" w:fill="CCEEFF"/>
          </w:tcPr>
          <w:p>
            <w:pPr>
              <w:ind w:left="100"/>
              <w:spacing w:after="0"/>
              <w:rPr>
                <w:sz w:val="20"/>
                <w:szCs w:val="20"/>
                <w:color w:val="auto"/>
              </w:rPr>
            </w:pPr>
            <w:r>
              <w:rPr>
                <w:rFonts w:ascii="Arial" w:cs="Arial" w:eastAsia="Arial" w:hAnsi="Arial"/>
                <w:sz w:val="11"/>
                <w:szCs w:val="11"/>
                <w:color w:val="auto"/>
              </w:rPr>
              <w:t>Provision for credit losses</w:t>
            </w:r>
          </w:p>
        </w:tc>
        <w:tc>
          <w:tcPr>
            <w:tcW w:w="20" w:type="dxa"/>
            <w:vAlign w:val="bottom"/>
            <w:tcBorders>
              <w:top w:val="single" w:sz="8" w:color="CCEEFF"/>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705</w:t>
            </w:r>
          </w:p>
        </w:tc>
        <w:tc>
          <w:tcPr>
            <w:tcW w:w="10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705</w:t>
            </w:r>
          </w:p>
        </w:tc>
        <w:tc>
          <w:tcPr>
            <w:tcW w:w="120" w:type="dxa"/>
            <w:vAlign w:val="bottom"/>
            <w:tcBorders>
              <w:top w:val="single" w:sz="8" w:color="CCEEFF"/>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(160)</w:t>
            </w:r>
          </w:p>
        </w:tc>
      </w:tr>
      <w:tr>
        <w:trPr>
          <w:trHeight w:val="140"/>
        </w:trPr>
        <w:tc>
          <w:tcPr>
            <w:tcW w:w="3620" w:type="dxa"/>
            <w:vAlign w:val="bottom"/>
          </w:tcPr>
          <w:p>
            <w:pPr>
              <w:ind w:left="200"/>
              <w:spacing w:after="0"/>
              <w:rPr>
                <w:sz w:val="20"/>
                <w:szCs w:val="20"/>
                <w:color w:val="auto"/>
              </w:rPr>
            </w:pPr>
            <w:r>
              <w:rPr>
                <w:rFonts w:ascii="Arial" w:cs="Arial" w:eastAsia="Arial" w:hAnsi="Arial"/>
                <w:sz w:val="11"/>
                <w:szCs w:val="11"/>
                <w:color w:val="auto"/>
              </w:rPr>
              <w:t>Net interest income after provision for credit losses</w:t>
            </w:r>
          </w:p>
        </w:tc>
        <w:tc>
          <w:tcPr>
            <w:tcW w:w="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14,937</w:t>
            </w:r>
          </w:p>
        </w:tc>
        <w:tc>
          <w:tcPr>
            <w:tcW w:w="10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12,474</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29,316</w:t>
            </w:r>
          </w:p>
        </w:tc>
        <w:tc>
          <w:tcPr>
            <w:tcW w:w="1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25,109</w:t>
            </w:r>
          </w:p>
        </w:tc>
        <w:tc>
          <w:tcPr>
            <w:tcW w:w="20" w:type="dxa"/>
            <w:vAlign w:val="bottom"/>
          </w:tcPr>
          <w:p>
            <w:pPr>
              <w:spacing w:after="0"/>
              <w:rPr>
                <w:sz w:val="12"/>
                <w:szCs w:val="12"/>
                <w:color w:val="auto"/>
              </w:rPr>
            </w:pPr>
          </w:p>
        </w:tc>
      </w:tr>
      <w:tr>
        <w:trPr>
          <w:trHeight w:val="149"/>
        </w:trPr>
        <w:tc>
          <w:tcPr>
            <w:tcW w:w="362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Non-interest income:</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r>
      <w:tr>
        <w:trPr>
          <w:trHeight w:val="160"/>
        </w:trPr>
        <w:tc>
          <w:tcPr>
            <w:tcW w:w="3620" w:type="dxa"/>
            <w:vAlign w:val="bottom"/>
          </w:tcPr>
          <w:p>
            <w:pPr>
              <w:ind w:left="100"/>
              <w:spacing w:after="0"/>
              <w:rPr>
                <w:sz w:val="20"/>
                <w:szCs w:val="20"/>
                <w:color w:val="auto"/>
              </w:rPr>
            </w:pPr>
            <w:r>
              <w:rPr>
                <w:rFonts w:ascii="Arial" w:cs="Arial" w:eastAsia="Arial" w:hAnsi="Arial"/>
                <w:sz w:val="11"/>
                <w:szCs w:val="11"/>
                <w:color w:val="auto"/>
              </w:rPr>
              <w:t>Service fees</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1,083</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903</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1,983</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1,792</w:t>
            </w:r>
          </w:p>
        </w:tc>
        <w:tc>
          <w:tcPr>
            <w:tcW w:w="20" w:type="dxa"/>
            <w:vAlign w:val="bottom"/>
          </w:tcPr>
          <w:p>
            <w:pPr>
              <w:spacing w:after="0"/>
              <w:rPr>
                <w:sz w:val="13"/>
                <w:szCs w:val="13"/>
                <w:color w:val="auto"/>
              </w:rPr>
            </w:pPr>
          </w:p>
        </w:tc>
      </w:tr>
      <w:tr>
        <w:trPr>
          <w:trHeight w:val="160"/>
        </w:trPr>
        <w:tc>
          <w:tcPr>
            <w:tcW w:w="3620" w:type="dxa"/>
            <w:vAlign w:val="bottom"/>
            <w:shd w:val="clear" w:color="auto" w:fill="CCEEFF"/>
          </w:tcPr>
          <w:p>
            <w:pPr>
              <w:ind w:left="100"/>
              <w:spacing w:after="0"/>
              <w:rPr>
                <w:sz w:val="20"/>
                <w:szCs w:val="20"/>
                <w:color w:val="auto"/>
              </w:rPr>
            </w:pPr>
            <w:r>
              <w:rPr>
                <w:rFonts w:ascii="Arial" w:cs="Arial" w:eastAsia="Arial" w:hAnsi="Arial"/>
                <w:sz w:val="11"/>
                <w:szCs w:val="11"/>
                <w:color w:val="auto"/>
              </w:rPr>
              <w:t>Gain (loss) on sale of securities available for sale, net</w:t>
            </w:r>
          </w:p>
        </w:tc>
        <w:tc>
          <w:tcPr>
            <w:tcW w:w="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w:t>
            </w: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187</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w:t>
            </w: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249</w:t>
            </w:r>
          </w:p>
        </w:tc>
        <w:tc>
          <w:tcPr>
            <w:tcW w:w="20" w:type="dxa"/>
            <w:vAlign w:val="bottom"/>
            <w:shd w:val="clear" w:color="auto" w:fill="CCEEFF"/>
          </w:tcPr>
          <w:p>
            <w:pPr>
              <w:spacing w:after="0"/>
              <w:rPr>
                <w:sz w:val="13"/>
                <w:szCs w:val="13"/>
                <w:color w:val="auto"/>
              </w:rPr>
            </w:pPr>
          </w:p>
        </w:tc>
      </w:tr>
      <w:tr>
        <w:trPr>
          <w:trHeight w:val="160"/>
        </w:trPr>
        <w:tc>
          <w:tcPr>
            <w:tcW w:w="3620" w:type="dxa"/>
            <w:vAlign w:val="bottom"/>
          </w:tcPr>
          <w:p>
            <w:pPr>
              <w:ind w:left="100"/>
              <w:spacing w:after="0"/>
              <w:rPr>
                <w:sz w:val="20"/>
                <w:szCs w:val="20"/>
                <w:color w:val="auto"/>
              </w:rPr>
            </w:pPr>
            <w:r>
              <w:rPr>
                <w:rFonts w:ascii="Arial" w:cs="Arial" w:eastAsia="Arial" w:hAnsi="Arial"/>
                <w:sz w:val="11"/>
                <w:szCs w:val="11"/>
                <w:color w:val="auto"/>
              </w:rPr>
              <w:t>Gain on sale of loans held for sale, net</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22</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23</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356</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987</w:t>
            </w:r>
          </w:p>
        </w:tc>
        <w:tc>
          <w:tcPr>
            <w:tcW w:w="20" w:type="dxa"/>
            <w:vAlign w:val="bottom"/>
          </w:tcPr>
          <w:p>
            <w:pPr>
              <w:spacing w:after="0"/>
              <w:rPr>
                <w:sz w:val="13"/>
                <w:szCs w:val="13"/>
                <w:color w:val="auto"/>
              </w:rPr>
            </w:pPr>
          </w:p>
        </w:tc>
      </w:tr>
      <w:tr>
        <w:trPr>
          <w:trHeight w:val="160"/>
        </w:trPr>
        <w:tc>
          <w:tcPr>
            <w:tcW w:w="3620" w:type="dxa"/>
            <w:vAlign w:val="bottom"/>
            <w:shd w:val="clear" w:color="auto" w:fill="CCEEFF"/>
          </w:tcPr>
          <w:p>
            <w:pPr>
              <w:ind w:left="100"/>
              <w:spacing w:after="0"/>
              <w:rPr>
                <w:sz w:val="20"/>
                <w:szCs w:val="20"/>
                <w:color w:val="auto"/>
              </w:rPr>
            </w:pPr>
            <w:r>
              <w:rPr>
                <w:rFonts w:ascii="Arial" w:cs="Arial" w:eastAsia="Arial" w:hAnsi="Arial"/>
                <w:sz w:val="11"/>
                <w:szCs w:val="11"/>
                <w:color w:val="auto"/>
              </w:rPr>
              <w:t>Loan settlement</w:t>
            </w:r>
          </w:p>
        </w:tc>
        <w:tc>
          <w:tcPr>
            <w:tcW w:w="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161</w:t>
            </w: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3"/>
                <w:szCs w:val="13"/>
                <w:color w:val="auto"/>
              </w:rPr>
            </w:pPr>
          </w:p>
        </w:tc>
      </w:tr>
      <w:tr>
        <w:trPr>
          <w:trHeight w:val="169"/>
        </w:trPr>
        <w:tc>
          <w:tcPr>
            <w:tcW w:w="3620" w:type="dxa"/>
            <w:vAlign w:val="bottom"/>
          </w:tcPr>
          <w:p>
            <w:pPr>
              <w:ind w:left="100"/>
              <w:spacing w:after="0"/>
              <w:rPr>
                <w:sz w:val="20"/>
                <w:szCs w:val="20"/>
                <w:color w:val="auto"/>
              </w:rPr>
            </w:pPr>
            <w:r>
              <w:rPr>
                <w:rFonts w:ascii="Arial" w:cs="Arial" w:eastAsia="Arial" w:hAnsi="Arial"/>
                <w:sz w:val="11"/>
                <w:szCs w:val="11"/>
                <w:color w:val="auto"/>
              </w:rPr>
              <w:t>Other non-interest income</w:t>
            </w: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515</w:t>
            </w:r>
          </w:p>
        </w:tc>
        <w:tc>
          <w:tcPr>
            <w:tcW w:w="10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403</w:t>
            </w:r>
          </w:p>
        </w:tc>
        <w:tc>
          <w:tcPr>
            <w:tcW w:w="20" w:type="dxa"/>
            <w:vAlign w:val="bottom"/>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1,044</w:t>
            </w:r>
          </w:p>
        </w:tc>
        <w:tc>
          <w:tcPr>
            <w:tcW w:w="1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809</w:t>
            </w:r>
          </w:p>
        </w:tc>
        <w:tc>
          <w:tcPr>
            <w:tcW w:w="20" w:type="dxa"/>
            <w:vAlign w:val="bottom"/>
          </w:tcPr>
          <w:p>
            <w:pPr>
              <w:spacing w:after="0"/>
              <w:rPr>
                <w:sz w:val="14"/>
                <w:szCs w:val="14"/>
                <w:color w:val="auto"/>
              </w:rPr>
            </w:pPr>
          </w:p>
        </w:tc>
      </w:tr>
      <w:tr>
        <w:trPr>
          <w:trHeight w:val="131"/>
        </w:trPr>
        <w:tc>
          <w:tcPr>
            <w:tcW w:w="3620" w:type="dxa"/>
            <w:vAlign w:val="bottom"/>
            <w:tcBorders>
              <w:top w:val="single" w:sz="8" w:color="CCEEFF"/>
            </w:tcBorders>
            <w:shd w:val="clear" w:color="auto" w:fill="CCEEFF"/>
          </w:tcPr>
          <w:p>
            <w:pPr>
              <w:ind w:left="200"/>
              <w:spacing w:after="0"/>
              <w:rPr>
                <w:sz w:val="20"/>
                <w:szCs w:val="20"/>
                <w:color w:val="auto"/>
              </w:rPr>
            </w:pPr>
            <w:r>
              <w:rPr>
                <w:rFonts w:ascii="Arial" w:cs="Arial" w:eastAsia="Arial" w:hAnsi="Arial"/>
                <w:sz w:val="11"/>
                <w:szCs w:val="11"/>
                <w:color w:val="auto"/>
              </w:rPr>
              <w:t>Total non-interest income</w:t>
            </w:r>
          </w:p>
        </w:tc>
        <w:tc>
          <w:tcPr>
            <w:tcW w:w="20" w:type="dxa"/>
            <w:vAlign w:val="bottom"/>
            <w:tcBorders>
              <w:top w:val="single" w:sz="8" w:color="CCEEFF"/>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1,617</w:t>
            </w:r>
          </w:p>
        </w:tc>
        <w:tc>
          <w:tcPr>
            <w:tcW w:w="10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1,516</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3,562</w:t>
            </w:r>
          </w:p>
        </w:tc>
        <w:tc>
          <w:tcPr>
            <w:tcW w:w="120" w:type="dxa"/>
            <w:vAlign w:val="bottom"/>
            <w:tcBorders>
              <w:top w:val="single" w:sz="8" w:color="CCEEFF"/>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3,837</w:t>
            </w:r>
          </w:p>
        </w:tc>
        <w:tc>
          <w:tcPr>
            <w:tcW w:w="20" w:type="dxa"/>
            <w:vAlign w:val="bottom"/>
            <w:shd w:val="clear" w:color="auto" w:fill="CCEEFF"/>
          </w:tcPr>
          <w:p>
            <w:pPr>
              <w:spacing w:after="0"/>
              <w:rPr>
                <w:sz w:val="11"/>
                <w:szCs w:val="11"/>
                <w:color w:val="auto"/>
              </w:rPr>
            </w:pPr>
          </w:p>
        </w:tc>
      </w:tr>
      <w:tr>
        <w:trPr>
          <w:trHeight w:val="160"/>
        </w:trPr>
        <w:tc>
          <w:tcPr>
            <w:tcW w:w="3620" w:type="dxa"/>
            <w:vAlign w:val="bottom"/>
          </w:tcPr>
          <w:p>
            <w:pPr>
              <w:spacing w:after="0"/>
              <w:rPr>
                <w:sz w:val="20"/>
                <w:szCs w:val="20"/>
                <w:color w:val="auto"/>
              </w:rPr>
            </w:pPr>
            <w:r>
              <w:rPr>
                <w:rFonts w:ascii="Arial" w:cs="Arial" w:eastAsia="Arial" w:hAnsi="Arial"/>
                <w:sz w:val="11"/>
                <w:szCs w:val="11"/>
                <w:b w:val="1"/>
                <w:bCs w:val="1"/>
                <w:color w:val="auto"/>
              </w:rPr>
              <w:t>Non-interest expense:</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0"/>
        </w:trPr>
        <w:tc>
          <w:tcPr>
            <w:tcW w:w="3620" w:type="dxa"/>
            <w:vAlign w:val="bottom"/>
            <w:shd w:val="clear" w:color="auto" w:fill="CCEEFF"/>
          </w:tcPr>
          <w:p>
            <w:pPr>
              <w:ind w:left="100"/>
              <w:spacing w:after="0"/>
              <w:rPr>
                <w:sz w:val="20"/>
                <w:szCs w:val="20"/>
                <w:color w:val="auto"/>
              </w:rPr>
            </w:pPr>
            <w:r>
              <w:rPr>
                <w:rFonts w:ascii="Arial" w:cs="Arial" w:eastAsia="Arial" w:hAnsi="Arial"/>
                <w:sz w:val="11"/>
                <w:szCs w:val="11"/>
                <w:color w:val="auto"/>
              </w:rPr>
              <w:t>Salaries and employee benefits</w:t>
            </w:r>
          </w:p>
        </w:tc>
        <w:tc>
          <w:tcPr>
            <w:tcW w:w="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5,913</w:t>
            </w: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5,213</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11,788</w:t>
            </w: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10,491</w:t>
            </w:r>
          </w:p>
        </w:tc>
        <w:tc>
          <w:tcPr>
            <w:tcW w:w="20" w:type="dxa"/>
            <w:vAlign w:val="bottom"/>
            <w:shd w:val="clear" w:color="auto" w:fill="CCEEFF"/>
          </w:tcPr>
          <w:p>
            <w:pPr>
              <w:spacing w:after="0"/>
              <w:rPr>
                <w:sz w:val="13"/>
                <w:szCs w:val="13"/>
                <w:color w:val="auto"/>
              </w:rPr>
            </w:pPr>
          </w:p>
        </w:tc>
      </w:tr>
      <w:tr>
        <w:trPr>
          <w:trHeight w:val="149"/>
        </w:trPr>
        <w:tc>
          <w:tcPr>
            <w:tcW w:w="3620" w:type="dxa"/>
            <w:vAlign w:val="bottom"/>
          </w:tcPr>
          <w:p>
            <w:pPr>
              <w:ind w:left="100"/>
              <w:spacing w:after="0"/>
              <w:rPr>
                <w:sz w:val="20"/>
                <w:szCs w:val="20"/>
                <w:color w:val="auto"/>
              </w:rPr>
            </w:pPr>
            <w:r>
              <w:rPr>
                <w:rFonts w:ascii="Arial" w:cs="Arial" w:eastAsia="Arial" w:hAnsi="Arial"/>
                <w:sz w:val="11"/>
                <w:szCs w:val="11"/>
                <w:color w:val="auto"/>
              </w:rPr>
              <w:t>Occupancy</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1,251</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1,411</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2,521</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2,798</w:t>
            </w:r>
          </w:p>
        </w:tc>
        <w:tc>
          <w:tcPr>
            <w:tcW w:w="20" w:type="dxa"/>
            <w:vAlign w:val="bottom"/>
          </w:tcPr>
          <w:p>
            <w:pPr>
              <w:spacing w:after="0"/>
              <w:rPr>
                <w:sz w:val="12"/>
                <w:szCs w:val="12"/>
                <w:color w:val="auto"/>
              </w:rPr>
            </w:pPr>
          </w:p>
        </w:tc>
      </w:tr>
      <w:tr>
        <w:trPr>
          <w:trHeight w:val="160"/>
        </w:trPr>
        <w:tc>
          <w:tcPr>
            <w:tcW w:w="3620" w:type="dxa"/>
            <w:vAlign w:val="bottom"/>
            <w:shd w:val="clear" w:color="auto" w:fill="CCEEFF"/>
          </w:tcPr>
          <w:p>
            <w:pPr>
              <w:ind w:left="100"/>
              <w:spacing w:after="0"/>
              <w:rPr>
                <w:sz w:val="20"/>
                <w:szCs w:val="20"/>
                <w:color w:val="auto"/>
              </w:rPr>
            </w:pPr>
            <w:r>
              <w:rPr>
                <w:rFonts w:ascii="Arial" w:cs="Arial" w:eastAsia="Arial" w:hAnsi="Arial"/>
                <w:sz w:val="11"/>
                <w:szCs w:val="11"/>
                <w:color w:val="auto"/>
              </w:rPr>
              <w:t>Regulatory assessment and fees</w:t>
            </w:r>
          </w:p>
        </w:tc>
        <w:tc>
          <w:tcPr>
            <w:tcW w:w="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226</w:t>
            </w: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195</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439</w:t>
            </w: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373</w:t>
            </w:r>
          </w:p>
        </w:tc>
        <w:tc>
          <w:tcPr>
            <w:tcW w:w="20" w:type="dxa"/>
            <w:vAlign w:val="bottom"/>
            <w:shd w:val="clear" w:color="auto" w:fill="CCEEFF"/>
          </w:tcPr>
          <w:p>
            <w:pPr>
              <w:spacing w:after="0"/>
              <w:rPr>
                <w:sz w:val="13"/>
                <w:szCs w:val="13"/>
                <w:color w:val="auto"/>
              </w:rPr>
            </w:pPr>
          </w:p>
        </w:tc>
      </w:tr>
      <w:tr>
        <w:trPr>
          <w:trHeight w:val="160"/>
        </w:trPr>
        <w:tc>
          <w:tcPr>
            <w:tcW w:w="3620" w:type="dxa"/>
            <w:vAlign w:val="bottom"/>
          </w:tcPr>
          <w:p>
            <w:pPr>
              <w:ind w:left="100"/>
              <w:spacing w:after="0"/>
              <w:rPr>
                <w:sz w:val="20"/>
                <w:szCs w:val="20"/>
                <w:color w:val="auto"/>
              </w:rPr>
            </w:pPr>
            <w:r>
              <w:rPr>
                <w:rFonts w:ascii="Arial" w:cs="Arial" w:eastAsia="Arial" w:hAnsi="Arial"/>
                <w:sz w:val="11"/>
                <w:szCs w:val="11"/>
                <w:color w:val="auto"/>
              </w:rPr>
              <w:t>Consulting and legal fees</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398</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373</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915</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558</w:t>
            </w:r>
          </w:p>
        </w:tc>
        <w:tc>
          <w:tcPr>
            <w:tcW w:w="20" w:type="dxa"/>
            <w:vAlign w:val="bottom"/>
          </w:tcPr>
          <w:p>
            <w:pPr>
              <w:spacing w:after="0"/>
              <w:rPr>
                <w:sz w:val="13"/>
                <w:szCs w:val="13"/>
                <w:color w:val="auto"/>
              </w:rPr>
            </w:pPr>
          </w:p>
        </w:tc>
      </w:tr>
      <w:tr>
        <w:trPr>
          <w:trHeight w:val="160"/>
        </w:trPr>
        <w:tc>
          <w:tcPr>
            <w:tcW w:w="3620" w:type="dxa"/>
            <w:vAlign w:val="bottom"/>
            <w:shd w:val="clear" w:color="auto" w:fill="CCEEFF"/>
          </w:tcPr>
          <w:p>
            <w:pPr>
              <w:ind w:left="100"/>
              <w:spacing w:after="0"/>
              <w:rPr>
                <w:sz w:val="20"/>
                <w:szCs w:val="20"/>
                <w:color w:val="auto"/>
              </w:rPr>
            </w:pPr>
            <w:r>
              <w:rPr>
                <w:rFonts w:ascii="Arial" w:cs="Arial" w:eastAsia="Arial" w:hAnsi="Arial"/>
                <w:sz w:val="11"/>
                <w:szCs w:val="11"/>
                <w:color w:val="auto"/>
              </w:rPr>
              <w:t>Network and information technology services</w:t>
            </w:r>
          </w:p>
        </w:tc>
        <w:tc>
          <w:tcPr>
            <w:tcW w:w="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448</w:t>
            </w: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332</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835</w:t>
            </w: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840</w:t>
            </w:r>
          </w:p>
        </w:tc>
        <w:tc>
          <w:tcPr>
            <w:tcW w:w="20" w:type="dxa"/>
            <w:vAlign w:val="bottom"/>
            <w:shd w:val="clear" w:color="auto" w:fill="CCEEFF"/>
          </w:tcPr>
          <w:p>
            <w:pPr>
              <w:spacing w:after="0"/>
              <w:rPr>
                <w:sz w:val="13"/>
                <w:szCs w:val="13"/>
                <w:color w:val="auto"/>
              </w:rPr>
            </w:pPr>
          </w:p>
        </w:tc>
      </w:tr>
      <w:tr>
        <w:trPr>
          <w:trHeight w:val="169"/>
        </w:trPr>
        <w:tc>
          <w:tcPr>
            <w:tcW w:w="3620" w:type="dxa"/>
            <w:vAlign w:val="bottom"/>
          </w:tcPr>
          <w:p>
            <w:pPr>
              <w:ind w:left="100"/>
              <w:spacing w:after="0"/>
              <w:rPr>
                <w:sz w:val="20"/>
                <w:szCs w:val="20"/>
                <w:color w:val="auto"/>
              </w:rPr>
            </w:pPr>
            <w:r>
              <w:rPr>
                <w:rFonts w:ascii="Arial" w:cs="Arial" w:eastAsia="Arial" w:hAnsi="Arial"/>
                <w:sz w:val="11"/>
                <w:szCs w:val="11"/>
                <w:color w:val="auto"/>
              </w:rPr>
              <w:t>Other operating expense</w:t>
            </w: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1,315</w:t>
            </w:r>
          </w:p>
        </w:tc>
        <w:tc>
          <w:tcPr>
            <w:tcW w:w="10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1,150</w:t>
            </w:r>
          </w:p>
        </w:tc>
        <w:tc>
          <w:tcPr>
            <w:tcW w:w="20" w:type="dxa"/>
            <w:vAlign w:val="bottom"/>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2,665</w:t>
            </w:r>
          </w:p>
        </w:tc>
        <w:tc>
          <w:tcPr>
            <w:tcW w:w="1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2,291</w:t>
            </w:r>
          </w:p>
        </w:tc>
        <w:tc>
          <w:tcPr>
            <w:tcW w:w="20" w:type="dxa"/>
            <w:vAlign w:val="bottom"/>
          </w:tcPr>
          <w:p>
            <w:pPr>
              <w:spacing w:after="0"/>
              <w:rPr>
                <w:sz w:val="14"/>
                <w:szCs w:val="14"/>
                <w:color w:val="auto"/>
              </w:rPr>
            </w:pPr>
          </w:p>
        </w:tc>
      </w:tr>
      <w:tr>
        <w:trPr>
          <w:trHeight w:val="131"/>
        </w:trPr>
        <w:tc>
          <w:tcPr>
            <w:tcW w:w="3620" w:type="dxa"/>
            <w:vAlign w:val="bottom"/>
            <w:tcBorders>
              <w:top w:val="single" w:sz="8" w:color="CCEEFF"/>
            </w:tcBorders>
            <w:shd w:val="clear" w:color="auto" w:fill="CCEEFF"/>
          </w:tcPr>
          <w:p>
            <w:pPr>
              <w:ind w:left="200"/>
              <w:spacing w:after="0"/>
              <w:rPr>
                <w:sz w:val="20"/>
                <w:szCs w:val="20"/>
                <w:color w:val="auto"/>
              </w:rPr>
            </w:pPr>
            <w:r>
              <w:rPr>
                <w:rFonts w:ascii="Arial" w:cs="Arial" w:eastAsia="Arial" w:hAnsi="Arial"/>
                <w:sz w:val="11"/>
                <w:szCs w:val="11"/>
                <w:color w:val="auto"/>
              </w:rPr>
              <w:t>Total non-interest expense</w:t>
            </w:r>
          </w:p>
        </w:tc>
        <w:tc>
          <w:tcPr>
            <w:tcW w:w="20" w:type="dxa"/>
            <w:vAlign w:val="bottom"/>
            <w:tcBorders>
              <w:top w:val="single" w:sz="8" w:color="CCEEFF"/>
              <w:bottom w:val="single" w:sz="8" w:color="auto"/>
            </w:tcBorders>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9,551</w:t>
            </w:r>
          </w:p>
        </w:tc>
        <w:tc>
          <w:tcPr>
            <w:tcW w:w="10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auto"/>
            </w:tcBorders>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8,674</w:t>
            </w: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19,163</w:t>
            </w:r>
          </w:p>
        </w:tc>
        <w:tc>
          <w:tcPr>
            <w:tcW w:w="120" w:type="dxa"/>
            <w:vAlign w:val="bottom"/>
            <w:tcBorders>
              <w:top w:val="single" w:sz="8" w:color="CCEEFF"/>
            </w:tcBorders>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17,351</w:t>
            </w:r>
          </w:p>
        </w:tc>
        <w:tc>
          <w:tcPr>
            <w:tcW w:w="20" w:type="dxa"/>
            <w:vAlign w:val="bottom"/>
            <w:shd w:val="clear" w:color="auto" w:fill="CCEEFF"/>
          </w:tcPr>
          <w:p>
            <w:pPr>
              <w:spacing w:after="0"/>
              <w:rPr>
                <w:sz w:val="11"/>
                <w:szCs w:val="11"/>
                <w:color w:val="auto"/>
              </w:rPr>
            </w:pPr>
          </w:p>
        </w:tc>
      </w:tr>
      <w:tr>
        <w:trPr>
          <w:trHeight w:val="151"/>
        </w:trPr>
        <w:tc>
          <w:tcPr>
            <w:tcW w:w="3620" w:type="dxa"/>
            <w:vAlign w:val="bottom"/>
          </w:tcPr>
          <w:p>
            <w:pPr>
              <w:ind w:left="200"/>
              <w:spacing w:after="0"/>
              <w:rPr>
                <w:sz w:val="20"/>
                <w:szCs w:val="20"/>
                <w:color w:val="auto"/>
              </w:rPr>
            </w:pPr>
            <w:r>
              <w:rPr>
                <w:rFonts w:ascii="Arial" w:cs="Arial" w:eastAsia="Arial" w:hAnsi="Arial"/>
                <w:sz w:val="11"/>
                <w:szCs w:val="11"/>
                <w:color w:val="auto"/>
              </w:rPr>
              <w:t>Net income before income tax expense</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7,003</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5,316</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13,715</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11,595</w:t>
            </w:r>
          </w:p>
        </w:tc>
        <w:tc>
          <w:tcPr>
            <w:tcW w:w="20" w:type="dxa"/>
            <w:vAlign w:val="bottom"/>
          </w:tcPr>
          <w:p>
            <w:pPr>
              <w:spacing w:after="0"/>
              <w:rPr>
                <w:sz w:val="13"/>
                <w:szCs w:val="13"/>
                <w:color w:val="auto"/>
              </w:rPr>
            </w:pPr>
          </w:p>
        </w:tc>
      </w:tr>
      <w:tr>
        <w:trPr>
          <w:trHeight w:val="149"/>
        </w:trPr>
        <w:tc>
          <w:tcPr>
            <w:tcW w:w="3620" w:type="dxa"/>
            <w:vAlign w:val="bottom"/>
            <w:shd w:val="clear" w:color="auto" w:fill="CCEEFF"/>
          </w:tcPr>
          <w:p>
            <w:pPr>
              <w:ind w:left="100"/>
              <w:spacing w:after="0"/>
              <w:rPr>
                <w:sz w:val="20"/>
                <w:szCs w:val="20"/>
                <w:color w:val="auto"/>
              </w:rPr>
            </w:pPr>
            <w:r>
              <w:rPr>
                <w:rFonts w:ascii="Arial" w:cs="Arial" w:eastAsia="Arial" w:hAnsi="Arial"/>
                <w:sz w:val="11"/>
                <w:szCs w:val="11"/>
                <w:color w:val="auto"/>
              </w:rPr>
              <w:t>Income tax expense</w:t>
            </w:r>
          </w:p>
        </w:tc>
        <w:tc>
          <w:tcPr>
            <w:tcW w:w="20" w:type="dxa"/>
            <w:vAlign w:val="bottom"/>
            <w:tcBorders>
              <w:bottom w:val="single" w:sz="8" w:color="auto"/>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1,708</w:t>
            </w:r>
          </w:p>
        </w:tc>
        <w:tc>
          <w:tcPr>
            <w:tcW w:w="100" w:type="dxa"/>
            <w:vAlign w:val="bottom"/>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1,263</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3,566</w:t>
            </w:r>
          </w:p>
        </w:tc>
        <w:tc>
          <w:tcPr>
            <w:tcW w:w="12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2,761</w:t>
            </w:r>
          </w:p>
        </w:tc>
        <w:tc>
          <w:tcPr>
            <w:tcW w:w="20" w:type="dxa"/>
            <w:vAlign w:val="bottom"/>
            <w:shd w:val="clear" w:color="auto" w:fill="CCEEFF"/>
          </w:tcPr>
          <w:p>
            <w:pPr>
              <w:spacing w:after="0"/>
              <w:rPr>
                <w:sz w:val="12"/>
                <w:szCs w:val="12"/>
                <w:color w:val="auto"/>
              </w:rPr>
            </w:pPr>
          </w:p>
        </w:tc>
      </w:tr>
      <w:tr>
        <w:trPr>
          <w:trHeight w:val="151"/>
        </w:trPr>
        <w:tc>
          <w:tcPr>
            <w:tcW w:w="3620" w:type="dxa"/>
            <w:vAlign w:val="bottom"/>
          </w:tcPr>
          <w:p>
            <w:pPr>
              <w:ind w:left="200"/>
              <w:spacing w:after="0"/>
              <w:rPr>
                <w:sz w:val="20"/>
                <w:szCs w:val="20"/>
                <w:color w:val="auto"/>
              </w:rPr>
            </w:pPr>
            <w:r>
              <w:rPr>
                <w:rFonts w:ascii="Arial" w:cs="Arial" w:eastAsia="Arial" w:hAnsi="Arial"/>
                <w:sz w:val="11"/>
                <w:szCs w:val="11"/>
                <w:color w:val="auto"/>
              </w:rPr>
              <w:t>Net income</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5,295</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4,053</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10,149</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8,834</w:t>
            </w:r>
          </w:p>
        </w:tc>
        <w:tc>
          <w:tcPr>
            <w:tcW w:w="20" w:type="dxa"/>
            <w:vAlign w:val="bottom"/>
          </w:tcPr>
          <w:p>
            <w:pPr>
              <w:spacing w:after="0"/>
              <w:rPr>
                <w:sz w:val="13"/>
                <w:szCs w:val="13"/>
                <w:color w:val="auto"/>
              </w:rPr>
            </w:pPr>
          </w:p>
        </w:tc>
      </w:tr>
      <w:tr>
        <w:trPr>
          <w:trHeight w:val="149"/>
        </w:trPr>
        <w:tc>
          <w:tcPr>
            <w:tcW w:w="36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1"/>
                <w:szCs w:val="11"/>
                <w:color w:val="auto"/>
              </w:rPr>
              <w:t>Preferred stock dividend</w:t>
            </w:r>
          </w:p>
        </w:tc>
        <w:tc>
          <w:tcPr>
            <w:tcW w:w="20" w:type="dxa"/>
            <w:vAlign w:val="bottom"/>
            <w:tcBorders>
              <w:bottom w:val="single" w:sz="8" w:color="auto"/>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754</w:t>
            </w:r>
          </w:p>
        </w:tc>
        <w:tc>
          <w:tcPr>
            <w:tcW w:w="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1,535</w:t>
            </w:r>
          </w:p>
        </w:tc>
        <w:tc>
          <w:tcPr>
            <w:tcW w:w="20" w:type="dxa"/>
            <w:vAlign w:val="bottom"/>
            <w:tcBorders>
              <w:bottom w:val="single" w:sz="8" w:color="CCEEFF"/>
            </w:tcBorders>
            <w:shd w:val="clear" w:color="auto" w:fill="CCEEFF"/>
          </w:tcPr>
          <w:p>
            <w:pPr>
              <w:spacing w:after="0"/>
              <w:rPr>
                <w:sz w:val="12"/>
                <w:szCs w:val="12"/>
                <w:color w:val="auto"/>
              </w:rPr>
            </w:pPr>
          </w:p>
        </w:tc>
      </w:tr>
      <w:tr>
        <w:trPr>
          <w:trHeight w:val="191"/>
        </w:trPr>
        <w:tc>
          <w:tcPr>
            <w:tcW w:w="3620" w:type="dxa"/>
            <w:vAlign w:val="bottom"/>
          </w:tcPr>
          <w:p>
            <w:pPr>
              <w:ind w:left="200"/>
              <w:spacing w:after="0"/>
              <w:rPr>
                <w:sz w:val="20"/>
                <w:szCs w:val="20"/>
                <w:color w:val="auto"/>
              </w:rPr>
            </w:pPr>
            <w:r>
              <w:rPr>
                <w:rFonts w:ascii="Arial" w:cs="Arial" w:eastAsia="Arial" w:hAnsi="Arial"/>
                <w:sz w:val="11"/>
                <w:szCs w:val="11"/>
                <w:color w:val="auto"/>
              </w:rPr>
              <w:t>Net income available to common stockholders</w:t>
            </w:r>
          </w:p>
        </w:tc>
        <w:tc>
          <w:tcPr>
            <w:tcW w:w="20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760" w:type="dxa"/>
            <w:vAlign w:val="bottom"/>
          </w:tcPr>
          <w:p>
            <w:pPr>
              <w:jc w:val="right"/>
              <w:spacing w:after="0"/>
              <w:rPr>
                <w:sz w:val="20"/>
                <w:szCs w:val="20"/>
                <w:color w:val="auto"/>
              </w:rPr>
            </w:pPr>
            <w:r>
              <w:rPr>
                <w:rFonts w:ascii="Arial" w:cs="Arial" w:eastAsia="Arial" w:hAnsi="Arial"/>
                <w:sz w:val="11"/>
                <w:szCs w:val="11"/>
                <w:color w:val="auto"/>
              </w:rPr>
              <w:t>5,295</w:t>
            </w:r>
          </w:p>
        </w:tc>
        <w:tc>
          <w:tcPr>
            <w:tcW w:w="360" w:type="dxa"/>
            <w:vAlign w:val="bottom"/>
            <w:gridSpan w:val="3"/>
          </w:tcPr>
          <w:p>
            <w:pPr>
              <w:jc w:val="right"/>
              <w:ind w:right="120"/>
              <w:spacing w:after="0"/>
              <w:rPr>
                <w:sz w:val="20"/>
                <w:szCs w:val="20"/>
                <w:color w:val="auto"/>
              </w:rPr>
            </w:pPr>
            <w:r>
              <w:rPr>
                <w:rFonts w:ascii="Arial" w:cs="Arial" w:eastAsia="Arial" w:hAnsi="Arial"/>
                <w:sz w:val="11"/>
                <w:szCs w:val="11"/>
                <w:color w:val="auto"/>
              </w:rPr>
              <w:t>$</w:t>
            </w:r>
          </w:p>
        </w:tc>
        <w:tc>
          <w:tcPr>
            <w:tcW w:w="700" w:type="dxa"/>
            <w:vAlign w:val="bottom"/>
          </w:tcPr>
          <w:p>
            <w:pPr>
              <w:jc w:val="right"/>
              <w:spacing w:after="0"/>
              <w:rPr>
                <w:sz w:val="20"/>
                <w:szCs w:val="20"/>
                <w:color w:val="auto"/>
              </w:rPr>
            </w:pPr>
            <w:r>
              <w:rPr>
                <w:rFonts w:ascii="Arial" w:cs="Arial" w:eastAsia="Arial" w:hAnsi="Arial"/>
                <w:sz w:val="11"/>
                <w:szCs w:val="11"/>
                <w:color w:val="auto"/>
              </w:rPr>
              <w:t>3,299</w:t>
            </w:r>
          </w:p>
        </w:tc>
        <w:tc>
          <w:tcPr>
            <w:tcW w:w="300" w:type="dxa"/>
            <w:vAlign w:val="bottom"/>
            <w:gridSpan w:val="3"/>
          </w:tcPr>
          <w:p>
            <w:pPr>
              <w:jc w:val="right"/>
              <w:ind w:right="120"/>
              <w:spacing w:after="0"/>
              <w:rPr>
                <w:sz w:val="20"/>
                <w:szCs w:val="20"/>
                <w:color w:val="auto"/>
              </w:rPr>
            </w:pPr>
            <w:r>
              <w:rPr>
                <w:rFonts w:ascii="Arial" w:cs="Arial" w:eastAsia="Arial" w:hAnsi="Arial"/>
                <w:sz w:val="11"/>
                <w:szCs w:val="11"/>
                <w:color w:val="auto"/>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10,149</w:t>
            </w:r>
          </w:p>
        </w:tc>
        <w:tc>
          <w:tcPr>
            <w:tcW w:w="3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700" w:type="dxa"/>
            <w:vAlign w:val="bottom"/>
          </w:tcPr>
          <w:p>
            <w:pPr>
              <w:jc w:val="right"/>
              <w:spacing w:after="0"/>
              <w:rPr>
                <w:sz w:val="20"/>
                <w:szCs w:val="20"/>
                <w:color w:val="auto"/>
              </w:rPr>
            </w:pPr>
            <w:r>
              <w:rPr>
                <w:rFonts w:ascii="Arial" w:cs="Arial" w:eastAsia="Arial" w:hAnsi="Arial"/>
                <w:sz w:val="11"/>
                <w:szCs w:val="11"/>
                <w:color w:val="auto"/>
              </w:rPr>
              <w:t>7,299</w:t>
            </w:r>
          </w:p>
        </w:tc>
        <w:tc>
          <w:tcPr>
            <w:tcW w:w="20" w:type="dxa"/>
            <w:vAlign w:val="bottom"/>
          </w:tcPr>
          <w:p>
            <w:pPr>
              <w:spacing w:after="0"/>
              <w:rPr>
                <w:sz w:val="16"/>
                <w:szCs w:val="16"/>
                <w:color w:val="auto"/>
              </w:rPr>
            </w:pPr>
          </w:p>
        </w:tc>
      </w:tr>
      <w:tr>
        <w:trPr>
          <w:trHeight w:val="132"/>
        </w:trPr>
        <w:tc>
          <w:tcPr>
            <w:tcW w:w="3620" w:type="dxa"/>
            <w:vAlign w:val="bottom"/>
            <w:tcBorders>
              <w:top w:val="single" w:sz="8" w:color="CCEEFF"/>
            </w:tcBorders>
            <w:shd w:val="clear" w:color="auto" w:fill="CCEEFF"/>
          </w:tcPr>
          <w:p>
            <w:pPr>
              <w:spacing w:after="0" w:line="132" w:lineRule="exact"/>
              <w:rPr>
                <w:sz w:val="20"/>
                <w:szCs w:val="20"/>
                <w:color w:val="auto"/>
              </w:rPr>
            </w:pPr>
            <w:r>
              <w:rPr>
                <w:rFonts w:ascii="Arial" w:cs="Arial" w:eastAsia="Arial" w:hAnsi="Arial"/>
                <w:sz w:val="11"/>
                <w:szCs w:val="11"/>
                <w:b w:val="1"/>
                <w:bCs w:val="1"/>
                <w:color w:val="auto"/>
              </w:rPr>
              <w:t xml:space="preserve">Allocation of net income per common stock class: </w:t>
            </w:r>
            <w:r>
              <w:rPr>
                <w:rFonts w:ascii="Arial" w:cs="Arial" w:eastAsia="Arial" w:hAnsi="Arial"/>
                <w:sz w:val="14"/>
                <w:szCs w:val="14"/>
                <w:color w:val="auto"/>
                <w:vertAlign w:val="superscript"/>
              </w:rPr>
              <w:t>(1)</w:t>
            </w:r>
          </w:p>
        </w:tc>
        <w:tc>
          <w:tcPr>
            <w:tcW w:w="2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auto"/>
            </w:tcBorders>
            <w:shd w:val="clear" w:color="auto" w:fill="CCEEFF"/>
          </w:tcPr>
          <w:p>
            <w:pPr>
              <w:spacing w:after="0"/>
              <w:rPr>
                <w:sz w:val="11"/>
                <w:szCs w:val="11"/>
                <w:color w:val="auto"/>
              </w:rPr>
            </w:pPr>
          </w:p>
        </w:tc>
      </w:tr>
      <w:tr>
        <w:trPr>
          <w:trHeight w:val="160"/>
        </w:trPr>
        <w:tc>
          <w:tcPr>
            <w:tcW w:w="3620" w:type="dxa"/>
            <w:vAlign w:val="bottom"/>
          </w:tcPr>
          <w:p>
            <w:pPr>
              <w:ind w:left="100"/>
              <w:spacing w:after="0"/>
              <w:rPr>
                <w:sz w:val="20"/>
                <w:szCs w:val="20"/>
                <w:color w:val="auto"/>
              </w:rPr>
            </w:pPr>
            <w:r>
              <w:rPr>
                <w:rFonts w:ascii="Arial" w:cs="Arial" w:eastAsia="Arial" w:hAnsi="Arial"/>
                <w:sz w:val="11"/>
                <w:szCs w:val="11"/>
                <w:color w:val="auto"/>
              </w:rPr>
              <w:t>Class A</w:t>
            </w:r>
          </w:p>
        </w:tc>
        <w:tc>
          <w:tcPr>
            <w:tcW w:w="20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760" w:type="dxa"/>
            <w:vAlign w:val="bottom"/>
          </w:tcPr>
          <w:p>
            <w:pPr>
              <w:jc w:val="right"/>
              <w:spacing w:after="0"/>
              <w:rPr>
                <w:sz w:val="20"/>
                <w:szCs w:val="20"/>
                <w:color w:val="auto"/>
              </w:rPr>
            </w:pPr>
            <w:r>
              <w:rPr>
                <w:rFonts w:ascii="Arial" w:cs="Arial" w:eastAsia="Arial" w:hAnsi="Arial"/>
                <w:sz w:val="11"/>
                <w:szCs w:val="11"/>
                <w:color w:val="auto"/>
              </w:rPr>
              <w:t>5,295</w:t>
            </w:r>
          </w:p>
        </w:tc>
        <w:tc>
          <w:tcPr>
            <w:tcW w:w="360" w:type="dxa"/>
            <w:vAlign w:val="bottom"/>
            <w:gridSpan w:val="3"/>
          </w:tcPr>
          <w:p>
            <w:pPr>
              <w:jc w:val="right"/>
              <w:ind w:right="120"/>
              <w:spacing w:after="0"/>
              <w:rPr>
                <w:sz w:val="20"/>
                <w:szCs w:val="20"/>
                <w:color w:val="auto"/>
              </w:rPr>
            </w:pPr>
            <w:r>
              <w:rPr>
                <w:rFonts w:ascii="Arial" w:cs="Arial" w:eastAsia="Arial" w:hAnsi="Arial"/>
                <w:sz w:val="11"/>
                <w:szCs w:val="11"/>
                <w:color w:val="auto"/>
              </w:rPr>
              <w:t>$</w:t>
            </w:r>
          </w:p>
        </w:tc>
        <w:tc>
          <w:tcPr>
            <w:tcW w:w="700" w:type="dxa"/>
            <w:vAlign w:val="bottom"/>
          </w:tcPr>
          <w:p>
            <w:pPr>
              <w:jc w:val="right"/>
              <w:spacing w:after="0"/>
              <w:rPr>
                <w:sz w:val="20"/>
                <w:szCs w:val="20"/>
                <w:color w:val="auto"/>
              </w:rPr>
            </w:pPr>
            <w:r>
              <w:rPr>
                <w:rFonts w:ascii="Arial" w:cs="Arial" w:eastAsia="Arial" w:hAnsi="Arial"/>
                <w:sz w:val="11"/>
                <w:szCs w:val="11"/>
                <w:color w:val="auto"/>
              </w:rPr>
              <w:t>2,509</w:t>
            </w:r>
          </w:p>
        </w:tc>
        <w:tc>
          <w:tcPr>
            <w:tcW w:w="300" w:type="dxa"/>
            <w:vAlign w:val="bottom"/>
            <w:gridSpan w:val="3"/>
          </w:tcPr>
          <w:p>
            <w:pPr>
              <w:jc w:val="right"/>
              <w:ind w:right="120"/>
              <w:spacing w:after="0"/>
              <w:rPr>
                <w:sz w:val="20"/>
                <w:szCs w:val="20"/>
                <w:color w:val="auto"/>
              </w:rPr>
            </w:pPr>
            <w:r>
              <w:rPr>
                <w:rFonts w:ascii="Arial" w:cs="Arial" w:eastAsia="Arial" w:hAnsi="Arial"/>
                <w:sz w:val="11"/>
                <w:szCs w:val="11"/>
                <w:color w:val="auto"/>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10,149</w:t>
            </w:r>
          </w:p>
        </w:tc>
        <w:tc>
          <w:tcPr>
            <w:tcW w:w="3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700" w:type="dxa"/>
            <w:vAlign w:val="bottom"/>
          </w:tcPr>
          <w:p>
            <w:pPr>
              <w:jc w:val="right"/>
              <w:spacing w:after="0"/>
              <w:rPr>
                <w:sz w:val="20"/>
                <w:szCs w:val="20"/>
                <w:color w:val="auto"/>
              </w:rPr>
            </w:pPr>
            <w:r>
              <w:rPr>
                <w:rFonts w:ascii="Arial" w:cs="Arial" w:eastAsia="Arial" w:hAnsi="Arial"/>
                <w:sz w:val="11"/>
                <w:szCs w:val="11"/>
                <w:color w:val="auto"/>
              </w:rPr>
              <w:t>5,551</w:t>
            </w:r>
          </w:p>
        </w:tc>
        <w:tc>
          <w:tcPr>
            <w:tcW w:w="20" w:type="dxa"/>
            <w:vAlign w:val="bottom"/>
          </w:tcPr>
          <w:p>
            <w:pPr>
              <w:spacing w:after="0"/>
              <w:rPr>
                <w:sz w:val="13"/>
                <w:szCs w:val="13"/>
                <w:color w:val="auto"/>
              </w:rPr>
            </w:pPr>
          </w:p>
        </w:tc>
      </w:tr>
      <w:tr>
        <w:trPr>
          <w:trHeight w:val="160"/>
        </w:trPr>
        <w:tc>
          <w:tcPr>
            <w:tcW w:w="3620" w:type="dxa"/>
            <w:vAlign w:val="bottom"/>
            <w:shd w:val="clear" w:color="auto" w:fill="CCEEFF"/>
          </w:tcPr>
          <w:p>
            <w:pPr>
              <w:ind w:left="100"/>
              <w:spacing w:after="0"/>
              <w:rPr>
                <w:sz w:val="20"/>
                <w:szCs w:val="20"/>
                <w:color w:val="auto"/>
              </w:rPr>
            </w:pPr>
            <w:r>
              <w:rPr>
                <w:rFonts w:ascii="Arial" w:cs="Arial" w:eastAsia="Arial" w:hAnsi="Arial"/>
                <w:sz w:val="11"/>
                <w:szCs w:val="11"/>
                <w:color w:val="auto"/>
              </w:rPr>
              <w:t>Class B</w:t>
            </w:r>
          </w:p>
        </w:tc>
        <w:tc>
          <w:tcPr>
            <w:tcW w:w="20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360" w:type="dxa"/>
            <w:vAlign w:val="bottom"/>
            <w:gridSpan w:val="3"/>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790</w:t>
            </w:r>
          </w:p>
        </w:tc>
        <w:tc>
          <w:tcPr>
            <w:tcW w:w="20" w:type="dxa"/>
            <w:vAlign w:val="bottom"/>
            <w:shd w:val="clear" w:color="auto" w:fill="CCEEFF"/>
          </w:tcPr>
          <w:p>
            <w:pPr>
              <w:spacing w:after="0"/>
              <w:rPr>
                <w:sz w:val="13"/>
                <w:szCs w:val="13"/>
                <w:color w:val="auto"/>
              </w:rPr>
            </w:pP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1,747</w:t>
            </w:r>
          </w:p>
        </w:tc>
        <w:tc>
          <w:tcPr>
            <w:tcW w:w="20" w:type="dxa"/>
            <w:vAlign w:val="bottom"/>
            <w:shd w:val="clear" w:color="auto" w:fill="CCEEFF"/>
          </w:tcPr>
          <w:p>
            <w:pPr>
              <w:spacing w:after="0"/>
              <w:rPr>
                <w:sz w:val="13"/>
                <w:szCs w:val="13"/>
                <w:color w:val="auto"/>
              </w:rPr>
            </w:pPr>
          </w:p>
        </w:tc>
      </w:tr>
      <w:tr>
        <w:trPr>
          <w:trHeight w:val="149"/>
        </w:trPr>
        <w:tc>
          <w:tcPr>
            <w:tcW w:w="3620" w:type="dxa"/>
            <w:vAlign w:val="bottom"/>
          </w:tcPr>
          <w:p>
            <w:pPr>
              <w:spacing w:after="0" w:line="149" w:lineRule="exact"/>
              <w:rPr>
                <w:sz w:val="20"/>
                <w:szCs w:val="20"/>
                <w:color w:val="auto"/>
              </w:rPr>
            </w:pPr>
            <w:r>
              <w:rPr>
                <w:rFonts w:ascii="Arial" w:cs="Arial" w:eastAsia="Arial" w:hAnsi="Arial"/>
                <w:sz w:val="11"/>
                <w:szCs w:val="11"/>
                <w:b w:val="1"/>
                <w:bCs w:val="1"/>
                <w:color w:val="auto"/>
              </w:rPr>
              <w:t xml:space="preserve">Per share information: </w:t>
            </w:r>
            <w:r>
              <w:rPr>
                <w:rFonts w:ascii="Arial" w:cs="Arial" w:eastAsia="Arial" w:hAnsi="Arial"/>
                <w:sz w:val="14"/>
                <w:szCs w:val="14"/>
                <w:color w:val="auto"/>
                <w:vertAlign w:val="superscript"/>
              </w:rPr>
              <w:t>(1)</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0"/>
        </w:trPr>
        <w:tc>
          <w:tcPr>
            <w:tcW w:w="3620" w:type="dxa"/>
            <w:vAlign w:val="bottom"/>
            <w:shd w:val="clear" w:color="auto" w:fill="CCEEFF"/>
          </w:tcPr>
          <w:p>
            <w:pPr>
              <w:ind w:left="100"/>
              <w:spacing w:after="0"/>
              <w:rPr>
                <w:sz w:val="20"/>
                <w:szCs w:val="20"/>
                <w:color w:val="auto"/>
              </w:rPr>
            </w:pPr>
            <w:r>
              <w:rPr>
                <w:rFonts w:ascii="Arial" w:cs="Arial" w:eastAsia="Arial" w:hAnsi="Arial"/>
                <w:sz w:val="11"/>
                <w:szCs w:val="11"/>
                <w:color w:val="auto"/>
              </w:rPr>
              <w:t xml:space="preserve">Class A common stock </w:t>
            </w:r>
            <w:r>
              <w:rPr>
                <w:rFonts w:ascii="Arial" w:cs="Arial" w:eastAsia="Arial" w:hAnsi="Arial"/>
                <w:sz w:val="14"/>
                <w:szCs w:val="14"/>
                <w:color w:val="auto"/>
                <w:vertAlign w:val="superscript"/>
              </w:rPr>
              <w:t>(2)</w:t>
            </w:r>
          </w:p>
        </w:tc>
        <w:tc>
          <w:tcPr>
            <w:tcW w:w="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r>
      <w:tr>
        <w:trPr>
          <w:trHeight w:val="160"/>
        </w:trPr>
        <w:tc>
          <w:tcPr>
            <w:tcW w:w="3620" w:type="dxa"/>
            <w:vAlign w:val="bottom"/>
          </w:tcPr>
          <w:p>
            <w:pPr>
              <w:ind w:left="200"/>
              <w:spacing w:after="0"/>
              <w:rPr>
                <w:sz w:val="20"/>
                <w:szCs w:val="20"/>
                <w:color w:val="auto"/>
              </w:rPr>
            </w:pPr>
            <w:r>
              <w:rPr>
                <w:rFonts w:ascii="Arial" w:cs="Arial" w:eastAsia="Arial" w:hAnsi="Arial"/>
                <w:sz w:val="11"/>
                <w:szCs w:val="11"/>
                <w:color w:val="auto"/>
              </w:rPr>
              <w:t>Net income per share, basic</w:t>
            </w:r>
          </w:p>
        </w:tc>
        <w:tc>
          <w:tcPr>
            <w:tcW w:w="20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760" w:type="dxa"/>
            <w:vAlign w:val="bottom"/>
          </w:tcPr>
          <w:p>
            <w:pPr>
              <w:jc w:val="right"/>
              <w:spacing w:after="0"/>
              <w:rPr>
                <w:sz w:val="20"/>
                <w:szCs w:val="20"/>
                <w:color w:val="auto"/>
              </w:rPr>
            </w:pPr>
            <w:r>
              <w:rPr>
                <w:rFonts w:ascii="Arial" w:cs="Arial" w:eastAsia="Arial" w:hAnsi="Arial"/>
                <w:sz w:val="11"/>
                <w:szCs w:val="11"/>
                <w:color w:val="auto"/>
              </w:rPr>
              <w:t>0.26</w:t>
            </w:r>
          </w:p>
        </w:tc>
        <w:tc>
          <w:tcPr>
            <w:tcW w:w="360" w:type="dxa"/>
            <w:vAlign w:val="bottom"/>
            <w:gridSpan w:val="3"/>
          </w:tcPr>
          <w:p>
            <w:pPr>
              <w:jc w:val="right"/>
              <w:ind w:right="120"/>
              <w:spacing w:after="0"/>
              <w:rPr>
                <w:sz w:val="20"/>
                <w:szCs w:val="20"/>
                <w:color w:val="auto"/>
              </w:rPr>
            </w:pPr>
            <w:r>
              <w:rPr>
                <w:rFonts w:ascii="Arial" w:cs="Arial" w:eastAsia="Arial" w:hAnsi="Arial"/>
                <w:sz w:val="11"/>
                <w:szCs w:val="11"/>
                <w:color w:val="auto"/>
              </w:rPr>
              <w:t>$</w:t>
            </w:r>
          </w:p>
        </w:tc>
        <w:tc>
          <w:tcPr>
            <w:tcW w:w="700" w:type="dxa"/>
            <w:vAlign w:val="bottom"/>
          </w:tcPr>
          <w:p>
            <w:pPr>
              <w:jc w:val="right"/>
              <w:spacing w:after="0"/>
              <w:rPr>
                <w:sz w:val="20"/>
                <w:szCs w:val="20"/>
                <w:color w:val="auto"/>
              </w:rPr>
            </w:pPr>
            <w:r>
              <w:rPr>
                <w:rFonts w:ascii="Arial" w:cs="Arial" w:eastAsia="Arial" w:hAnsi="Arial"/>
                <w:sz w:val="11"/>
                <w:szCs w:val="11"/>
                <w:color w:val="auto"/>
              </w:rPr>
              <w:t>0.65</w:t>
            </w:r>
          </w:p>
        </w:tc>
        <w:tc>
          <w:tcPr>
            <w:tcW w:w="300" w:type="dxa"/>
            <w:vAlign w:val="bottom"/>
            <w:gridSpan w:val="3"/>
          </w:tcPr>
          <w:p>
            <w:pPr>
              <w:jc w:val="right"/>
              <w:ind w:right="120"/>
              <w:spacing w:after="0"/>
              <w:rPr>
                <w:sz w:val="20"/>
                <w:szCs w:val="20"/>
                <w:color w:val="auto"/>
              </w:rPr>
            </w:pPr>
            <w:r>
              <w:rPr>
                <w:rFonts w:ascii="Arial" w:cs="Arial" w:eastAsia="Arial" w:hAnsi="Arial"/>
                <w:sz w:val="11"/>
                <w:szCs w:val="11"/>
                <w:color w:val="auto"/>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0.51</w:t>
            </w:r>
          </w:p>
        </w:tc>
        <w:tc>
          <w:tcPr>
            <w:tcW w:w="3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700" w:type="dxa"/>
            <w:vAlign w:val="bottom"/>
          </w:tcPr>
          <w:p>
            <w:pPr>
              <w:jc w:val="right"/>
              <w:spacing w:after="0"/>
              <w:rPr>
                <w:sz w:val="20"/>
                <w:szCs w:val="20"/>
                <w:color w:val="auto"/>
              </w:rPr>
            </w:pPr>
            <w:r>
              <w:rPr>
                <w:rFonts w:ascii="Arial" w:cs="Arial" w:eastAsia="Arial" w:hAnsi="Arial"/>
                <w:sz w:val="11"/>
                <w:szCs w:val="11"/>
                <w:color w:val="auto"/>
              </w:rPr>
              <w:t>1.43</w:t>
            </w:r>
          </w:p>
        </w:tc>
        <w:tc>
          <w:tcPr>
            <w:tcW w:w="20" w:type="dxa"/>
            <w:vAlign w:val="bottom"/>
          </w:tcPr>
          <w:p>
            <w:pPr>
              <w:spacing w:after="0"/>
              <w:rPr>
                <w:sz w:val="13"/>
                <w:szCs w:val="13"/>
                <w:color w:val="auto"/>
              </w:rPr>
            </w:pPr>
          </w:p>
        </w:tc>
      </w:tr>
      <w:tr>
        <w:trPr>
          <w:trHeight w:val="160"/>
        </w:trPr>
        <w:tc>
          <w:tcPr>
            <w:tcW w:w="3620" w:type="dxa"/>
            <w:vAlign w:val="bottom"/>
            <w:shd w:val="clear" w:color="auto" w:fill="CCEEFF"/>
          </w:tcPr>
          <w:p>
            <w:pPr>
              <w:ind w:left="200"/>
              <w:spacing w:after="0"/>
              <w:rPr>
                <w:sz w:val="20"/>
                <w:szCs w:val="20"/>
                <w:color w:val="auto"/>
              </w:rPr>
            </w:pPr>
            <w:r>
              <w:rPr>
                <w:rFonts w:ascii="Arial" w:cs="Arial" w:eastAsia="Arial" w:hAnsi="Arial"/>
                <w:sz w:val="11"/>
                <w:szCs w:val="11"/>
                <w:color w:val="auto"/>
              </w:rPr>
              <w:t>Net income per share, diluted</w:t>
            </w:r>
          </w:p>
        </w:tc>
        <w:tc>
          <w:tcPr>
            <w:tcW w:w="20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0.26</w:t>
            </w:r>
          </w:p>
        </w:tc>
        <w:tc>
          <w:tcPr>
            <w:tcW w:w="360" w:type="dxa"/>
            <w:vAlign w:val="bottom"/>
            <w:gridSpan w:val="3"/>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0.64</w:t>
            </w:r>
          </w:p>
        </w:tc>
        <w:tc>
          <w:tcPr>
            <w:tcW w:w="20" w:type="dxa"/>
            <w:vAlign w:val="bottom"/>
            <w:shd w:val="clear" w:color="auto" w:fill="CCEEFF"/>
          </w:tcPr>
          <w:p>
            <w:pPr>
              <w:spacing w:after="0"/>
              <w:rPr>
                <w:sz w:val="13"/>
                <w:szCs w:val="13"/>
                <w:color w:val="auto"/>
              </w:rPr>
            </w:pP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0.50</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1.41</w:t>
            </w:r>
          </w:p>
        </w:tc>
        <w:tc>
          <w:tcPr>
            <w:tcW w:w="20" w:type="dxa"/>
            <w:vAlign w:val="bottom"/>
            <w:shd w:val="clear" w:color="auto" w:fill="CCEEFF"/>
          </w:tcPr>
          <w:p>
            <w:pPr>
              <w:spacing w:after="0"/>
              <w:rPr>
                <w:sz w:val="13"/>
                <w:szCs w:val="13"/>
                <w:color w:val="auto"/>
              </w:rPr>
            </w:pPr>
          </w:p>
        </w:tc>
      </w:tr>
      <w:tr>
        <w:trPr>
          <w:trHeight w:val="160"/>
        </w:trPr>
        <w:tc>
          <w:tcPr>
            <w:tcW w:w="3620" w:type="dxa"/>
            <w:vAlign w:val="bottom"/>
          </w:tcPr>
          <w:p>
            <w:pPr>
              <w:ind w:left="100"/>
              <w:spacing w:after="0"/>
              <w:rPr>
                <w:sz w:val="20"/>
                <w:szCs w:val="20"/>
                <w:color w:val="auto"/>
              </w:rPr>
            </w:pPr>
            <w:r>
              <w:rPr>
                <w:rFonts w:ascii="Arial" w:cs="Arial" w:eastAsia="Arial" w:hAnsi="Arial"/>
                <w:sz w:val="11"/>
                <w:szCs w:val="11"/>
                <w:color w:val="auto"/>
              </w:rPr>
              <w:t>Class B common stock</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49"/>
        </w:trPr>
        <w:tc>
          <w:tcPr>
            <w:tcW w:w="3620" w:type="dxa"/>
            <w:vAlign w:val="bottom"/>
            <w:shd w:val="clear" w:color="auto" w:fill="CCEEFF"/>
          </w:tcPr>
          <w:p>
            <w:pPr>
              <w:ind w:left="200"/>
              <w:spacing w:after="0"/>
              <w:rPr>
                <w:sz w:val="20"/>
                <w:szCs w:val="20"/>
                <w:color w:val="auto"/>
              </w:rPr>
            </w:pPr>
            <w:r>
              <w:rPr>
                <w:rFonts w:ascii="Arial" w:cs="Arial" w:eastAsia="Arial" w:hAnsi="Arial"/>
                <w:sz w:val="11"/>
                <w:szCs w:val="11"/>
                <w:color w:val="auto"/>
              </w:rPr>
              <w:t>Net income per share, basic</w:t>
            </w:r>
          </w:p>
        </w:tc>
        <w:tc>
          <w:tcPr>
            <w:tcW w:w="20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360" w:type="dxa"/>
            <w:vAlign w:val="bottom"/>
            <w:gridSpan w:val="3"/>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0.13</w:t>
            </w:r>
          </w:p>
        </w:tc>
        <w:tc>
          <w:tcPr>
            <w:tcW w:w="20" w:type="dxa"/>
            <w:vAlign w:val="bottom"/>
            <w:shd w:val="clear" w:color="auto" w:fill="CCEEFF"/>
          </w:tcPr>
          <w:p>
            <w:pPr>
              <w:spacing w:after="0"/>
              <w:rPr>
                <w:sz w:val="12"/>
                <w:szCs w:val="12"/>
                <w:color w:val="auto"/>
              </w:rPr>
            </w:pP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0.29</w:t>
            </w:r>
          </w:p>
        </w:tc>
        <w:tc>
          <w:tcPr>
            <w:tcW w:w="20" w:type="dxa"/>
            <w:vAlign w:val="bottom"/>
            <w:shd w:val="clear" w:color="auto" w:fill="CCEEFF"/>
          </w:tcPr>
          <w:p>
            <w:pPr>
              <w:spacing w:after="0"/>
              <w:rPr>
                <w:sz w:val="12"/>
                <w:szCs w:val="12"/>
                <w:color w:val="auto"/>
              </w:rPr>
            </w:pPr>
          </w:p>
        </w:tc>
      </w:tr>
      <w:tr>
        <w:trPr>
          <w:trHeight w:val="160"/>
        </w:trPr>
        <w:tc>
          <w:tcPr>
            <w:tcW w:w="3620" w:type="dxa"/>
            <w:vAlign w:val="bottom"/>
          </w:tcPr>
          <w:p>
            <w:pPr>
              <w:ind w:left="200"/>
              <w:spacing w:after="0"/>
              <w:rPr>
                <w:sz w:val="20"/>
                <w:szCs w:val="20"/>
                <w:color w:val="auto"/>
              </w:rPr>
            </w:pPr>
            <w:r>
              <w:rPr>
                <w:rFonts w:ascii="Arial" w:cs="Arial" w:eastAsia="Arial" w:hAnsi="Arial"/>
                <w:sz w:val="11"/>
                <w:szCs w:val="11"/>
                <w:color w:val="auto"/>
              </w:rPr>
              <w:t>Net income per share, diluted</w:t>
            </w:r>
          </w:p>
        </w:tc>
        <w:tc>
          <w:tcPr>
            <w:tcW w:w="20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760" w:type="dxa"/>
            <w:vAlign w:val="bottom"/>
          </w:tcPr>
          <w:p>
            <w:pPr>
              <w:jc w:val="right"/>
              <w:spacing w:after="0"/>
              <w:rPr>
                <w:sz w:val="20"/>
                <w:szCs w:val="20"/>
                <w:color w:val="auto"/>
              </w:rPr>
            </w:pPr>
            <w:r>
              <w:rPr>
                <w:rFonts w:ascii="Arial" w:cs="Arial" w:eastAsia="Arial" w:hAnsi="Arial"/>
                <w:sz w:val="11"/>
                <w:szCs w:val="11"/>
                <w:color w:val="auto"/>
              </w:rPr>
              <w:t>-</w:t>
            </w:r>
          </w:p>
        </w:tc>
        <w:tc>
          <w:tcPr>
            <w:tcW w:w="360" w:type="dxa"/>
            <w:vAlign w:val="bottom"/>
            <w:gridSpan w:val="3"/>
          </w:tcPr>
          <w:p>
            <w:pPr>
              <w:jc w:val="right"/>
              <w:ind w:right="120"/>
              <w:spacing w:after="0"/>
              <w:rPr>
                <w:sz w:val="20"/>
                <w:szCs w:val="20"/>
                <w:color w:val="auto"/>
              </w:rPr>
            </w:pPr>
            <w:r>
              <w:rPr>
                <w:rFonts w:ascii="Arial" w:cs="Arial" w:eastAsia="Arial" w:hAnsi="Arial"/>
                <w:sz w:val="11"/>
                <w:szCs w:val="11"/>
                <w:color w:val="auto"/>
              </w:rPr>
              <w:t>$</w:t>
            </w:r>
          </w:p>
        </w:tc>
        <w:tc>
          <w:tcPr>
            <w:tcW w:w="700" w:type="dxa"/>
            <w:vAlign w:val="bottom"/>
          </w:tcPr>
          <w:p>
            <w:pPr>
              <w:jc w:val="right"/>
              <w:spacing w:after="0"/>
              <w:rPr>
                <w:sz w:val="20"/>
                <w:szCs w:val="20"/>
                <w:color w:val="auto"/>
              </w:rPr>
            </w:pPr>
            <w:r>
              <w:rPr>
                <w:rFonts w:ascii="Arial" w:cs="Arial" w:eastAsia="Arial" w:hAnsi="Arial"/>
                <w:sz w:val="11"/>
                <w:szCs w:val="11"/>
                <w:color w:val="auto"/>
              </w:rPr>
              <w:t>0.13</w:t>
            </w:r>
          </w:p>
        </w:tc>
        <w:tc>
          <w:tcPr>
            <w:tcW w:w="300" w:type="dxa"/>
            <w:vAlign w:val="bottom"/>
            <w:gridSpan w:val="3"/>
          </w:tcPr>
          <w:p>
            <w:pPr>
              <w:jc w:val="right"/>
              <w:ind w:right="120"/>
              <w:spacing w:after="0"/>
              <w:rPr>
                <w:sz w:val="20"/>
                <w:szCs w:val="20"/>
                <w:color w:val="auto"/>
              </w:rPr>
            </w:pPr>
            <w:r>
              <w:rPr>
                <w:rFonts w:ascii="Arial" w:cs="Arial" w:eastAsia="Arial" w:hAnsi="Arial"/>
                <w:sz w:val="11"/>
                <w:szCs w:val="11"/>
                <w:color w:val="auto"/>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w:t>
            </w:r>
          </w:p>
        </w:tc>
        <w:tc>
          <w:tcPr>
            <w:tcW w:w="3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700" w:type="dxa"/>
            <w:vAlign w:val="bottom"/>
          </w:tcPr>
          <w:p>
            <w:pPr>
              <w:jc w:val="right"/>
              <w:spacing w:after="0"/>
              <w:rPr>
                <w:sz w:val="20"/>
                <w:szCs w:val="20"/>
                <w:color w:val="auto"/>
              </w:rPr>
            </w:pPr>
            <w:r>
              <w:rPr>
                <w:rFonts w:ascii="Arial" w:cs="Arial" w:eastAsia="Arial" w:hAnsi="Arial"/>
                <w:sz w:val="11"/>
                <w:szCs w:val="11"/>
                <w:color w:val="auto"/>
              </w:rPr>
              <w:t>0.29</w:t>
            </w:r>
          </w:p>
        </w:tc>
        <w:tc>
          <w:tcPr>
            <w:tcW w:w="20" w:type="dxa"/>
            <w:vAlign w:val="bottom"/>
          </w:tcPr>
          <w:p>
            <w:pPr>
              <w:spacing w:after="0"/>
              <w:rPr>
                <w:sz w:val="13"/>
                <w:szCs w:val="13"/>
                <w:color w:val="auto"/>
              </w:rPr>
            </w:pPr>
          </w:p>
        </w:tc>
      </w:tr>
      <w:tr>
        <w:trPr>
          <w:trHeight w:val="160"/>
        </w:trPr>
        <w:tc>
          <w:tcPr>
            <w:tcW w:w="362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Weighted average shares outstanding:</w:t>
            </w:r>
          </w:p>
        </w:tc>
        <w:tc>
          <w:tcPr>
            <w:tcW w:w="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r>
      <w:tr>
        <w:trPr>
          <w:trHeight w:val="160"/>
        </w:trPr>
        <w:tc>
          <w:tcPr>
            <w:tcW w:w="3620" w:type="dxa"/>
            <w:vAlign w:val="bottom"/>
          </w:tcPr>
          <w:p>
            <w:pPr>
              <w:ind w:left="100"/>
              <w:spacing w:after="0"/>
              <w:rPr>
                <w:sz w:val="20"/>
                <w:szCs w:val="20"/>
                <w:color w:val="auto"/>
              </w:rPr>
            </w:pPr>
            <w:r>
              <w:rPr>
                <w:rFonts w:ascii="Arial" w:cs="Arial" w:eastAsia="Arial" w:hAnsi="Arial"/>
                <w:sz w:val="11"/>
                <w:szCs w:val="11"/>
                <w:color w:val="auto"/>
              </w:rPr>
              <w:t xml:space="preserve">Class A common stock </w:t>
            </w:r>
            <w:r>
              <w:rPr>
                <w:rFonts w:ascii="Arial" w:cs="Arial" w:eastAsia="Arial" w:hAnsi="Arial"/>
                <w:sz w:val="14"/>
                <w:szCs w:val="14"/>
                <w:color w:val="auto"/>
                <w:vertAlign w:val="superscript"/>
              </w:rPr>
              <w:t>(2)</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0"/>
        </w:trPr>
        <w:tc>
          <w:tcPr>
            <w:tcW w:w="3620" w:type="dxa"/>
            <w:vAlign w:val="bottom"/>
            <w:shd w:val="clear" w:color="auto" w:fill="CCEEFF"/>
          </w:tcPr>
          <w:p>
            <w:pPr>
              <w:ind w:left="200"/>
              <w:spacing w:after="0"/>
              <w:rPr>
                <w:sz w:val="20"/>
                <w:szCs w:val="20"/>
                <w:color w:val="auto"/>
              </w:rPr>
            </w:pPr>
            <w:r>
              <w:rPr>
                <w:rFonts w:ascii="Arial" w:cs="Arial" w:eastAsia="Arial" w:hAnsi="Arial"/>
                <w:sz w:val="11"/>
                <w:szCs w:val="11"/>
                <w:color w:val="auto"/>
              </w:rPr>
              <w:t>Basic</w:t>
            </w:r>
          </w:p>
        </w:tc>
        <w:tc>
          <w:tcPr>
            <w:tcW w:w="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20,000,753</w:t>
            </w: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3,889,469</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19,997,869</w:t>
            </w: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3,889,469</w:t>
            </w:r>
          </w:p>
        </w:tc>
        <w:tc>
          <w:tcPr>
            <w:tcW w:w="20" w:type="dxa"/>
            <w:vAlign w:val="bottom"/>
            <w:shd w:val="clear" w:color="auto" w:fill="CCEEFF"/>
          </w:tcPr>
          <w:p>
            <w:pPr>
              <w:spacing w:after="0"/>
              <w:rPr>
                <w:sz w:val="13"/>
                <w:szCs w:val="13"/>
                <w:color w:val="auto"/>
              </w:rPr>
            </w:pPr>
          </w:p>
        </w:tc>
      </w:tr>
      <w:tr>
        <w:trPr>
          <w:trHeight w:val="149"/>
        </w:trPr>
        <w:tc>
          <w:tcPr>
            <w:tcW w:w="3620" w:type="dxa"/>
            <w:vAlign w:val="bottom"/>
          </w:tcPr>
          <w:p>
            <w:pPr>
              <w:ind w:left="200"/>
              <w:spacing w:after="0"/>
              <w:rPr>
                <w:sz w:val="20"/>
                <w:szCs w:val="20"/>
                <w:color w:val="auto"/>
              </w:rPr>
            </w:pPr>
            <w:r>
              <w:rPr>
                <w:rFonts w:ascii="Arial" w:cs="Arial" w:eastAsia="Arial" w:hAnsi="Arial"/>
                <w:sz w:val="11"/>
                <w:szCs w:val="11"/>
                <w:color w:val="auto"/>
              </w:rPr>
              <w:t>Diluted</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20,171,261</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3,933,636</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20,192,918</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3,933,636</w:t>
            </w:r>
          </w:p>
        </w:tc>
        <w:tc>
          <w:tcPr>
            <w:tcW w:w="20" w:type="dxa"/>
            <w:vAlign w:val="bottom"/>
          </w:tcPr>
          <w:p>
            <w:pPr>
              <w:spacing w:after="0"/>
              <w:rPr>
                <w:sz w:val="12"/>
                <w:szCs w:val="12"/>
                <w:color w:val="auto"/>
              </w:rPr>
            </w:pPr>
          </w:p>
        </w:tc>
      </w:tr>
      <w:tr>
        <w:trPr>
          <w:trHeight w:val="160"/>
        </w:trPr>
        <w:tc>
          <w:tcPr>
            <w:tcW w:w="3620" w:type="dxa"/>
            <w:vAlign w:val="bottom"/>
            <w:shd w:val="clear" w:color="auto" w:fill="CCEEFF"/>
          </w:tcPr>
          <w:p>
            <w:pPr>
              <w:ind w:left="100"/>
              <w:spacing w:after="0"/>
              <w:rPr>
                <w:sz w:val="20"/>
                <w:szCs w:val="20"/>
                <w:color w:val="auto"/>
              </w:rPr>
            </w:pPr>
            <w:r>
              <w:rPr>
                <w:rFonts w:ascii="Arial" w:cs="Arial" w:eastAsia="Arial" w:hAnsi="Arial"/>
                <w:sz w:val="11"/>
                <w:szCs w:val="11"/>
                <w:color w:val="auto"/>
              </w:rPr>
              <w:t>Class B common stock</w:t>
            </w:r>
          </w:p>
        </w:tc>
        <w:tc>
          <w:tcPr>
            <w:tcW w:w="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r>
      <w:tr>
        <w:trPr>
          <w:trHeight w:val="160"/>
        </w:trPr>
        <w:tc>
          <w:tcPr>
            <w:tcW w:w="3620" w:type="dxa"/>
            <w:vAlign w:val="bottom"/>
          </w:tcPr>
          <w:p>
            <w:pPr>
              <w:ind w:left="200"/>
              <w:spacing w:after="0"/>
              <w:rPr>
                <w:sz w:val="20"/>
                <w:szCs w:val="20"/>
                <w:color w:val="auto"/>
              </w:rPr>
            </w:pPr>
            <w:r>
              <w:rPr>
                <w:rFonts w:ascii="Arial" w:cs="Arial" w:eastAsia="Arial" w:hAnsi="Arial"/>
                <w:sz w:val="11"/>
                <w:szCs w:val="11"/>
                <w:color w:val="auto"/>
              </w:rPr>
              <w:t>Basic</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6,121,052</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6,121,052</w:t>
            </w:r>
          </w:p>
        </w:tc>
        <w:tc>
          <w:tcPr>
            <w:tcW w:w="20" w:type="dxa"/>
            <w:vAlign w:val="bottom"/>
          </w:tcPr>
          <w:p>
            <w:pPr>
              <w:spacing w:after="0"/>
              <w:rPr>
                <w:sz w:val="13"/>
                <w:szCs w:val="13"/>
                <w:color w:val="auto"/>
              </w:rPr>
            </w:pPr>
          </w:p>
        </w:tc>
      </w:tr>
      <w:tr>
        <w:trPr>
          <w:trHeight w:val="160"/>
        </w:trPr>
        <w:tc>
          <w:tcPr>
            <w:tcW w:w="3620" w:type="dxa"/>
            <w:vAlign w:val="bottom"/>
            <w:shd w:val="clear" w:color="auto" w:fill="CCEEFF"/>
          </w:tcPr>
          <w:p>
            <w:pPr>
              <w:ind w:left="200"/>
              <w:spacing w:after="0"/>
              <w:rPr>
                <w:sz w:val="20"/>
                <w:szCs w:val="20"/>
                <w:color w:val="auto"/>
              </w:rPr>
            </w:pPr>
            <w:r>
              <w:rPr>
                <w:rFonts w:ascii="Arial" w:cs="Arial" w:eastAsia="Arial" w:hAnsi="Arial"/>
                <w:sz w:val="11"/>
                <w:szCs w:val="11"/>
                <w:color w:val="auto"/>
              </w:rPr>
              <w:t>Diluted</w:t>
            </w:r>
          </w:p>
        </w:tc>
        <w:tc>
          <w:tcPr>
            <w:tcW w:w="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6,121,052</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6,121,052</w:t>
            </w:r>
          </w:p>
        </w:tc>
        <w:tc>
          <w:tcPr>
            <w:tcW w:w="20" w:type="dxa"/>
            <w:vAlign w:val="bottom"/>
            <w:shd w:val="clear" w:color="auto" w:fill="CCEEFF"/>
          </w:tcPr>
          <w:p>
            <w:pPr>
              <w:spacing w:after="0"/>
              <w:rPr>
                <w:sz w:val="13"/>
                <w:szCs w:val="13"/>
                <w:color w:val="auto"/>
              </w:rPr>
            </w:pPr>
          </w:p>
        </w:tc>
      </w:tr>
    </w:tbl>
    <w:p>
      <w:pPr>
        <w:spacing w:after="0" w:line="155" w:lineRule="exact"/>
        <w:rPr>
          <w:sz w:val="20"/>
          <w:szCs w:val="20"/>
          <w:color w:val="auto"/>
        </w:rPr>
      </w:pPr>
    </w:p>
    <w:p>
      <w:pPr>
        <w:ind w:left="660" w:right="739" w:firstLine="3"/>
        <w:spacing w:after="0" w:line="263" w:lineRule="auto"/>
        <w:tabs>
          <w:tab w:leader="none" w:pos="851" w:val="left"/>
        </w:tabs>
        <w:numPr>
          <w:ilvl w:val="0"/>
          <w:numId w:val="9"/>
        </w:numPr>
        <w:rPr>
          <w:rFonts w:ascii="Arial" w:cs="Arial" w:eastAsia="Arial" w:hAnsi="Arial"/>
          <w:sz w:val="11"/>
          <w:szCs w:val="11"/>
          <w:color w:val="auto"/>
        </w:rPr>
      </w:pPr>
      <w:r>
        <w:rPr>
          <w:rFonts w:ascii="Arial" w:cs="Arial" w:eastAsia="Arial" w:hAnsi="Arial"/>
          <w:sz w:val="11"/>
          <w:szCs w:val="11"/>
          <w:color w:val="auto"/>
        </w:rPr>
        <w:t>For the three and six months ended June 30, 2021, the allocation of net income available to common stockholders was based on the weighted average shares outstanding per common share class to the total weighted average shares outstanding during the period. The income allocation is calculated using the weighted average shares outstanding of Class B common stock on an as-converted basis (20% per share equivalent to Class A common stock).</w:t>
      </w:r>
    </w:p>
    <w:p>
      <w:pPr>
        <w:ind w:left="660" w:right="699" w:firstLine="3"/>
        <w:spacing w:after="0" w:line="279" w:lineRule="auto"/>
        <w:tabs>
          <w:tab w:leader="none" w:pos="851" w:val="left"/>
        </w:tabs>
        <w:numPr>
          <w:ilvl w:val="0"/>
          <w:numId w:val="9"/>
        </w:numPr>
        <w:rPr>
          <w:rFonts w:ascii="Arial" w:cs="Arial" w:eastAsia="Arial" w:hAnsi="Arial"/>
          <w:sz w:val="11"/>
          <w:szCs w:val="11"/>
          <w:color w:val="auto"/>
        </w:rPr>
      </w:pPr>
      <w:r>
        <w:rPr>
          <w:rFonts w:ascii="Arial" w:cs="Arial" w:eastAsia="Arial" w:hAnsi="Arial"/>
          <w:sz w:val="11"/>
          <w:szCs w:val="11"/>
          <w:color w:val="auto"/>
        </w:rPr>
        <w:t>For the three and six months ended June 30, 2021, the common stock outstanding, weighted average shares and net income per share for the Class A common stock have been adjusted to reflect the 1 for 5 reverse stock split that occurred in June 2021.</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9019"/>
          </w:cols>
          <w:pgMar w:left="1440" w:top="723" w:right="1440" w:bottom="1440" w:gutter="0" w:footer="0" w:header="0"/>
        </w:sectPr>
      </w:pPr>
    </w:p>
    <w:bookmarkStart w:id="7" w:name="page8"/>
    <w:bookmarkEnd w:id="7"/>
    <w:p>
      <w:pPr>
        <w:jc w:val="center"/>
        <w:spacing w:after="0"/>
        <w:rPr>
          <w:sz w:val="20"/>
          <w:szCs w:val="20"/>
          <w:color w:val="auto"/>
        </w:rPr>
      </w:pPr>
      <w:r>
        <w:rPr>
          <w:rFonts w:ascii="Arial" w:cs="Arial" w:eastAsia="Arial" w:hAnsi="Arial"/>
          <w:sz w:val="11"/>
          <w:szCs w:val="11"/>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USCB FINANCIAL HOLDINGS, INC.</w:t>
      </w:r>
    </w:p>
    <w:p>
      <w:pPr>
        <w:spacing w:after="0" w:line="34" w:lineRule="exact"/>
        <w:rPr>
          <w:sz w:val="20"/>
          <w:szCs w:val="20"/>
          <w:color w:val="auto"/>
        </w:rPr>
      </w:pPr>
    </w:p>
    <w:p>
      <w:pPr>
        <w:jc w:val="center"/>
        <w:ind w:right="19"/>
        <w:spacing w:after="0"/>
        <w:rPr>
          <w:sz w:val="20"/>
          <w:szCs w:val="20"/>
          <w:color w:val="auto"/>
        </w:rPr>
      </w:pPr>
      <w:r>
        <w:rPr>
          <w:rFonts w:ascii="Arial" w:cs="Arial" w:eastAsia="Arial" w:hAnsi="Arial"/>
          <w:sz w:val="11"/>
          <w:szCs w:val="11"/>
          <w:b w:val="1"/>
          <w:bCs w:val="1"/>
          <w:color w:val="auto"/>
        </w:rPr>
        <w:t>SELECTED FINANCIAL DATA (UNAUDITED)</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(Dollars in thousands, except per share data)</w:t>
      </w:r>
    </w:p>
    <w:p>
      <w:pPr>
        <w:spacing w:after="0" w:line="138" w:lineRule="exact"/>
        <w:rPr>
          <w:sz w:val="20"/>
          <w:szCs w:val="20"/>
          <w:color w:val="auto"/>
        </w:rPr>
      </w:pPr>
    </w:p>
    <w:tbl>
      <w:tblPr>
        <w:tblLayout w:type="fixed"/>
        <w:tblInd w:w="660" w:type="dxa"/>
        <w:tblCellMar>
          <w:top w:w="0" w:type="dxa"/>
          <w:left w:w="0" w:type="dxa"/>
          <w:bottom w:w="0" w:type="dxa"/>
          <w:right w:w="0" w:type="dxa"/>
        </w:tblCellMar>
      </w:tblPr>
      <w:tr>
        <w:trPr>
          <w:trHeight w:val="135"/>
        </w:trPr>
        <w:tc>
          <w:tcPr>
            <w:tcW w:w="32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2500" w:type="dxa"/>
            <w:vAlign w:val="bottom"/>
            <w:tcBorders>
              <w:bottom w:val="single" w:sz="8" w:color="auto"/>
            </w:tcBorders>
            <w:gridSpan w:val="12"/>
          </w:tcPr>
          <w:p>
            <w:pPr>
              <w:jc w:val="right"/>
              <w:ind w:right="420"/>
              <w:spacing w:after="0"/>
              <w:rPr>
                <w:sz w:val="20"/>
                <w:szCs w:val="20"/>
                <w:color w:val="auto"/>
              </w:rPr>
            </w:pPr>
            <w:r>
              <w:rPr>
                <w:rFonts w:ascii="Arial" w:cs="Arial" w:eastAsia="Arial" w:hAnsi="Arial"/>
                <w:sz w:val="11"/>
                <w:szCs w:val="11"/>
                <w:b w:val="1"/>
                <w:bCs w:val="1"/>
                <w:color w:val="auto"/>
              </w:rPr>
              <w:t>As of or For the Three Months Ended</w:t>
            </w: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r>
      <w:tr>
        <w:trPr>
          <w:trHeight w:val="131"/>
        </w:trPr>
        <w:tc>
          <w:tcPr>
            <w:tcW w:w="3240" w:type="dxa"/>
            <w:vAlign w:val="bottom"/>
            <w:tcBorders>
              <w:bottom w:val="single" w:sz="8" w:color="CCEEFF"/>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ind w:right="123"/>
              <w:spacing w:after="0"/>
              <w:rPr>
                <w:sz w:val="20"/>
                <w:szCs w:val="20"/>
                <w:color w:val="auto"/>
              </w:rPr>
            </w:pPr>
            <w:r>
              <w:rPr>
                <w:rFonts w:ascii="Arial" w:cs="Arial" w:eastAsia="Arial" w:hAnsi="Arial"/>
                <w:sz w:val="11"/>
                <w:szCs w:val="11"/>
                <w:b w:val="1"/>
                <w:bCs w:val="1"/>
                <w:color w:val="auto"/>
                <w:w w:val="93"/>
              </w:rPr>
              <w:t>6/30/2022</w:t>
            </w:r>
          </w:p>
        </w:tc>
        <w:tc>
          <w:tcPr>
            <w:tcW w:w="20" w:type="dxa"/>
            <w:vAlign w:val="bottom"/>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ind w:right="123"/>
              <w:spacing w:after="0"/>
              <w:rPr>
                <w:sz w:val="20"/>
                <w:szCs w:val="20"/>
                <w:color w:val="auto"/>
              </w:rPr>
            </w:pPr>
            <w:r>
              <w:rPr>
                <w:rFonts w:ascii="Arial" w:cs="Arial" w:eastAsia="Arial" w:hAnsi="Arial"/>
                <w:sz w:val="11"/>
                <w:szCs w:val="11"/>
                <w:b w:val="1"/>
                <w:bCs w:val="1"/>
                <w:color w:val="auto"/>
                <w:w w:val="93"/>
              </w:rPr>
              <w:t>3/31/2022</w:t>
            </w:r>
          </w:p>
        </w:tc>
        <w:tc>
          <w:tcPr>
            <w:tcW w:w="20" w:type="dxa"/>
            <w:vAlign w:val="bottom"/>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103"/>
              <w:spacing w:after="0"/>
              <w:rPr>
                <w:sz w:val="20"/>
                <w:szCs w:val="20"/>
                <w:color w:val="auto"/>
              </w:rPr>
            </w:pPr>
            <w:r>
              <w:rPr>
                <w:rFonts w:ascii="Arial" w:cs="Arial" w:eastAsia="Arial" w:hAnsi="Arial"/>
                <w:sz w:val="11"/>
                <w:szCs w:val="11"/>
                <w:b w:val="1"/>
                <w:bCs w:val="1"/>
                <w:color w:val="auto"/>
                <w:w w:val="90"/>
              </w:rPr>
              <w:t>12/31/2021</w:t>
            </w:r>
          </w:p>
        </w:tc>
        <w:tc>
          <w:tcPr>
            <w:tcW w:w="20" w:type="dxa"/>
            <w:vAlign w:val="bottom"/>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143"/>
              <w:spacing w:after="0"/>
              <w:rPr>
                <w:sz w:val="20"/>
                <w:szCs w:val="20"/>
                <w:color w:val="auto"/>
              </w:rPr>
            </w:pPr>
            <w:r>
              <w:rPr>
                <w:rFonts w:ascii="Arial" w:cs="Arial" w:eastAsia="Arial" w:hAnsi="Arial"/>
                <w:sz w:val="11"/>
                <w:szCs w:val="11"/>
                <w:b w:val="1"/>
                <w:bCs w:val="1"/>
                <w:color w:val="auto"/>
                <w:w w:val="93"/>
              </w:rPr>
              <w:t>9/30/2021</w:t>
            </w:r>
          </w:p>
        </w:tc>
        <w:tc>
          <w:tcPr>
            <w:tcW w:w="20" w:type="dxa"/>
            <w:vAlign w:val="bottom"/>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ind w:right="123"/>
              <w:spacing w:after="0"/>
              <w:rPr>
                <w:sz w:val="20"/>
                <w:szCs w:val="20"/>
                <w:color w:val="auto"/>
              </w:rPr>
            </w:pPr>
            <w:r>
              <w:rPr>
                <w:rFonts w:ascii="Arial" w:cs="Arial" w:eastAsia="Arial" w:hAnsi="Arial"/>
                <w:sz w:val="11"/>
                <w:szCs w:val="11"/>
                <w:b w:val="1"/>
                <w:bCs w:val="1"/>
                <w:color w:val="auto"/>
                <w:w w:val="93"/>
              </w:rPr>
              <w:t>6/30/2021</w:t>
            </w:r>
          </w:p>
        </w:tc>
        <w:tc>
          <w:tcPr>
            <w:tcW w:w="20" w:type="dxa"/>
            <w:vAlign w:val="bottom"/>
          </w:tcPr>
          <w:p>
            <w:pPr>
              <w:spacing w:after="0"/>
              <w:rPr>
                <w:sz w:val="11"/>
                <w:szCs w:val="11"/>
                <w:color w:val="auto"/>
              </w:rPr>
            </w:pPr>
          </w:p>
        </w:tc>
      </w:tr>
      <w:tr>
        <w:trPr>
          <w:trHeight w:val="139"/>
        </w:trPr>
        <w:tc>
          <w:tcPr>
            <w:tcW w:w="324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Income statement data:</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r>
      <w:tr>
        <w:trPr>
          <w:trHeight w:val="160"/>
        </w:trPr>
        <w:tc>
          <w:tcPr>
            <w:tcW w:w="3240" w:type="dxa"/>
            <w:vAlign w:val="bottom"/>
          </w:tcPr>
          <w:p>
            <w:pPr>
              <w:ind w:left="100"/>
              <w:spacing w:after="0"/>
              <w:rPr>
                <w:sz w:val="20"/>
                <w:szCs w:val="20"/>
                <w:color w:val="auto"/>
              </w:rPr>
            </w:pPr>
            <w:r>
              <w:rPr>
                <w:rFonts w:ascii="Arial" w:cs="Arial" w:eastAsia="Arial" w:hAnsi="Arial"/>
                <w:sz w:val="11"/>
                <w:szCs w:val="11"/>
                <w:color w:val="auto"/>
              </w:rPr>
              <w:t>Net interest income</w:t>
            </w:r>
          </w:p>
        </w:tc>
        <w:tc>
          <w:tcPr>
            <w:tcW w:w="16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15,642</w:t>
            </w:r>
          </w:p>
        </w:tc>
        <w:tc>
          <w:tcPr>
            <w:tcW w:w="20" w:type="dxa"/>
            <w:vAlign w:val="bottom"/>
          </w:tcPr>
          <w:p>
            <w:pPr>
              <w:spacing w:after="0"/>
              <w:rPr>
                <w:sz w:val="13"/>
                <w:szCs w:val="13"/>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14,379</w:t>
            </w:r>
          </w:p>
        </w:tc>
        <w:tc>
          <w:tcPr>
            <w:tcW w:w="20" w:type="dxa"/>
            <w:vAlign w:val="bottom"/>
          </w:tcPr>
          <w:p>
            <w:pPr>
              <w:spacing w:after="0"/>
              <w:rPr>
                <w:sz w:val="13"/>
                <w:szCs w:val="13"/>
                <w:color w:val="auto"/>
              </w:rPr>
            </w:pPr>
          </w:p>
        </w:tc>
        <w:tc>
          <w:tcPr>
            <w:tcW w:w="200" w:type="dxa"/>
            <w:vAlign w:val="bottom"/>
            <w:gridSpan w:val="3"/>
          </w:tcPr>
          <w:p>
            <w:pPr>
              <w:jc w:val="right"/>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14,076</w:t>
            </w:r>
          </w:p>
        </w:tc>
        <w:tc>
          <w:tcPr>
            <w:tcW w:w="20" w:type="dxa"/>
            <w:vAlign w:val="bottom"/>
          </w:tcPr>
          <w:p>
            <w:pPr>
              <w:spacing w:after="0"/>
              <w:rPr>
                <w:sz w:val="13"/>
                <w:szCs w:val="13"/>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13,471</w:t>
            </w:r>
          </w:p>
        </w:tc>
        <w:tc>
          <w:tcPr>
            <w:tcW w:w="20" w:type="dxa"/>
            <w:vAlign w:val="bottom"/>
          </w:tcPr>
          <w:p>
            <w:pPr>
              <w:spacing w:after="0"/>
              <w:rPr>
                <w:sz w:val="13"/>
                <w:szCs w:val="13"/>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12,474</w:t>
            </w:r>
          </w:p>
        </w:tc>
        <w:tc>
          <w:tcPr>
            <w:tcW w:w="20" w:type="dxa"/>
            <w:vAlign w:val="bottom"/>
          </w:tcPr>
          <w:p>
            <w:pPr>
              <w:spacing w:after="0"/>
              <w:rPr>
                <w:sz w:val="13"/>
                <w:szCs w:val="13"/>
                <w:color w:val="auto"/>
              </w:rPr>
            </w:pPr>
          </w:p>
        </w:tc>
      </w:tr>
      <w:tr>
        <w:trPr>
          <w:trHeight w:val="139"/>
        </w:trPr>
        <w:tc>
          <w:tcPr>
            <w:tcW w:w="32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1"/>
                <w:szCs w:val="11"/>
                <w:color w:val="auto"/>
              </w:rPr>
              <w:t>Provision for credit losses</w:t>
            </w:r>
          </w:p>
        </w:tc>
        <w:tc>
          <w:tcPr>
            <w:tcW w:w="20" w:type="dxa"/>
            <w:vAlign w:val="bottom"/>
            <w:tcBorders>
              <w:bottom w:val="single" w:sz="8" w:color="auto"/>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705</w:t>
            </w:r>
          </w:p>
        </w:tc>
        <w:tc>
          <w:tcPr>
            <w:tcW w:w="2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tcBorders>
              <w:bottom w:val="single" w:sz="8" w:color="CCEEFF"/>
            </w:tcBorders>
            <w:shd w:val="clear" w:color="auto" w:fill="CCEEFF"/>
          </w:tcPr>
          <w:p>
            <w:pPr>
              <w:spacing w:after="0"/>
              <w:rPr>
                <w:sz w:val="12"/>
                <w:szCs w:val="12"/>
                <w:color w:val="auto"/>
              </w:rPr>
            </w:pPr>
          </w:p>
        </w:tc>
      </w:tr>
      <w:tr>
        <w:trPr>
          <w:trHeight w:val="140"/>
        </w:trPr>
        <w:tc>
          <w:tcPr>
            <w:tcW w:w="3240" w:type="dxa"/>
            <w:vAlign w:val="bottom"/>
          </w:tcPr>
          <w:p>
            <w:pPr>
              <w:ind w:left="200"/>
              <w:spacing w:after="0"/>
              <w:rPr>
                <w:sz w:val="20"/>
                <w:szCs w:val="20"/>
                <w:color w:val="auto"/>
              </w:rPr>
            </w:pPr>
            <w:r>
              <w:rPr>
                <w:rFonts w:ascii="Arial" w:cs="Arial" w:eastAsia="Arial" w:hAnsi="Arial"/>
                <w:sz w:val="11"/>
                <w:szCs w:val="11"/>
                <w:color w:val="auto"/>
              </w:rPr>
              <w:t>Net interest income after provision for credit losses</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14,937</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14,379</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14,076</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13,471</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12,474</w:t>
            </w:r>
          </w:p>
        </w:tc>
        <w:tc>
          <w:tcPr>
            <w:tcW w:w="20" w:type="dxa"/>
            <w:vAlign w:val="bottom"/>
          </w:tcPr>
          <w:p>
            <w:pPr>
              <w:spacing w:after="0"/>
              <w:rPr>
                <w:sz w:val="12"/>
                <w:szCs w:val="12"/>
                <w:color w:val="auto"/>
              </w:rPr>
            </w:pPr>
          </w:p>
        </w:tc>
      </w:tr>
      <w:tr>
        <w:trPr>
          <w:trHeight w:val="149"/>
        </w:trPr>
        <w:tc>
          <w:tcPr>
            <w:tcW w:w="3240" w:type="dxa"/>
            <w:vAlign w:val="bottom"/>
            <w:shd w:val="clear" w:color="auto" w:fill="CCEEFF"/>
          </w:tcPr>
          <w:p>
            <w:pPr>
              <w:ind w:left="100"/>
              <w:spacing w:after="0"/>
              <w:rPr>
                <w:sz w:val="20"/>
                <w:szCs w:val="20"/>
                <w:color w:val="auto"/>
              </w:rPr>
            </w:pPr>
            <w:r>
              <w:rPr>
                <w:rFonts w:ascii="Arial" w:cs="Arial" w:eastAsia="Arial" w:hAnsi="Arial"/>
                <w:sz w:val="11"/>
                <w:szCs w:val="11"/>
                <w:color w:val="auto"/>
              </w:rPr>
              <w:t>Service fees</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1,083</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900</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961</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856</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903</w:t>
            </w:r>
          </w:p>
        </w:tc>
        <w:tc>
          <w:tcPr>
            <w:tcW w:w="20" w:type="dxa"/>
            <w:vAlign w:val="bottom"/>
            <w:shd w:val="clear" w:color="auto" w:fill="CCEEFF"/>
          </w:tcPr>
          <w:p>
            <w:pPr>
              <w:spacing w:after="0"/>
              <w:rPr>
                <w:sz w:val="12"/>
                <w:szCs w:val="12"/>
                <w:color w:val="auto"/>
              </w:rPr>
            </w:pPr>
          </w:p>
        </w:tc>
      </w:tr>
      <w:tr>
        <w:trPr>
          <w:trHeight w:val="149"/>
        </w:trPr>
        <w:tc>
          <w:tcPr>
            <w:tcW w:w="3240" w:type="dxa"/>
            <w:vAlign w:val="bottom"/>
          </w:tcPr>
          <w:p>
            <w:pPr>
              <w:ind w:left="100"/>
              <w:spacing w:after="0"/>
              <w:rPr>
                <w:sz w:val="20"/>
                <w:szCs w:val="20"/>
                <w:color w:val="auto"/>
              </w:rPr>
            </w:pPr>
            <w:r>
              <w:rPr>
                <w:rFonts w:ascii="Arial" w:cs="Arial" w:eastAsia="Arial" w:hAnsi="Arial"/>
                <w:sz w:val="11"/>
                <w:szCs w:val="11"/>
                <w:color w:val="auto"/>
              </w:rPr>
              <w:t>Gain (loss) on sale of securities available for sale, net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1"/>
                <w:szCs w:val="11"/>
                <w:color w:val="auto"/>
              </w:rPr>
              <w:t>(3)</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21</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35</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1"/>
                <w:szCs w:val="11"/>
                <w:color w:val="auto"/>
              </w:rPr>
              <w:t>(70)</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187</w:t>
            </w:r>
          </w:p>
        </w:tc>
        <w:tc>
          <w:tcPr>
            <w:tcW w:w="20" w:type="dxa"/>
            <w:vAlign w:val="bottom"/>
          </w:tcPr>
          <w:p>
            <w:pPr>
              <w:spacing w:after="0"/>
              <w:rPr>
                <w:sz w:val="12"/>
                <w:szCs w:val="12"/>
                <w:color w:val="auto"/>
              </w:rPr>
            </w:pPr>
          </w:p>
        </w:tc>
      </w:tr>
      <w:tr>
        <w:trPr>
          <w:trHeight w:val="149"/>
        </w:trPr>
        <w:tc>
          <w:tcPr>
            <w:tcW w:w="3240" w:type="dxa"/>
            <w:vAlign w:val="bottom"/>
            <w:shd w:val="clear" w:color="auto" w:fill="CCEEFF"/>
          </w:tcPr>
          <w:p>
            <w:pPr>
              <w:ind w:left="100"/>
              <w:spacing w:after="0"/>
              <w:rPr>
                <w:sz w:val="20"/>
                <w:szCs w:val="20"/>
                <w:color w:val="auto"/>
              </w:rPr>
            </w:pPr>
            <w:r>
              <w:rPr>
                <w:rFonts w:ascii="Arial" w:cs="Arial" w:eastAsia="Arial" w:hAnsi="Arial"/>
                <w:sz w:val="11"/>
                <w:szCs w:val="11"/>
                <w:color w:val="auto"/>
              </w:rPr>
              <w:t>Gain on sale of loans held for sale, net</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22</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334</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107</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532</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23</w:t>
            </w:r>
          </w:p>
        </w:tc>
        <w:tc>
          <w:tcPr>
            <w:tcW w:w="20" w:type="dxa"/>
            <w:vAlign w:val="bottom"/>
            <w:shd w:val="clear" w:color="auto" w:fill="CCEEFF"/>
          </w:tcPr>
          <w:p>
            <w:pPr>
              <w:spacing w:after="0"/>
              <w:rPr>
                <w:sz w:val="12"/>
                <w:szCs w:val="12"/>
                <w:color w:val="auto"/>
              </w:rPr>
            </w:pPr>
          </w:p>
        </w:tc>
      </w:tr>
      <w:tr>
        <w:trPr>
          <w:trHeight w:val="149"/>
        </w:trPr>
        <w:tc>
          <w:tcPr>
            <w:tcW w:w="3240" w:type="dxa"/>
            <w:vAlign w:val="bottom"/>
          </w:tcPr>
          <w:p>
            <w:pPr>
              <w:ind w:left="100"/>
              <w:spacing w:after="0"/>
              <w:rPr>
                <w:sz w:val="20"/>
                <w:szCs w:val="20"/>
                <w:color w:val="auto"/>
              </w:rPr>
            </w:pPr>
            <w:r>
              <w:rPr>
                <w:rFonts w:ascii="Arial" w:cs="Arial" w:eastAsia="Arial" w:hAnsi="Arial"/>
                <w:sz w:val="11"/>
                <w:szCs w:val="11"/>
                <w:color w:val="auto"/>
              </w:rPr>
              <w:t>Gain on sale of other assets</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983</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2"/>
                <w:szCs w:val="12"/>
                <w:color w:val="auto"/>
              </w:rPr>
            </w:pPr>
          </w:p>
        </w:tc>
      </w:tr>
      <w:tr>
        <w:trPr>
          <w:trHeight w:val="149"/>
        </w:trPr>
        <w:tc>
          <w:tcPr>
            <w:tcW w:w="3240" w:type="dxa"/>
            <w:vAlign w:val="bottom"/>
            <w:shd w:val="clear" w:color="auto" w:fill="CCEEFF"/>
          </w:tcPr>
          <w:p>
            <w:pPr>
              <w:ind w:left="100"/>
              <w:spacing w:after="0"/>
              <w:rPr>
                <w:sz w:val="20"/>
                <w:szCs w:val="20"/>
                <w:color w:val="auto"/>
              </w:rPr>
            </w:pPr>
            <w:r>
              <w:rPr>
                <w:rFonts w:ascii="Arial" w:cs="Arial" w:eastAsia="Arial" w:hAnsi="Arial"/>
                <w:sz w:val="11"/>
                <w:szCs w:val="11"/>
                <w:color w:val="auto"/>
              </w:rPr>
              <w:t>Loan settlement</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161</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2,500</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2"/>
                <w:szCs w:val="12"/>
                <w:color w:val="auto"/>
              </w:rPr>
            </w:pPr>
          </w:p>
        </w:tc>
      </w:tr>
      <w:tr>
        <w:trPr>
          <w:trHeight w:val="159"/>
        </w:trPr>
        <w:tc>
          <w:tcPr>
            <w:tcW w:w="3240" w:type="dxa"/>
            <w:vAlign w:val="bottom"/>
          </w:tcPr>
          <w:p>
            <w:pPr>
              <w:ind w:left="100"/>
              <w:spacing w:after="0"/>
              <w:rPr>
                <w:sz w:val="20"/>
                <w:szCs w:val="20"/>
                <w:color w:val="auto"/>
              </w:rPr>
            </w:pPr>
            <w:r>
              <w:rPr>
                <w:rFonts w:ascii="Arial" w:cs="Arial" w:eastAsia="Arial" w:hAnsi="Arial"/>
                <w:sz w:val="11"/>
                <w:szCs w:val="11"/>
                <w:color w:val="auto"/>
              </w:rPr>
              <w:t>Other income</w:t>
            </w:r>
          </w:p>
        </w:tc>
        <w:tc>
          <w:tcPr>
            <w:tcW w:w="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515</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529</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558</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399</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403</w:t>
            </w:r>
          </w:p>
        </w:tc>
        <w:tc>
          <w:tcPr>
            <w:tcW w:w="20" w:type="dxa"/>
            <w:vAlign w:val="bottom"/>
          </w:tcPr>
          <w:p>
            <w:pPr>
              <w:spacing w:after="0"/>
              <w:rPr>
                <w:sz w:val="13"/>
                <w:szCs w:val="13"/>
                <w:color w:val="auto"/>
              </w:rPr>
            </w:pPr>
          </w:p>
        </w:tc>
      </w:tr>
      <w:tr>
        <w:trPr>
          <w:trHeight w:val="120"/>
        </w:trPr>
        <w:tc>
          <w:tcPr>
            <w:tcW w:w="3240" w:type="dxa"/>
            <w:vAlign w:val="bottom"/>
            <w:tcBorders>
              <w:top w:val="single" w:sz="8" w:color="CCEEFF"/>
            </w:tcBorders>
            <w:shd w:val="clear" w:color="auto" w:fill="CCEEFF"/>
          </w:tcPr>
          <w:p>
            <w:pPr>
              <w:ind w:left="200"/>
              <w:spacing w:after="0" w:line="120" w:lineRule="exact"/>
              <w:rPr>
                <w:sz w:val="20"/>
                <w:szCs w:val="20"/>
                <w:color w:val="auto"/>
              </w:rPr>
            </w:pPr>
            <w:r>
              <w:rPr>
                <w:rFonts w:ascii="Arial" w:cs="Arial" w:eastAsia="Arial" w:hAnsi="Arial"/>
                <w:sz w:val="11"/>
                <w:szCs w:val="11"/>
                <w:color w:val="auto"/>
              </w:rPr>
              <w:t>Total non-interest income</w:t>
            </w:r>
          </w:p>
        </w:tc>
        <w:tc>
          <w:tcPr>
            <w:tcW w:w="20" w:type="dxa"/>
            <w:vAlign w:val="bottom"/>
            <w:tcBorders>
              <w:top w:val="single" w:sz="8" w:color="CCEEFF"/>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line="120" w:lineRule="exact"/>
              <w:rPr>
                <w:sz w:val="20"/>
                <w:szCs w:val="20"/>
                <w:color w:val="auto"/>
              </w:rPr>
            </w:pPr>
            <w:r>
              <w:rPr>
                <w:rFonts w:ascii="Arial" w:cs="Arial" w:eastAsia="Arial" w:hAnsi="Arial"/>
                <w:sz w:val="11"/>
                <w:szCs w:val="11"/>
                <w:color w:val="auto"/>
              </w:rPr>
              <w:t>1,617</w:t>
            </w:r>
          </w:p>
        </w:tc>
        <w:tc>
          <w:tcPr>
            <w:tcW w:w="20" w:type="dxa"/>
            <w:vAlign w:val="bottom"/>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line="120" w:lineRule="exact"/>
              <w:rPr>
                <w:sz w:val="20"/>
                <w:szCs w:val="20"/>
                <w:color w:val="auto"/>
              </w:rPr>
            </w:pPr>
            <w:r>
              <w:rPr>
                <w:rFonts w:ascii="Arial" w:cs="Arial" w:eastAsia="Arial" w:hAnsi="Arial"/>
                <w:sz w:val="11"/>
                <w:szCs w:val="11"/>
                <w:color w:val="auto"/>
              </w:rPr>
              <w:t>1,945</w:t>
            </w:r>
          </w:p>
        </w:tc>
        <w:tc>
          <w:tcPr>
            <w:tcW w:w="20" w:type="dxa"/>
            <w:vAlign w:val="bottom"/>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line="120" w:lineRule="exact"/>
              <w:rPr>
                <w:sz w:val="20"/>
                <w:szCs w:val="20"/>
                <w:color w:val="auto"/>
              </w:rPr>
            </w:pPr>
            <w:r>
              <w:rPr>
                <w:rFonts w:ascii="Arial" w:cs="Arial" w:eastAsia="Arial" w:hAnsi="Arial"/>
                <w:sz w:val="11"/>
                <w:szCs w:val="11"/>
                <w:color w:val="auto"/>
              </w:rPr>
              <w:t>2,644</w:t>
            </w:r>
          </w:p>
        </w:tc>
        <w:tc>
          <w:tcPr>
            <w:tcW w:w="20" w:type="dxa"/>
            <w:vAlign w:val="bottom"/>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line="120" w:lineRule="exact"/>
              <w:rPr>
                <w:sz w:val="20"/>
                <w:szCs w:val="20"/>
                <w:color w:val="auto"/>
              </w:rPr>
            </w:pPr>
            <w:r>
              <w:rPr>
                <w:rFonts w:ascii="Arial" w:cs="Arial" w:eastAsia="Arial" w:hAnsi="Arial"/>
                <w:sz w:val="11"/>
                <w:szCs w:val="11"/>
                <w:color w:val="auto"/>
              </w:rPr>
              <w:t>4,217</w:t>
            </w:r>
          </w:p>
        </w:tc>
        <w:tc>
          <w:tcPr>
            <w:tcW w:w="20" w:type="dxa"/>
            <w:vAlign w:val="bottom"/>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line="120" w:lineRule="exact"/>
              <w:rPr>
                <w:sz w:val="20"/>
                <w:szCs w:val="20"/>
                <w:color w:val="auto"/>
              </w:rPr>
            </w:pPr>
            <w:r>
              <w:rPr>
                <w:rFonts w:ascii="Arial" w:cs="Arial" w:eastAsia="Arial" w:hAnsi="Arial"/>
                <w:sz w:val="11"/>
                <w:szCs w:val="11"/>
                <w:color w:val="auto"/>
              </w:rPr>
              <w:t>1,516</w:t>
            </w:r>
          </w:p>
        </w:tc>
        <w:tc>
          <w:tcPr>
            <w:tcW w:w="20" w:type="dxa"/>
            <w:vAlign w:val="bottom"/>
            <w:shd w:val="clear" w:color="auto" w:fill="CCEEFF"/>
          </w:tcPr>
          <w:p>
            <w:pPr>
              <w:spacing w:after="0"/>
              <w:rPr>
                <w:sz w:val="10"/>
                <w:szCs w:val="10"/>
                <w:color w:val="auto"/>
              </w:rPr>
            </w:pPr>
          </w:p>
        </w:tc>
      </w:tr>
      <w:tr>
        <w:trPr>
          <w:trHeight w:val="149"/>
        </w:trPr>
        <w:tc>
          <w:tcPr>
            <w:tcW w:w="3240" w:type="dxa"/>
            <w:vAlign w:val="bottom"/>
          </w:tcPr>
          <w:p>
            <w:pPr>
              <w:ind w:left="100"/>
              <w:spacing w:after="0"/>
              <w:rPr>
                <w:sz w:val="20"/>
                <w:szCs w:val="20"/>
                <w:color w:val="auto"/>
              </w:rPr>
            </w:pPr>
            <w:r>
              <w:rPr>
                <w:rFonts w:ascii="Arial" w:cs="Arial" w:eastAsia="Arial" w:hAnsi="Arial"/>
                <w:sz w:val="11"/>
                <w:szCs w:val="11"/>
                <w:color w:val="auto"/>
              </w:rPr>
              <w:t>Salaries and employee benefits</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5,913</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5,875</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5,634</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5,313</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5,213</w:t>
            </w:r>
          </w:p>
        </w:tc>
        <w:tc>
          <w:tcPr>
            <w:tcW w:w="20" w:type="dxa"/>
            <w:vAlign w:val="bottom"/>
          </w:tcPr>
          <w:p>
            <w:pPr>
              <w:spacing w:after="0"/>
              <w:rPr>
                <w:sz w:val="12"/>
                <w:szCs w:val="12"/>
                <w:color w:val="auto"/>
              </w:rPr>
            </w:pPr>
          </w:p>
        </w:tc>
      </w:tr>
      <w:tr>
        <w:trPr>
          <w:trHeight w:val="149"/>
        </w:trPr>
        <w:tc>
          <w:tcPr>
            <w:tcW w:w="3240" w:type="dxa"/>
            <w:vAlign w:val="bottom"/>
            <w:shd w:val="clear" w:color="auto" w:fill="CCEEFF"/>
          </w:tcPr>
          <w:p>
            <w:pPr>
              <w:ind w:left="100"/>
              <w:spacing w:after="0"/>
              <w:rPr>
                <w:sz w:val="20"/>
                <w:szCs w:val="20"/>
                <w:color w:val="auto"/>
              </w:rPr>
            </w:pPr>
            <w:r>
              <w:rPr>
                <w:rFonts w:ascii="Arial" w:cs="Arial" w:eastAsia="Arial" w:hAnsi="Arial"/>
                <w:sz w:val="11"/>
                <w:szCs w:val="11"/>
                <w:color w:val="auto"/>
              </w:rPr>
              <w:t>Occupancy</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1,251</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1,270</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1,267</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1,192</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1,411</w:t>
            </w:r>
          </w:p>
        </w:tc>
        <w:tc>
          <w:tcPr>
            <w:tcW w:w="20" w:type="dxa"/>
            <w:vAlign w:val="bottom"/>
            <w:shd w:val="clear" w:color="auto" w:fill="CCEEFF"/>
          </w:tcPr>
          <w:p>
            <w:pPr>
              <w:spacing w:after="0"/>
              <w:rPr>
                <w:sz w:val="12"/>
                <w:szCs w:val="12"/>
                <w:color w:val="auto"/>
              </w:rPr>
            </w:pPr>
          </w:p>
        </w:tc>
      </w:tr>
      <w:tr>
        <w:trPr>
          <w:trHeight w:val="149"/>
        </w:trPr>
        <w:tc>
          <w:tcPr>
            <w:tcW w:w="3240" w:type="dxa"/>
            <w:vAlign w:val="bottom"/>
          </w:tcPr>
          <w:p>
            <w:pPr>
              <w:ind w:left="100"/>
              <w:spacing w:after="0"/>
              <w:rPr>
                <w:sz w:val="20"/>
                <w:szCs w:val="20"/>
                <w:color w:val="auto"/>
              </w:rPr>
            </w:pPr>
            <w:r>
              <w:rPr>
                <w:rFonts w:ascii="Arial" w:cs="Arial" w:eastAsia="Arial" w:hAnsi="Arial"/>
                <w:sz w:val="11"/>
                <w:szCs w:val="11"/>
                <w:color w:val="auto"/>
              </w:rPr>
              <w:t>Regulatory assessment and fees</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226</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213</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93</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317</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195</w:t>
            </w:r>
          </w:p>
        </w:tc>
        <w:tc>
          <w:tcPr>
            <w:tcW w:w="20" w:type="dxa"/>
            <w:vAlign w:val="bottom"/>
          </w:tcPr>
          <w:p>
            <w:pPr>
              <w:spacing w:after="0"/>
              <w:rPr>
                <w:sz w:val="12"/>
                <w:szCs w:val="12"/>
                <w:color w:val="auto"/>
              </w:rPr>
            </w:pPr>
          </w:p>
        </w:tc>
      </w:tr>
      <w:tr>
        <w:trPr>
          <w:trHeight w:val="149"/>
        </w:trPr>
        <w:tc>
          <w:tcPr>
            <w:tcW w:w="3240" w:type="dxa"/>
            <w:vAlign w:val="bottom"/>
            <w:shd w:val="clear" w:color="auto" w:fill="CCEEFF"/>
          </w:tcPr>
          <w:p>
            <w:pPr>
              <w:ind w:left="100"/>
              <w:spacing w:after="0"/>
              <w:rPr>
                <w:sz w:val="20"/>
                <w:szCs w:val="20"/>
                <w:color w:val="auto"/>
              </w:rPr>
            </w:pPr>
            <w:r>
              <w:rPr>
                <w:rFonts w:ascii="Arial" w:cs="Arial" w:eastAsia="Arial" w:hAnsi="Arial"/>
                <w:sz w:val="11"/>
                <w:szCs w:val="11"/>
                <w:color w:val="auto"/>
              </w:rPr>
              <w:t>Consulting and legal fees</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398</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517</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539</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357</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373</w:t>
            </w:r>
          </w:p>
        </w:tc>
        <w:tc>
          <w:tcPr>
            <w:tcW w:w="20" w:type="dxa"/>
            <w:vAlign w:val="bottom"/>
            <w:shd w:val="clear" w:color="auto" w:fill="CCEEFF"/>
          </w:tcPr>
          <w:p>
            <w:pPr>
              <w:spacing w:after="0"/>
              <w:rPr>
                <w:sz w:val="12"/>
                <w:szCs w:val="12"/>
                <w:color w:val="auto"/>
              </w:rPr>
            </w:pPr>
          </w:p>
        </w:tc>
      </w:tr>
      <w:tr>
        <w:trPr>
          <w:trHeight w:val="149"/>
        </w:trPr>
        <w:tc>
          <w:tcPr>
            <w:tcW w:w="3240" w:type="dxa"/>
            <w:vAlign w:val="bottom"/>
          </w:tcPr>
          <w:p>
            <w:pPr>
              <w:ind w:left="100"/>
              <w:spacing w:after="0"/>
              <w:rPr>
                <w:sz w:val="20"/>
                <w:szCs w:val="20"/>
                <w:color w:val="auto"/>
              </w:rPr>
            </w:pPr>
            <w:r>
              <w:rPr>
                <w:rFonts w:ascii="Arial" w:cs="Arial" w:eastAsia="Arial" w:hAnsi="Arial"/>
                <w:sz w:val="11"/>
                <w:szCs w:val="11"/>
                <w:color w:val="auto"/>
              </w:rPr>
              <w:t>Network and information technology services</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448</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387</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268</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358</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332</w:t>
            </w:r>
          </w:p>
        </w:tc>
        <w:tc>
          <w:tcPr>
            <w:tcW w:w="20" w:type="dxa"/>
            <w:vAlign w:val="bottom"/>
          </w:tcPr>
          <w:p>
            <w:pPr>
              <w:spacing w:after="0"/>
              <w:rPr>
                <w:sz w:val="12"/>
                <w:szCs w:val="12"/>
                <w:color w:val="auto"/>
              </w:rPr>
            </w:pPr>
          </w:p>
        </w:tc>
      </w:tr>
      <w:tr>
        <w:trPr>
          <w:trHeight w:val="149"/>
        </w:trPr>
        <w:tc>
          <w:tcPr>
            <w:tcW w:w="3240" w:type="dxa"/>
            <w:vAlign w:val="bottom"/>
            <w:shd w:val="clear" w:color="auto" w:fill="CCEEFF"/>
          </w:tcPr>
          <w:p>
            <w:pPr>
              <w:ind w:left="100"/>
              <w:spacing w:after="0"/>
              <w:rPr>
                <w:sz w:val="20"/>
                <w:szCs w:val="20"/>
                <w:color w:val="auto"/>
              </w:rPr>
            </w:pPr>
            <w:r>
              <w:rPr>
                <w:rFonts w:ascii="Arial" w:cs="Arial" w:eastAsia="Arial" w:hAnsi="Arial"/>
                <w:sz w:val="11"/>
                <w:szCs w:val="11"/>
                <w:color w:val="auto"/>
              </w:rPr>
              <w:t>Other operating expense</w:t>
            </w:r>
          </w:p>
        </w:tc>
        <w:tc>
          <w:tcPr>
            <w:tcW w:w="20" w:type="dxa"/>
            <w:vAlign w:val="bottom"/>
            <w:tcBorders>
              <w:bottom w:val="single" w:sz="8" w:color="auto"/>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1,315</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1,350</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1,518</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1,470</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1,150</w:t>
            </w:r>
          </w:p>
        </w:tc>
        <w:tc>
          <w:tcPr>
            <w:tcW w:w="20" w:type="dxa"/>
            <w:vAlign w:val="bottom"/>
            <w:shd w:val="clear" w:color="auto" w:fill="CCEEFF"/>
          </w:tcPr>
          <w:p>
            <w:pPr>
              <w:spacing w:after="0"/>
              <w:rPr>
                <w:sz w:val="12"/>
                <w:szCs w:val="12"/>
                <w:color w:val="auto"/>
              </w:rPr>
            </w:pPr>
          </w:p>
        </w:tc>
      </w:tr>
      <w:tr>
        <w:trPr>
          <w:trHeight w:val="140"/>
        </w:trPr>
        <w:tc>
          <w:tcPr>
            <w:tcW w:w="3240" w:type="dxa"/>
            <w:vAlign w:val="bottom"/>
            <w:tcBorders>
              <w:bottom w:val="single" w:sz="8" w:color="CCEEFF"/>
            </w:tcBorders>
          </w:tcPr>
          <w:p>
            <w:pPr>
              <w:ind w:left="200"/>
              <w:spacing w:after="0"/>
              <w:rPr>
                <w:sz w:val="20"/>
                <w:szCs w:val="20"/>
                <w:color w:val="auto"/>
              </w:rPr>
            </w:pPr>
            <w:r>
              <w:rPr>
                <w:rFonts w:ascii="Arial" w:cs="Arial" w:eastAsia="Arial" w:hAnsi="Arial"/>
                <w:sz w:val="11"/>
                <w:szCs w:val="11"/>
                <w:color w:val="auto"/>
              </w:rPr>
              <w:t>Total non-interest expenses</w:t>
            </w:r>
          </w:p>
        </w:tc>
        <w:tc>
          <w:tcPr>
            <w:tcW w:w="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9,551</w:t>
            </w:r>
          </w:p>
        </w:tc>
        <w:tc>
          <w:tcPr>
            <w:tcW w:w="20" w:type="dxa"/>
            <w:vAlign w:val="bottom"/>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9,612</w:t>
            </w:r>
          </w:p>
        </w:tc>
        <w:tc>
          <w:tcPr>
            <w:tcW w:w="20" w:type="dxa"/>
            <w:vAlign w:val="bottom"/>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9,319</w:t>
            </w:r>
          </w:p>
        </w:tc>
        <w:tc>
          <w:tcPr>
            <w:tcW w:w="20" w:type="dxa"/>
            <w:vAlign w:val="bottom"/>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9,007</w:t>
            </w:r>
          </w:p>
        </w:tc>
        <w:tc>
          <w:tcPr>
            <w:tcW w:w="20" w:type="dxa"/>
            <w:vAlign w:val="bottom"/>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8,674</w:t>
            </w:r>
          </w:p>
        </w:tc>
        <w:tc>
          <w:tcPr>
            <w:tcW w:w="20" w:type="dxa"/>
            <w:vAlign w:val="bottom"/>
          </w:tcPr>
          <w:p>
            <w:pPr>
              <w:spacing w:after="0"/>
              <w:rPr>
                <w:sz w:val="12"/>
                <w:szCs w:val="12"/>
                <w:color w:val="auto"/>
              </w:rPr>
            </w:pPr>
          </w:p>
        </w:tc>
      </w:tr>
      <w:tr>
        <w:trPr>
          <w:trHeight w:val="129"/>
        </w:trPr>
        <w:tc>
          <w:tcPr>
            <w:tcW w:w="3240" w:type="dxa"/>
            <w:vAlign w:val="bottom"/>
            <w:shd w:val="clear" w:color="auto" w:fill="CCEEFF"/>
          </w:tcPr>
          <w:p>
            <w:pPr>
              <w:ind w:left="100"/>
              <w:spacing w:after="0"/>
              <w:rPr>
                <w:sz w:val="20"/>
                <w:szCs w:val="20"/>
                <w:color w:val="auto"/>
              </w:rPr>
            </w:pPr>
            <w:r>
              <w:rPr>
                <w:rFonts w:ascii="Arial" w:cs="Arial" w:eastAsia="Arial" w:hAnsi="Arial"/>
                <w:sz w:val="11"/>
                <w:szCs w:val="11"/>
                <w:color w:val="auto"/>
              </w:rPr>
              <w:t>Net income before income tax expense</w:t>
            </w: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7,003</w:t>
            </w: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6,712</w:t>
            </w: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7,401</w:t>
            </w: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8,681</w:t>
            </w: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5,316</w:t>
            </w:r>
          </w:p>
        </w:tc>
        <w:tc>
          <w:tcPr>
            <w:tcW w:w="20" w:type="dxa"/>
            <w:vAlign w:val="bottom"/>
            <w:shd w:val="clear" w:color="auto" w:fill="CCEEFF"/>
          </w:tcPr>
          <w:p>
            <w:pPr>
              <w:spacing w:after="0"/>
              <w:rPr>
                <w:sz w:val="11"/>
                <w:szCs w:val="11"/>
                <w:color w:val="auto"/>
              </w:rPr>
            </w:pPr>
          </w:p>
        </w:tc>
      </w:tr>
      <w:tr>
        <w:trPr>
          <w:trHeight w:val="149"/>
        </w:trPr>
        <w:tc>
          <w:tcPr>
            <w:tcW w:w="3240" w:type="dxa"/>
            <w:vAlign w:val="bottom"/>
            <w:tcBorders>
              <w:bottom w:val="single" w:sz="8" w:color="CCEEFF"/>
            </w:tcBorders>
          </w:tcPr>
          <w:p>
            <w:pPr>
              <w:ind w:left="100"/>
              <w:spacing w:after="0"/>
              <w:rPr>
                <w:sz w:val="20"/>
                <w:szCs w:val="20"/>
                <w:color w:val="auto"/>
              </w:rPr>
            </w:pPr>
            <w:r>
              <w:rPr>
                <w:rFonts w:ascii="Arial" w:cs="Arial" w:eastAsia="Arial" w:hAnsi="Arial"/>
                <w:sz w:val="11"/>
                <w:szCs w:val="11"/>
                <w:color w:val="auto"/>
              </w:rPr>
              <w:t>Income tax expense</w:t>
            </w:r>
          </w:p>
        </w:tc>
        <w:tc>
          <w:tcPr>
            <w:tcW w:w="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1,708</w:t>
            </w:r>
          </w:p>
        </w:tc>
        <w:tc>
          <w:tcPr>
            <w:tcW w:w="20" w:type="dxa"/>
            <w:vAlign w:val="bottom"/>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1,858</w:t>
            </w:r>
          </w:p>
        </w:tc>
        <w:tc>
          <w:tcPr>
            <w:tcW w:w="20" w:type="dxa"/>
            <w:vAlign w:val="bottom"/>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1,751</w:t>
            </w:r>
          </w:p>
        </w:tc>
        <w:tc>
          <w:tcPr>
            <w:tcW w:w="20" w:type="dxa"/>
            <w:vAlign w:val="bottom"/>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2,088</w:t>
            </w:r>
          </w:p>
        </w:tc>
        <w:tc>
          <w:tcPr>
            <w:tcW w:w="20" w:type="dxa"/>
            <w:vAlign w:val="bottom"/>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1,263</w:t>
            </w:r>
          </w:p>
        </w:tc>
        <w:tc>
          <w:tcPr>
            <w:tcW w:w="20" w:type="dxa"/>
            <w:vAlign w:val="bottom"/>
          </w:tcPr>
          <w:p>
            <w:pPr>
              <w:spacing w:after="0"/>
              <w:rPr>
                <w:sz w:val="12"/>
                <w:szCs w:val="12"/>
                <w:color w:val="auto"/>
              </w:rPr>
            </w:pPr>
          </w:p>
        </w:tc>
      </w:tr>
      <w:tr>
        <w:trPr>
          <w:trHeight w:val="129"/>
        </w:trPr>
        <w:tc>
          <w:tcPr>
            <w:tcW w:w="3240" w:type="dxa"/>
            <w:vAlign w:val="bottom"/>
            <w:shd w:val="clear" w:color="auto" w:fill="CCEEFF"/>
          </w:tcPr>
          <w:p>
            <w:pPr>
              <w:ind w:left="200"/>
              <w:spacing w:after="0"/>
              <w:rPr>
                <w:sz w:val="20"/>
                <w:szCs w:val="20"/>
                <w:color w:val="auto"/>
              </w:rPr>
            </w:pPr>
            <w:r>
              <w:rPr>
                <w:rFonts w:ascii="Arial" w:cs="Arial" w:eastAsia="Arial" w:hAnsi="Arial"/>
                <w:sz w:val="11"/>
                <w:szCs w:val="11"/>
                <w:color w:val="auto"/>
              </w:rPr>
              <w:t>Net income</w:t>
            </w: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5,295</w:t>
            </w: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4,854</w:t>
            </w: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5,650</w:t>
            </w: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6,593</w:t>
            </w: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4,053</w:t>
            </w:r>
          </w:p>
        </w:tc>
        <w:tc>
          <w:tcPr>
            <w:tcW w:w="20" w:type="dxa"/>
            <w:vAlign w:val="bottom"/>
            <w:shd w:val="clear" w:color="auto" w:fill="CCEEFF"/>
          </w:tcPr>
          <w:p>
            <w:pPr>
              <w:spacing w:after="0"/>
              <w:rPr>
                <w:sz w:val="11"/>
                <w:szCs w:val="11"/>
                <w:color w:val="auto"/>
              </w:rPr>
            </w:pPr>
          </w:p>
        </w:tc>
      </w:tr>
      <w:tr>
        <w:trPr>
          <w:trHeight w:val="160"/>
        </w:trPr>
        <w:tc>
          <w:tcPr>
            <w:tcW w:w="3240" w:type="dxa"/>
            <w:vAlign w:val="bottom"/>
          </w:tcPr>
          <w:p>
            <w:pPr>
              <w:ind w:left="100"/>
              <w:spacing w:after="0"/>
              <w:rPr>
                <w:sz w:val="20"/>
                <w:szCs w:val="20"/>
                <w:color w:val="auto"/>
              </w:rPr>
            </w:pPr>
            <w:r>
              <w:rPr>
                <w:rFonts w:ascii="Arial" w:cs="Arial" w:eastAsia="Arial" w:hAnsi="Arial"/>
                <w:sz w:val="11"/>
                <w:szCs w:val="11"/>
                <w:color w:val="auto"/>
              </w:rPr>
              <w:t>Preferred stock dividend</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542</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754</w:t>
            </w:r>
          </w:p>
        </w:tc>
        <w:tc>
          <w:tcPr>
            <w:tcW w:w="20" w:type="dxa"/>
            <w:vAlign w:val="bottom"/>
          </w:tcPr>
          <w:p>
            <w:pPr>
              <w:spacing w:after="0"/>
              <w:rPr>
                <w:sz w:val="13"/>
                <w:szCs w:val="13"/>
                <w:color w:val="auto"/>
              </w:rPr>
            </w:pPr>
          </w:p>
        </w:tc>
      </w:tr>
      <w:tr>
        <w:trPr>
          <w:trHeight w:val="139"/>
        </w:trPr>
        <w:tc>
          <w:tcPr>
            <w:tcW w:w="3240" w:type="dxa"/>
            <w:vAlign w:val="bottom"/>
            <w:shd w:val="clear" w:color="auto" w:fill="CCEEFF"/>
          </w:tcPr>
          <w:p>
            <w:pPr>
              <w:ind w:left="100"/>
              <w:spacing w:after="0"/>
              <w:rPr>
                <w:sz w:val="20"/>
                <w:szCs w:val="20"/>
                <w:color w:val="auto"/>
              </w:rPr>
            </w:pPr>
            <w:r>
              <w:rPr>
                <w:rFonts w:ascii="Arial" w:cs="Arial" w:eastAsia="Arial" w:hAnsi="Arial"/>
                <w:sz w:val="11"/>
                <w:szCs w:val="11"/>
                <w:color w:val="auto"/>
              </w:rPr>
              <w:t>Exchange and redemption of preferred shares</w:t>
            </w:r>
          </w:p>
        </w:tc>
        <w:tc>
          <w:tcPr>
            <w:tcW w:w="20" w:type="dxa"/>
            <w:vAlign w:val="bottom"/>
            <w:tcBorders>
              <w:bottom w:val="single" w:sz="8" w:color="auto"/>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89,585</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2"/>
                <w:szCs w:val="12"/>
                <w:color w:val="auto"/>
              </w:rPr>
            </w:pPr>
          </w:p>
        </w:tc>
      </w:tr>
      <w:tr>
        <w:trPr>
          <w:trHeight w:val="180"/>
        </w:trPr>
        <w:tc>
          <w:tcPr>
            <w:tcW w:w="3240" w:type="dxa"/>
            <w:vAlign w:val="bottom"/>
          </w:tcPr>
          <w:p>
            <w:pPr>
              <w:ind w:left="200"/>
              <w:spacing w:after="0"/>
              <w:rPr>
                <w:sz w:val="20"/>
                <w:szCs w:val="20"/>
                <w:color w:val="auto"/>
              </w:rPr>
            </w:pPr>
            <w:r>
              <w:rPr>
                <w:rFonts w:ascii="Arial" w:cs="Arial" w:eastAsia="Arial" w:hAnsi="Arial"/>
                <w:sz w:val="11"/>
                <w:szCs w:val="11"/>
                <w:color w:val="auto"/>
              </w:rPr>
              <w:t>Net income (loss) available to common stockholders</w:t>
            </w:r>
          </w:p>
        </w:tc>
        <w:tc>
          <w:tcPr>
            <w:tcW w:w="16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5,295</w:t>
            </w:r>
          </w:p>
        </w:tc>
        <w:tc>
          <w:tcPr>
            <w:tcW w:w="20" w:type="dxa"/>
            <w:vAlign w:val="bottom"/>
          </w:tcPr>
          <w:p>
            <w:pPr>
              <w:spacing w:after="0"/>
              <w:rPr>
                <w:sz w:val="15"/>
                <w:szCs w:val="15"/>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4,854</w:t>
            </w:r>
          </w:p>
        </w:tc>
        <w:tc>
          <w:tcPr>
            <w:tcW w:w="20" w:type="dxa"/>
            <w:vAlign w:val="bottom"/>
          </w:tcPr>
          <w:p>
            <w:pPr>
              <w:spacing w:after="0"/>
              <w:rPr>
                <w:sz w:val="15"/>
                <w:szCs w:val="15"/>
                <w:color w:val="auto"/>
              </w:rPr>
            </w:pPr>
          </w:p>
        </w:tc>
        <w:tc>
          <w:tcPr>
            <w:tcW w:w="200" w:type="dxa"/>
            <w:vAlign w:val="bottom"/>
            <w:gridSpan w:val="3"/>
          </w:tcPr>
          <w:p>
            <w:pPr>
              <w:jc w:val="right"/>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5,650</w:t>
            </w:r>
          </w:p>
        </w:tc>
        <w:tc>
          <w:tcPr>
            <w:tcW w:w="20" w:type="dxa"/>
            <w:vAlign w:val="bottom"/>
          </w:tcPr>
          <w:p>
            <w:pPr>
              <w:spacing w:after="0"/>
              <w:rPr>
                <w:sz w:val="15"/>
                <w:szCs w:val="15"/>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20"/>
              <w:spacing w:after="0"/>
              <w:rPr>
                <w:sz w:val="20"/>
                <w:szCs w:val="20"/>
                <w:color w:val="auto"/>
              </w:rPr>
            </w:pPr>
            <w:r>
              <w:rPr>
                <w:rFonts w:ascii="Arial" w:cs="Arial" w:eastAsia="Arial" w:hAnsi="Arial"/>
                <w:sz w:val="11"/>
                <w:szCs w:val="11"/>
                <w:color w:val="auto"/>
              </w:rPr>
              <w:t>(83,534)</w:t>
            </w:r>
          </w:p>
        </w:tc>
        <w:tc>
          <w:tcPr>
            <w:tcW w:w="220" w:type="dxa"/>
            <w:vAlign w:val="bottom"/>
            <w:gridSpan w:val="3"/>
          </w:tcPr>
          <w:p>
            <w:pPr>
              <w:jc w:val="right"/>
              <w:ind w:right="2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3,299</w:t>
            </w:r>
          </w:p>
        </w:tc>
        <w:tc>
          <w:tcPr>
            <w:tcW w:w="20" w:type="dxa"/>
            <w:vAlign w:val="bottom"/>
          </w:tcPr>
          <w:p>
            <w:pPr>
              <w:spacing w:after="0"/>
              <w:rPr>
                <w:sz w:val="15"/>
                <w:szCs w:val="15"/>
                <w:color w:val="auto"/>
              </w:rPr>
            </w:pPr>
          </w:p>
        </w:tc>
      </w:tr>
      <w:tr>
        <w:trPr>
          <w:trHeight w:val="121"/>
        </w:trPr>
        <w:tc>
          <w:tcPr>
            <w:tcW w:w="3240" w:type="dxa"/>
            <w:vAlign w:val="bottom"/>
            <w:tcBorders>
              <w:top w:val="single" w:sz="8" w:color="CCEEFF"/>
            </w:tcBorders>
            <w:shd w:val="clear" w:color="auto" w:fill="CCEEFF"/>
          </w:tcPr>
          <w:p>
            <w:pPr>
              <w:spacing w:after="0" w:line="121" w:lineRule="exact"/>
              <w:rPr>
                <w:sz w:val="20"/>
                <w:szCs w:val="20"/>
                <w:color w:val="auto"/>
              </w:rPr>
            </w:pPr>
            <w:r>
              <w:rPr>
                <w:rFonts w:ascii="Arial" w:cs="Arial" w:eastAsia="Arial" w:hAnsi="Arial"/>
                <w:sz w:val="11"/>
                <w:szCs w:val="11"/>
                <w:b w:val="1"/>
                <w:bCs w:val="1"/>
                <w:color w:val="auto"/>
              </w:rPr>
              <w:t xml:space="preserve">Allocation of net income (loss) per common stock class: </w:t>
            </w:r>
            <w:r>
              <w:rPr>
                <w:rFonts w:ascii="Arial" w:cs="Arial" w:eastAsia="Arial" w:hAnsi="Arial"/>
                <w:sz w:val="14"/>
                <w:szCs w:val="14"/>
                <w:color w:val="auto"/>
                <w:vertAlign w:val="superscript"/>
              </w:rPr>
              <w:t>(1)</w:t>
            </w:r>
          </w:p>
        </w:tc>
        <w:tc>
          <w:tcPr>
            <w:tcW w:w="2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auto"/>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auto"/>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auto"/>
            </w:tcBorders>
            <w:shd w:val="clear" w:color="auto" w:fill="CCEEFF"/>
          </w:tcPr>
          <w:p>
            <w:pPr>
              <w:spacing w:after="0"/>
              <w:rPr>
                <w:sz w:val="10"/>
                <w:szCs w:val="10"/>
                <w:color w:val="auto"/>
              </w:rPr>
            </w:pPr>
          </w:p>
        </w:tc>
      </w:tr>
      <w:tr>
        <w:trPr>
          <w:trHeight w:val="149"/>
        </w:trPr>
        <w:tc>
          <w:tcPr>
            <w:tcW w:w="3240" w:type="dxa"/>
            <w:vAlign w:val="bottom"/>
          </w:tcPr>
          <w:p>
            <w:pPr>
              <w:ind w:left="200"/>
              <w:spacing w:after="0"/>
              <w:rPr>
                <w:sz w:val="20"/>
                <w:szCs w:val="20"/>
                <w:color w:val="auto"/>
              </w:rPr>
            </w:pPr>
            <w:r>
              <w:rPr>
                <w:rFonts w:ascii="Arial" w:cs="Arial" w:eastAsia="Arial" w:hAnsi="Arial"/>
                <w:sz w:val="11"/>
                <w:szCs w:val="11"/>
                <w:color w:val="auto"/>
              </w:rPr>
              <w:t>Class A</w:t>
            </w:r>
          </w:p>
        </w:tc>
        <w:tc>
          <w:tcPr>
            <w:tcW w:w="16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5,295</w:t>
            </w:r>
          </w:p>
        </w:tc>
        <w:tc>
          <w:tcPr>
            <w:tcW w:w="20" w:type="dxa"/>
            <w:vAlign w:val="bottom"/>
          </w:tcPr>
          <w:p>
            <w:pPr>
              <w:spacing w:after="0"/>
              <w:rPr>
                <w:sz w:val="12"/>
                <w:szCs w:val="12"/>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4,854</w:t>
            </w:r>
          </w:p>
        </w:tc>
        <w:tc>
          <w:tcPr>
            <w:tcW w:w="20" w:type="dxa"/>
            <w:vAlign w:val="bottom"/>
          </w:tcPr>
          <w:p>
            <w:pPr>
              <w:spacing w:after="0"/>
              <w:rPr>
                <w:sz w:val="12"/>
                <w:szCs w:val="12"/>
                <w:color w:val="auto"/>
              </w:rPr>
            </w:pPr>
          </w:p>
        </w:tc>
        <w:tc>
          <w:tcPr>
            <w:tcW w:w="200" w:type="dxa"/>
            <w:vAlign w:val="bottom"/>
            <w:gridSpan w:val="3"/>
          </w:tcPr>
          <w:p>
            <w:pPr>
              <w:jc w:val="right"/>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5,650</w:t>
            </w:r>
          </w:p>
        </w:tc>
        <w:tc>
          <w:tcPr>
            <w:tcW w:w="20" w:type="dxa"/>
            <w:vAlign w:val="bottom"/>
          </w:tcPr>
          <w:p>
            <w:pPr>
              <w:spacing w:after="0"/>
              <w:rPr>
                <w:sz w:val="12"/>
                <w:szCs w:val="12"/>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20"/>
              <w:spacing w:after="0"/>
              <w:rPr>
                <w:sz w:val="20"/>
                <w:szCs w:val="20"/>
                <w:color w:val="auto"/>
              </w:rPr>
            </w:pPr>
            <w:r>
              <w:rPr>
                <w:rFonts w:ascii="Arial" w:cs="Arial" w:eastAsia="Arial" w:hAnsi="Arial"/>
                <w:sz w:val="11"/>
                <w:szCs w:val="11"/>
                <w:color w:val="auto"/>
              </w:rPr>
              <w:t>(77,278)</w:t>
            </w:r>
          </w:p>
        </w:tc>
        <w:tc>
          <w:tcPr>
            <w:tcW w:w="220" w:type="dxa"/>
            <w:vAlign w:val="bottom"/>
            <w:gridSpan w:val="3"/>
          </w:tcPr>
          <w:p>
            <w:pPr>
              <w:jc w:val="right"/>
              <w:ind w:right="2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2,509</w:t>
            </w:r>
          </w:p>
        </w:tc>
        <w:tc>
          <w:tcPr>
            <w:tcW w:w="20" w:type="dxa"/>
            <w:vAlign w:val="bottom"/>
          </w:tcPr>
          <w:p>
            <w:pPr>
              <w:spacing w:after="0"/>
              <w:rPr>
                <w:sz w:val="12"/>
                <w:szCs w:val="12"/>
                <w:color w:val="auto"/>
              </w:rPr>
            </w:pPr>
          </w:p>
        </w:tc>
      </w:tr>
      <w:tr>
        <w:trPr>
          <w:trHeight w:val="149"/>
        </w:trPr>
        <w:tc>
          <w:tcPr>
            <w:tcW w:w="3240" w:type="dxa"/>
            <w:vAlign w:val="bottom"/>
            <w:shd w:val="clear" w:color="auto" w:fill="CCEEFF"/>
          </w:tcPr>
          <w:p>
            <w:pPr>
              <w:ind w:left="200"/>
              <w:spacing w:after="0"/>
              <w:rPr>
                <w:sz w:val="20"/>
                <w:szCs w:val="20"/>
                <w:color w:val="auto"/>
              </w:rPr>
            </w:pPr>
            <w:r>
              <w:rPr>
                <w:rFonts w:ascii="Arial" w:cs="Arial" w:eastAsia="Arial" w:hAnsi="Arial"/>
                <w:sz w:val="11"/>
                <w:szCs w:val="11"/>
                <w:color w:val="auto"/>
              </w:rPr>
              <w:t>Class B</w:t>
            </w:r>
          </w:p>
        </w:tc>
        <w:tc>
          <w:tcPr>
            <w:tcW w:w="16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2"/>
                <w:szCs w:val="12"/>
                <w:color w:val="auto"/>
              </w:rPr>
            </w:pPr>
          </w:p>
        </w:tc>
        <w:tc>
          <w:tcPr>
            <w:tcW w:w="220" w:type="dxa"/>
            <w:vAlign w:val="bottom"/>
            <w:gridSpan w:val="3"/>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2"/>
                <w:szCs w:val="12"/>
                <w:color w:val="auto"/>
              </w:rPr>
            </w:pPr>
          </w:p>
        </w:tc>
        <w:tc>
          <w:tcPr>
            <w:tcW w:w="200" w:type="dxa"/>
            <w:vAlign w:val="bottom"/>
            <w:gridSpan w:val="3"/>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2"/>
                <w:szCs w:val="12"/>
                <w:color w:val="auto"/>
              </w:rPr>
            </w:pPr>
          </w:p>
        </w:tc>
        <w:tc>
          <w:tcPr>
            <w:tcW w:w="220" w:type="dxa"/>
            <w:vAlign w:val="bottom"/>
            <w:gridSpan w:val="3"/>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(6,256)</w:t>
            </w:r>
          </w:p>
        </w:tc>
        <w:tc>
          <w:tcPr>
            <w:tcW w:w="220" w:type="dxa"/>
            <w:vAlign w:val="bottom"/>
            <w:gridSpan w:val="3"/>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790</w:t>
            </w:r>
          </w:p>
        </w:tc>
        <w:tc>
          <w:tcPr>
            <w:tcW w:w="20" w:type="dxa"/>
            <w:vAlign w:val="bottom"/>
            <w:shd w:val="clear" w:color="auto" w:fill="CCEEFF"/>
          </w:tcPr>
          <w:p>
            <w:pPr>
              <w:spacing w:after="0"/>
              <w:rPr>
                <w:sz w:val="12"/>
                <w:szCs w:val="12"/>
                <w:color w:val="auto"/>
              </w:rPr>
            </w:pPr>
          </w:p>
        </w:tc>
      </w:tr>
      <w:tr>
        <w:trPr>
          <w:trHeight w:val="149"/>
        </w:trPr>
        <w:tc>
          <w:tcPr>
            <w:tcW w:w="3240" w:type="dxa"/>
            <w:vAlign w:val="bottom"/>
          </w:tcPr>
          <w:p>
            <w:pPr>
              <w:spacing w:after="0"/>
              <w:rPr>
                <w:sz w:val="20"/>
                <w:szCs w:val="20"/>
                <w:color w:val="auto"/>
              </w:rPr>
            </w:pPr>
            <w:r>
              <w:rPr>
                <w:rFonts w:ascii="Arial" w:cs="Arial" w:eastAsia="Arial" w:hAnsi="Arial"/>
                <w:sz w:val="11"/>
                <w:szCs w:val="11"/>
                <w:b w:val="1"/>
                <w:bCs w:val="1"/>
                <w:color w:val="auto"/>
              </w:rPr>
              <w:t>Per share information:</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3240" w:type="dxa"/>
            <w:vAlign w:val="bottom"/>
            <w:shd w:val="clear" w:color="auto" w:fill="CCEEFF"/>
          </w:tcPr>
          <w:p>
            <w:pPr>
              <w:ind w:left="100"/>
              <w:spacing w:after="0" w:line="139" w:lineRule="exact"/>
              <w:rPr>
                <w:sz w:val="20"/>
                <w:szCs w:val="20"/>
                <w:color w:val="auto"/>
              </w:rPr>
            </w:pPr>
            <w:r>
              <w:rPr>
                <w:rFonts w:ascii="Arial" w:cs="Arial" w:eastAsia="Arial" w:hAnsi="Arial"/>
                <w:sz w:val="11"/>
                <w:szCs w:val="11"/>
                <w:color w:val="auto"/>
              </w:rPr>
              <w:t xml:space="preserve">Class A common stock </w:t>
            </w:r>
            <w:r>
              <w:rPr>
                <w:rFonts w:ascii="Arial" w:cs="Arial" w:eastAsia="Arial" w:hAnsi="Arial"/>
                <w:sz w:val="14"/>
                <w:szCs w:val="14"/>
                <w:color w:val="auto"/>
                <w:vertAlign w:val="superscript"/>
              </w:rPr>
              <w:t>(2)</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r>
      <w:tr>
        <w:trPr>
          <w:trHeight w:val="149"/>
        </w:trPr>
        <w:tc>
          <w:tcPr>
            <w:tcW w:w="3240" w:type="dxa"/>
            <w:vAlign w:val="bottom"/>
          </w:tcPr>
          <w:p>
            <w:pPr>
              <w:ind w:left="200"/>
              <w:spacing w:after="0"/>
              <w:rPr>
                <w:sz w:val="20"/>
                <w:szCs w:val="20"/>
                <w:color w:val="auto"/>
              </w:rPr>
            </w:pPr>
            <w:r>
              <w:rPr>
                <w:rFonts w:ascii="Arial" w:cs="Arial" w:eastAsia="Arial" w:hAnsi="Arial"/>
                <w:sz w:val="11"/>
                <w:szCs w:val="11"/>
                <w:color w:val="auto"/>
              </w:rPr>
              <w:t>Net income (loss) per share, basic</w:t>
            </w:r>
          </w:p>
        </w:tc>
        <w:tc>
          <w:tcPr>
            <w:tcW w:w="16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0.26</w:t>
            </w:r>
          </w:p>
        </w:tc>
        <w:tc>
          <w:tcPr>
            <w:tcW w:w="20" w:type="dxa"/>
            <w:vAlign w:val="bottom"/>
          </w:tcPr>
          <w:p>
            <w:pPr>
              <w:spacing w:after="0"/>
              <w:rPr>
                <w:sz w:val="12"/>
                <w:szCs w:val="12"/>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0.24</w:t>
            </w:r>
          </w:p>
        </w:tc>
        <w:tc>
          <w:tcPr>
            <w:tcW w:w="20" w:type="dxa"/>
            <w:vAlign w:val="bottom"/>
          </w:tcPr>
          <w:p>
            <w:pPr>
              <w:spacing w:after="0"/>
              <w:rPr>
                <w:sz w:val="12"/>
                <w:szCs w:val="12"/>
                <w:color w:val="auto"/>
              </w:rPr>
            </w:pPr>
          </w:p>
        </w:tc>
        <w:tc>
          <w:tcPr>
            <w:tcW w:w="200" w:type="dxa"/>
            <w:vAlign w:val="bottom"/>
            <w:gridSpan w:val="3"/>
          </w:tcPr>
          <w:p>
            <w:pPr>
              <w:jc w:val="right"/>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0.30</w:t>
            </w:r>
          </w:p>
        </w:tc>
        <w:tc>
          <w:tcPr>
            <w:tcW w:w="20" w:type="dxa"/>
            <w:vAlign w:val="bottom"/>
          </w:tcPr>
          <w:p>
            <w:pPr>
              <w:spacing w:after="0"/>
              <w:rPr>
                <w:sz w:val="12"/>
                <w:szCs w:val="12"/>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20"/>
              <w:spacing w:after="0"/>
              <w:rPr>
                <w:sz w:val="20"/>
                <w:szCs w:val="20"/>
                <w:color w:val="auto"/>
              </w:rPr>
            </w:pPr>
            <w:r>
              <w:rPr>
                <w:rFonts w:ascii="Arial" w:cs="Arial" w:eastAsia="Arial" w:hAnsi="Arial"/>
                <w:sz w:val="11"/>
                <w:szCs w:val="11"/>
                <w:color w:val="auto"/>
              </w:rPr>
              <w:t>(5.11)</w:t>
            </w:r>
          </w:p>
        </w:tc>
        <w:tc>
          <w:tcPr>
            <w:tcW w:w="220" w:type="dxa"/>
            <w:vAlign w:val="bottom"/>
            <w:gridSpan w:val="3"/>
          </w:tcPr>
          <w:p>
            <w:pPr>
              <w:jc w:val="right"/>
              <w:ind w:right="2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0.65</w:t>
            </w:r>
          </w:p>
        </w:tc>
        <w:tc>
          <w:tcPr>
            <w:tcW w:w="20" w:type="dxa"/>
            <w:vAlign w:val="bottom"/>
          </w:tcPr>
          <w:p>
            <w:pPr>
              <w:spacing w:after="0"/>
              <w:rPr>
                <w:sz w:val="12"/>
                <w:szCs w:val="12"/>
                <w:color w:val="auto"/>
              </w:rPr>
            </w:pPr>
          </w:p>
        </w:tc>
      </w:tr>
      <w:tr>
        <w:trPr>
          <w:trHeight w:val="149"/>
        </w:trPr>
        <w:tc>
          <w:tcPr>
            <w:tcW w:w="3240" w:type="dxa"/>
            <w:vAlign w:val="bottom"/>
            <w:shd w:val="clear" w:color="auto" w:fill="CCEEFF"/>
          </w:tcPr>
          <w:p>
            <w:pPr>
              <w:ind w:left="200"/>
              <w:spacing w:after="0"/>
              <w:rPr>
                <w:sz w:val="20"/>
                <w:szCs w:val="20"/>
                <w:color w:val="auto"/>
              </w:rPr>
            </w:pPr>
            <w:r>
              <w:rPr>
                <w:rFonts w:ascii="Arial" w:cs="Arial" w:eastAsia="Arial" w:hAnsi="Arial"/>
                <w:sz w:val="11"/>
                <w:szCs w:val="11"/>
                <w:color w:val="auto"/>
              </w:rPr>
              <w:t>Net income (loss) per share, diluted</w:t>
            </w:r>
          </w:p>
        </w:tc>
        <w:tc>
          <w:tcPr>
            <w:tcW w:w="16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0.26</w:t>
            </w:r>
          </w:p>
        </w:tc>
        <w:tc>
          <w:tcPr>
            <w:tcW w:w="20" w:type="dxa"/>
            <w:vAlign w:val="bottom"/>
            <w:shd w:val="clear" w:color="auto" w:fill="CCEEFF"/>
          </w:tcPr>
          <w:p>
            <w:pPr>
              <w:spacing w:after="0"/>
              <w:rPr>
                <w:sz w:val="12"/>
                <w:szCs w:val="12"/>
                <w:color w:val="auto"/>
              </w:rPr>
            </w:pPr>
          </w:p>
        </w:tc>
        <w:tc>
          <w:tcPr>
            <w:tcW w:w="220" w:type="dxa"/>
            <w:vAlign w:val="bottom"/>
            <w:gridSpan w:val="3"/>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0.24</w:t>
            </w:r>
          </w:p>
        </w:tc>
        <w:tc>
          <w:tcPr>
            <w:tcW w:w="20" w:type="dxa"/>
            <w:vAlign w:val="bottom"/>
            <w:shd w:val="clear" w:color="auto" w:fill="CCEEFF"/>
          </w:tcPr>
          <w:p>
            <w:pPr>
              <w:spacing w:after="0"/>
              <w:rPr>
                <w:sz w:val="12"/>
                <w:szCs w:val="12"/>
                <w:color w:val="auto"/>
              </w:rPr>
            </w:pPr>
          </w:p>
        </w:tc>
        <w:tc>
          <w:tcPr>
            <w:tcW w:w="200" w:type="dxa"/>
            <w:vAlign w:val="bottom"/>
            <w:gridSpan w:val="3"/>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0.30</w:t>
            </w:r>
          </w:p>
        </w:tc>
        <w:tc>
          <w:tcPr>
            <w:tcW w:w="20" w:type="dxa"/>
            <w:vAlign w:val="bottom"/>
            <w:shd w:val="clear" w:color="auto" w:fill="CCEEFF"/>
          </w:tcPr>
          <w:p>
            <w:pPr>
              <w:spacing w:after="0"/>
              <w:rPr>
                <w:sz w:val="12"/>
                <w:szCs w:val="12"/>
                <w:color w:val="auto"/>
              </w:rPr>
            </w:pPr>
          </w:p>
        </w:tc>
        <w:tc>
          <w:tcPr>
            <w:tcW w:w="220" w:type="dxa"/>
            <w:vAlign w:val="bottom"/>
            <w:gridSpan w:val="3"/>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(5.11)</w:t>
            </w:r>
          </w:p>
        </w:tc>
        <w:tc>
          <w:tcPr>
            <w:tcW w:w="220" w:type="dxa"/>
            <w:vAlign w:val="bottom"/>
            <w:gridSpan w:val="3"/>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0.64</w:t>
            </w:r>
          </w:p>
        </w:tc>
        <w:tc>
          <w:tcPr>
            <w:tcW w:w="20" w:type="dxa"/>
            <w:vAlign w:val="bottom"/>
            <w:shd w:val="clear" w:color="auto" w:fill="CCEEFF"/>
          </w:tcPr>
          <w:p>
            <w:pPr>
              <w:spacing w:after="0"/>
              <w:rPr>
                <w:sz w:val="12"/>
                <w:szCs w:val="12"/>
                <w:color w:val="auto"/>
              </w:rPr>
            </w:pPr>
          </w:p>
        </w:tc>
      </w:tr>
      <w:tr>
        <w:trPr>
          <w:trHeight w:val="149"/>
        </w:trPr>
        <w:tc>
          <w:tcPr>
            <w:tcW w:w="3240" w:type="dxa"/>
            <w:vAlign w:val="bottom"/>
          </w:tcPr>
          <w:p>
            <w:pPr>
              <w:ind w:left="100"/>
              <w:spacing w:after="0"/>
              <w:rPr>
                <w:sz w:val="20"/>
                <w:szCs w:val="20"/>
                <w:color w:val="auto"/>
              </w:rPr>
            </w:pPr>
            <w:r>
              <w:rPr>
                <w:rFonts w:ascii="Arial" w:cs="Arial" w:eastAsia="Arial" w:hAnsi="Arial"/>
                <w:sz w:val="11"/>
                <w:szCs w:val="11"/>
                <w:color w:val="auto"/>
              </w:rPr>
              <w:t>Class B common stock</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3240" w:type="dxa"/>
            <w:vAlign w:val="bottom"/>
            <w:shd w:val="clear" w:color="auto" w:fill="CCEEFF"/>
          </w:tcPr>
          <w:p>
            <w:pPr>
              <w:ind w:left="200"/>
              <w:spacing w:after="0"/>
              <w:rPr>
                <w:sz w:val="20"/>
                <w:szCs w:val="20"/>
                <w:color w:val="auto"/>
              </w:rPr>
            </w:pPr>
            <w:r>
              <w:rPr>
                <w:rFonts w:ascii="Arial" w:cs="Arial" w:eastAsia="Arial" w:hAnsi="Arial"/>
                <w:sz w:val="11"/>
                <w:szCs w:val="11"/>
                <w:color w:val="auto"/>
              </w:rPr>
              <w:t>Net income (loss) per share, basic</w:t>
            </w:r>
          </w:p>
        </w:tc>
        <w:tc>
          <w:tcPr>
            <w:tcW w:w="16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2"/>
                <w:szCs w:val="12"/>
                <w:color w:val="auto"/>
              </w:rPr>
            </w:pPr>
          </w:p>
        </w:tc>
        <w:tc>
          <w:tcPr>
            <w:tcW w:w="220" w:type="dxa"/>
            <w:vAlign w:val="bottom"/>
            <w:gridSpan w:val="3"/>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2"/>
                <w:szCs w:val="12"/>
                <w:color w:val="auto"/>
              </w:rPr>
            </w:pPr>
          </w:p>
        </w:tc>
        <w:tc>
          <w:tcPr>
            <w:tcW w:w="200" w:type="dxa"/>
            <w:vAlign w:val="bottom"/>
            <w:gridSpan w:val="3"/>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2"/>
                <w:szCs w:val="12"/>
                <w:color w:val="auto"/>
              </w:rPr>
            </w:pPr>
          </w:p>
        </w:tc>
        <w:tc>
          <w:tcPr>
            <w:tcW w:w="220" w:type="dxa"/>
            <w:vAlign w:val="bottom"/>
            <w:gridSpan w:val="3"/>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(1.02)</w:t>
            </w:r>
          </w:p>
        </w:tc>
        <w:tc>
          <w:tcPr>
            <w:tcW w:w="220" w:type="dxa"/>
            <w:vAlign w:val="bottom"/>
            <w:gridSpan w:val="3"/>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0.13</w:t>
            </w:r>
          </w:p>
        </w:tc>
        <w:tc>
          <w:tcPr>
            <w:tcW w:w="20" w:type="dxa"/>
            <w:vAlign w:val="bottom"/>
            <w:shd w:val="clear" w:color="auto" w:fill="CCEEFF"/>
          </w:tcPr>
          <w:p>
            <w:pPr>
              <w:spacing w:after="0"/>
              <w:rPr>
                <w:sz w:val="12"/>
                <w:szCs w:val="12"/>
                <w:color w:val="auto"/>
              </w:rPr>
            </w:pPr>
          </w:p>
        </w:tc>
      </w:tr>
      <w:tr>
        <w:trPr>
          <w:trHeight w:val="149"/>
        </w:trPr>
        <w:tc>
          <w:tcPr>
            <w:tcW w:w="3240" w:type="dxa"/>
            <w:vAlign w:val="bottom"/>
          </w:tcPr>
          <w:p>
            <w:pPr>
              <w:ind w:left="200"/>
              <w:spacing w:after="0"/>
              <w:rPr>
                <w:sz w:val="20"/>
                <w:szCs w:val="20"/>
                <w:color w:val="auto"/>
              </w:rPr>
            </w:pPr>
            <w:r>
              <w:rPr>
                <w:rFonts w:ascii="Arial" w:cs="Arial" w:eastAsia="Arial" w:hAnsi="Arial"/>
                <w:sz w:val="11"/>
                <w:szCs w:val="11"/>
                <w:color w:val="auto"/>
              </w:rPr>
              <w:t>Net income (loss) per share, diluted</w:t>
            </w:r>
          </w:p>
        </w:tc>
        <w:tc>
          <w:tcPr>
            <w:tcW w:w="16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2"/>
                <w:szCs w:val="12"/>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2"/>
                <w:szCs w:val="12"/>
                <w:color w:val="auto"/>
              </w:rPr>
            </w:pPr>
          </w:p>
        </w:tc>
        <w:tc>
          <w:tcPr>
            <w:tcW w:w="200" w:type="dxa"/>
            <w:vAlign w:val="bottom"/>
            <w:gridSpan w:val="3"/>
          </w:tcPr>
          <w:p>
            <w:pPr>
              <w:jc w:val="right"/>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2"/>
                <w:szCs w:val="12"/>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20"/>
              <w:spacing w:after="0"/>
              <w:rPr>
                <w:sz w:val="20"/>
                <w:szCs w:val="20"/>
                <w:color w:val="auto"/>
              </w:rPr>
            </w:pPr>
            <w:r>
              <w:rPr>
                <w:rFonts w:ascii="Arial" w:cs="Arial" w:eastAsia="Arial" w:hAnsi="Arial"/>
                <w:sz w:val="11"/>
                <w:szCs w:val="11"/>
                <w:color w:val="auto"/>
              </w:rPr>
              <w:t>(1.02)</w:t>
            </w:r>
          </w:p>
        </w:tc>
        <w:tc>
          <w:tcPr>
            <w:tcW w:w="220" w:type="dxa"/>
            <w:vAlign w:val="bottom"/>
            <w:gridSpan w:val="3"/>
          </w:tcPr>
          <w:p>
            <w:pPr>
              <w:jc w:val="right"/>
              <w:ind w:right="2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0.13</w:t>
            </w:r>
          </w:p>
        </w:tc>
        <w:tc>
          <w:tcPr>
            <w:tcW w:w="20" w:type="dxa"/>
            <w:vAlign w:val="bottom"/>
          </w:tcPr>
          <w:p>
            <w:pPr>
              <w:spacing w:after="0"/>
              <w:rPr>
                <w:sz w:val="12"/>
                <w:szCs w:val="12"/>
                <w:color w:val="auto"/>
              </w:rPr>
            </w:pPr>
          </w:p>
        </w:tc>
      </w:tr>
      <w:tr>
        <w:trPr>
          <w:trHeight w:val="149"/>
        </w:trPr>
        <w:tc>
          <w:tcPr>
            <w:tcW w:w="324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Balance sheet data (at period-end):</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r>
      <w:tr>
        <w:trPr>
          <w:trHeight w:val="149"/>
        </w:trPr>
        <w:tc>
          <w:tcPr>
            <w:tcW w:w="3240" w:type="dxa"/>
            <w:vAlign w:val="bottom"/>
          </w:tcPr>
          <w:p>
            <w:pPr>
              <w:ind w:left="100"/>
              <w:spacing w:after="0"/>
              <w:rPr>
                <w:sz w:val="20"/>
                <w:szCs w:val="20"/>
                <w:color w:val="auto"/>
              </w:rPr>
            </w:pPr>
            <w:r>
              <w:rPr>
                <w:rFonts w:ascii="Arial" w:cs="Arial" w:eastAsia="Arial" w:hAnsi="Arial"/>
                <w:sz w:val="11"/>
                <w:szCs w:val="11"/>
                <w:color w:val="auto"/>
              </w:rPr>
              <w:t>Cash and cash equivalents</w:t>
            </w:r>
          </w:p>
        </w:tc>
        <w:tc>
          <w:tcPr>
            <w:tcW w:w="16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83,272</w:t>
            </w:r>
          </w:p>
        </w:tc>
        <w:tc>
          <w:tcPr>
            <w:tcW w:w="20" w:type="dxa"/>
            <w:vAlign w:val="bottom"/>
          </w:tcPr>
          <w:p>
            <w:pPr>
              <w:spacing w:after="0"/>
              <w:rPr>
                <w:sz w:val="12"/>
                <w:szCs w:val="12"/>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94,113</w:t>
            </w:r>
          </w:p>
        </w:tc>
        <w:tc>
          <w:tcPr>
            <w:tcW w:w="20" w:type="dxa"/>
            <w:vAlign w:val="bottom"/>
          </w:tcPr>
          <w:p>
            <w:pPr>
              <w:spacing w:after="0"/>
              <w:rPr>
                <w:sz w:val="12"/>
                <w:szCs w:val="12"/>
                <w:color w:val="auto"/>
              </w:rPr>
            </w:pPr>
          </w:p>
        </w:tc>
        <w:tc>
          <w:tcPr>
            <w:tcW w:w="200" w:type="dxa"/>
            <w:vAlign w:val="bottom"/>
            <w:gridSpan w:val="3"/>
          </w:tcPr>
          <w:p>
            <w:pPr>
              <w:jc w:val="right"/>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46,228</w:t>
            </w:r>
          </w:p>
        </w:tc>
        <w:tc>
          <w:tcPr>
            <w:tcW w:w="20" w:type="dxa"/>
            <w:vAlign w:val="bottom"/>
          </w:tcPr>
          <w:p>
            <w:pPr>
              <w:spacing w:after="0"/>
              <w:rPr>
                <w:sz w:val="12"/>
                <w:szCs w:val="12"/>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69,597</w:t>
            </w:r>
          </w:p>
        </w:tc>
        <w:tc>
          <w:tcPr>
            <w:tcW w:w="20" w:type="dxa"/>
            <w:vAlign w:val="bottom"/>
          </w:tcPr>
          <w:p>
            <w:pPr>
              <w:spacing w:after="0"/>
              <w:rPr>
                <w:sz w:val="12"/>
                <w:szCs w:val="12"/>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47,117</w:t>
            </w:r>
          </w:p>
        </w:tc>
        <w:tc>
          <w:tcPr>
            <w:tcW w:w="20" w:type="dxa"/>
            <w:vAlign w:val="bottom"/>
          </w:tcPr>
          <w:p>
            <w:pPr>
              <w:spacing w:after="0"/>
              <w:rPr>
                <w:sz w:val="12"/>
                <w:szCs w:val="12"/>
                <w:color w:val="auto"/>
              </w:rPr>
            </w:pPr>
          </w:p>
        </w:tc>
      </w:tr>
      <w:tr>
        <w:trPr>
          <w:trHeight w:val="149"/>
        </w:trPr>
        <w:tc>
          <w:tcPr>
            <w:tcW w:w="3240" w:type="dxa"/>
            <w:vAlign w:val="bottom"/>
            <w:shd w:val="clear" w:color="auto" w:fill="CCEEFF"/>
          </w:tcPr>
          <w:p>
            <w:pPr>
              <w:ind w:left="100"/>
              <w:spacing w:after="0"/>
              <w:rPr>
                <w:sz w:val="20"/>
                <w:szCs w:val="20"/>
                <w:color w:val="auto"/>
              </w:rPr>
            </w:pPr>
            <w:r>
              <w:rPr>
                <w:rFonts w:ascii="Arial" w:cs="Arial" w:eastAsia="Arial" w:hAnsi="Arial"/>
                <w:sz w:val="11"/>
                <w:szCs w:val="11"/>
                <w:color w:val="auto"/>
              </w:rPr>
              <w:t>Securities available-for-sale</w:t>
            </w:r>
          </w:p>
        </w:tc>
        <w:tc>
          <w:tcPr>
            <w:tcW w:w="16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339,464</w:t>
            </w:r>
          </w:p>
        </w:tc>
        <w:tc>
          <w:tcPr>
            <w:tcW w:w="20" w:type="dxa"/>
            <w:vAlign w:val="bottom"/>
            <w:shd w:val="clear" w:color="auto" w:fill="CCEEFF"/>
          </w:tcPr>
          <w:p>
            <w:pPr>
              <w:spacing w:after="0"/>
              <w:rPr>
                <w:sz w:val="12"/>
                <w:szCs w:val="12"/>
                <w:color w:val="auto"/>
              </w:rPr>
            </w:pPr>
          </w:p>
        </w:tc>
        <w:tc>
          <w:tcPr>
            <w:tcW w:w="220" w:type="dxa"/>
            <w:vAlign w:val="bottom"/>
            <w:gridSpan w:val="3"/>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392,214</w:t>
            </w:r>
          </w:p>
        </w:tc>
        <w:tc>
          <w:tcPr>
            <w:tcW w:w="20" w:type="dxa"/>
            <w:vAlign w:val="bottom"/>
            <w:shd w:val="clear" w:color="auto" w:fill="CCEEFF"/>
          </w:tcPr>
          <w:p>
            <w:pPr>
              <w:spacing w:after="0"/>
              <w:rPr>
                <w:sz w:val="12"/>
                <w:szCs w:val="12"/>
                <w:color w:val="auto"/>
              </w:rPr>
            </w:pPr>
          </w:p>
        </w:tc>
        <w:tc>
          <w:tcPr>
            <w:tcW w:w="200" w:type="dxa"/>
            <w:vAlign w:val="bottom"/>
            <w:gridSpan w:val="3"/>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401,542</w:t>
            </w:r>
          </w:p>
        </w:tc>
        <w:tc>
          <w:tcPr>
            <w:tcW w:w="20" w:type="dxa"/>
            <w:vAlign w:val="bottom"/>
            <w:shd w:val="clear" w:color="auto" w:fill="CCEEFF"/>
          </w:tcPr>
          <w:p>
            <w:pPr>
              <w:spacing w:after="0"/>
              <w:rPr>
                <w:sz w:val="12"/>
                <w:szCs w:val="12"/>
                <w:color w:val="auto"/>
              </w:rPr>
            </w:pPr>
          </w:p>
        </w:tc>
        <w:tc>
          <w:tcPr>
            <w:tcW w:w="220" w:type="dxa"/>
            <w:vAlign w:val="bottom"/>
            <w:gridSpan w:val="3"/>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328,171</w:t>
            </w:r>
          </w:p>
        </w:tc>
        <w:tc>
          <w:tcPr>
            <w:tcW w:w="20" w:type="dxa"/>
            <w:vAlign w:val="bottom"/>
            <w:shd w:val="clear" w:color="auto" w:fill="CCEEFF"/>
          </w:tcPr>
          <w:p>
            <w:pPr>
              <w:spacing w:after="0"/>
              <w:rPr>
                <w:sz w:val="12"/>
                <w:szCs w:val="12"/>
                <w:color w:val="auto"/>
              </w:rPr>
            </w:pPr>
          </w:p>
        </w:tc>
        <w:tc>
          <w:tcPr>
            <w:tcW w:w="220" w:type="dxa"/>
            <w:vAlign w:val="bottom"/>
            <w:gridSpan w:val="3"/>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395,804</w:t>
            </w:r>
          </w:p>
        </w:tc>
        <w:tc>
          <w:tcPr>
            <w:tcW w:w="20" w:type="dxa"/>
            <w:vAlign w:val="bottom"/>
            <w:shd w:val="clear" w:color="auto" w:fill="CCEEFF"/>
          </w:tcPr>
          <w:p>
            <w:pPr>
              <w:spacing w:after="0"/>
              <w:rPr>
                <w:sz w:val="12"/>
                <w:szCs w:val="12"/>
                <w:color w:val="auto"/>
              </w:rPr>
            </w:pPr>
          </w:p>
        </w:tc>
      </w:tr>
      <w:tr>
        <w:trPr>
          <w:trHeight w:val="149"/>
        </w:trPr>
        <w:tc>
          <w:tcPr>
            <w:tcW w:w="3240" w:type="dxa"/>
            <w:vAlign w:val="bottom"/>
          </w:tcPr>
          <w:p>
            <w:pPr>
              <w:ind w:left="100"/>
              <w:spacing w:after="0"/>
              <w:rPr>
                <w:sz w:val="20"/>
                <w:szCs w:val="20"/>
                <w:color w:val="auto"/>
              </w:rPr>
            </w:pPr>
            <w:r>
              <w:rPr>
                <w:rFonts w:ascii="Arial" w:cs="Arial" w:eastAsia="Arial" w:hAnsi="Arial"/>
                <w:sz w:val="11"/>
                <w:szCs w:val="11"/>
                <w:color w:val="auto"/>
              </w:rPr>
              <w:t>Securities held-to-maturity</w:t>
            </w:r>
          </w:p>
        </w:tc>
        <w:tc>
          <w:tcPr>
            <w:tcW w:w="16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116,671</w:t>
            </w:r>
          </w:p>
        </w:tc>
        <w:tc>
          <w:tcPr>
            <w:tcW w:w="20" w:type="dxa"/>
            <w:vAlign w:val="bottom"/>
          </w:tcPr>
          <w:p>
            <w:pPr>
              <w:spacing w:after="0"/>
              <w:rPr>
                <w:sz w:val="12"/>
                <w:szCs w:val="12"/>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122,361</w:t>
            </w:r>
          </w:p>
        </w:tc>
        <w:tc>
          <w:tcPr>
            <w:tcW w:w="20" w:type="dxa"/>
            <w:vAlign w:val="bottom"/>
          </w:tcPr>
          <w:p>
            <w:pPr>
              <w:spacing w:after="0"/>
              <w:rPr>
                <w:sz w:val="12"/>
                <w:szCs w:val="12"/>
                <w:color w:val="auto"/>
              </w:rPr>
            </w:pPr>
          </w:p>
        </w:tc>
        <w:tc>
          <w:tcPr>
            <w:tcW w:w="200" w:type="dxa"/>
            <w:vAlign w:val="bottom"/>
            <w:gridSpan w:val="3"/>
          </w:tcPr>
          <w:p>
            <w:pPr>
              <w:jc w:val="right"/>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122,658</w:t>
            </w:r>
          </w:p>
        </w:tc>
        <w:tc>
          <w:tcPr>
            <w:tcW w:w="20" w:type="dxa"/>
            <w:vAlign w:val="bottom"/>
          </w:tcPr>
          <w:p>
            <w:pPr>
              <w:spacing w:after="0"/>
              <w:rPr>
                <w:sz w:val="12"/>
                <w:szCs w:val="12"/>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99,866</w:t>
            </w:r>
          </w:p>
        </w:tc>
        <w:tc>
          <w:tcPr>
            <w:tcW w:w="20" w:type="dxa"/>
            <w:vAlign w:val="bottom"/>
          </w:tcPr>
          <w:p>
            <w:pPr>
              <w:spacing w:after="0"/>
              <w:rPr>
                <w:sz w:val="12"/>
                <w:szCs w:val="12"/>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2"/>
                <w:szCs w:val="12"/>
                <w:color w:val="auto"/>
              </w:rPr>
            </w:pPr>
          </w:p>
        </w:tc>
      </w:tr>
      <w:tr>
        <w:trPr>
          <w:trHeight w:val="149"/>
        </w:trPr>
        <w:tc>
          <w:tcPr>
            <w:tcW w:w="3240" w:type="dxa"/>
            <w:vAlign w:val="bottom"/>
            <w:shd w:val="clear" w:color="auto" w:fill="CCEEFF"/>
          </w:tcPr>
          <w:p>
            <w:pPr>
              <w:ind w:left="100"/>
              <w:spacing w:after="0"/>
              <w:rPr>
                <w:sz w:val="20"/>
                <w:szCs w:val="20"/>
                <w:color w:val="auto"/>
              </w:rPr>
            </w:pPr>
            <w:r>
              <w:rPr>
                <w:rFonts w:ascii="Arial" w:cs="Arial" w:eastAsia="Arial" w:hAnsi="Arial"/>
                <w:sz w:val="11"/>
                <w:szCs w:val="11"/>
                <w:color w:val="auto"/>
              </w:rPr>
              <w:t>Total securities</w:t>
            </w:r>
          </w:p>
        </w:tc>
        <w:tc>
          <w:tcPr>
            <w:tcW w:w="16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456,135</w:t>
            </w:r>
          </w:p>
        </w:tc>
        <w:tc>
          <w:tcPr>
            <w:tcW w:w="20" w:type="dxa"/>
            <w:vAlign w:val="bottom"/>
            <w:shd w:val="clear" w:color="auto" w:fill="CCEEFF"/>
          </w:tcPr>
          <w:p>
            <w:pPr>
              <w:spacing w:after="0"/>
              <w:rPr>
                <w:sz w:val="12"/>
                <w:szCs w:val="12"/>
                <w:color w:val="auto"/>
              </w:rPr>
            </w:pPr>
          </w:p>
        </w:tc>
        <w:tc>
          <w:tcPr>
            <w:tcW w:w="220" w:type="dxa"/>
            <w:vAlign w:val="bottom"/>
            <w:gridSpan w:val="3"/>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514,575</w:t>
            </w:r>
          </w:p>
        </w:tc>
        <w:tc>
          <w:tcPr>
            <w:tcW w:w="20" w:type="dxa"/>
            <w:vAlign w:val="bottom"/>
            <w:shd w:val="clear" w:color="auto" w:fill="CCEEFF"/>
          </w:tcPr>
          <w:p>
            <w:pPr>
              <w:spacing w:after="0"/>
              <w:rPr>
                <w:sz w:val="12"/>
                <w:szCs w:val="12"/>
                <w:color w:val="auto"/>
              </w:rPr>
            </w:pPr>
          </w:p>
        </w:tc>
        <w:tc>
          <w:tcPr>
            <w:tcW w:w="200" w:type="dxa"/>
            <w:vAlign w:val="bottom"/>
            <w:gridSpan w:val="3"/>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524,200</w:t>
            </w:r>
          </w:p>
        </w:tc>
        <w:tc>
          <w:tcPr>
            <w:tcW w:w="20" w:type="dxa"/>
            <w:vAlign w:val="bottom"/>
            <w:shd w:val="clear" w:color="auto" w:fill="CCEEFF"/>
          </w:tcPr>
          <w:p>
            <w:pPr>
              <w:spacing w:after="0"/>
              <w:rPr>
                <w:sz w:val="12"/>
                <w:szCs w:val="12"/>
                <w:color w:val="auto"/>
              </w:rPr>
            </w:pPr>
          </w:p>
        </w:tc>
        <w:tc>
          <w:tcPr>
            <w:tcW w:w="220" w:type="dxa"/>
            <w:vAlign w:val="bottom"/>
            <w:gridSpan w:val="3"/>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428,037</w:t>
            </w:r>
          </w:p>
        </w:tc>
        <w:tc>
          <w:tcPr>
            <w:tcW w:w="20" w:type="dxa"/>
            <w:vAlign w:val="bottom"/>
            <w:shd w:val="clear" w:color="auto" w:fill="CCEEFF"/>
          </w:tcPr>
          <w:p>
            <w:pPr>
              <w:spacing w:after="0"/>
              <w:rPr>
                <w:sz w:val="12"/>
                <w:szCs w:val="12"/>
                <w:color w:val="auto"/>
              </w:rPr>
            </w:pPr>
          </w:p>
        </w:tc>
        <w:tc>
          <w:tcPr>
            <w:tcW w:w="220" w:type="dxa"/>
            <w:vAlign w:val="bottom"/>
            <w:gridSpan w:val="3"/>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395,804</w:t>
            </w:r>
          </w:p>
        </w:tc>
        <w:tc>
          <w:tcPr>
            <w:tcW w:w="20" w:type="dxa"/>
            <w:vAlign w:val="bottom"/>
            <w:shd w:val="clear" w:color="auto" w:fill="CCEEFF"/>
          </w:tcPr>
          <w:p>
            <w:pPr>
              <w:spacing w:after="0"/>
              <w:rPr>
                <w:sz w:val="12"/>
                <w:szCs w:val="12"/>
                <w:color w:val="auto"/>
              </w:rPr>
            </w:pPr>
          </w:p>
        </w:tc>
      </w:tr>
      <w:tr>
        <w:trPr>
          <w:trHeight w:val="149"/>
        </w:trPr>
        <w:tc>
          <w:tcPr>
            <w:tcW w:w="3240" w:type="dxa"/>
            <w:vAlign w:val="bottom"/>
          </w:tcPr>
          <w:p>
            <w:pPr>
              <w:ind w:left="100"/>
              <w:spacing w:after="0" w:line="149" w:lineRule="exact"/>
              <w:rPr>
                <w:sz w:val="20"/>
                <w:szCs w:val="20"/>
                <w:color w:val="auto"/>
              </w:rPr>
            </w:pPr>
            <w:r>
              <w:rPr>
                <w:rFonts w:ascii="Arial" w:cs="Arial" w:eastAsia="Arial" w:hAnsi="Arial"/>
                <w:sz w:val="11"/>
                <w:szCs w:val="11"/>
                <w:color w:val="auto"/>
              </w:rPr>
              <w:t xml:space="preserve">Loans held for investment </w:t>
            </w:r>
            <w:r>
              <w:rPr>
                <w:rFonts w:ascii="Arial" w:cs="Arial" w:eastAsia="Arial" w:hAnsi="Arial"/>
                <w:sz w:val="14"/>
                <w:szCs w:val="14"/>
                <w:color w:val="auto"/>
                <w:vertAlign w:val="superscript"/>
              </w:rPr>
              <w:t>(3)</w:t>
            </w:r>
          </w:p>
        </w:tc>
        <w:tc>
          <w:tcPr>
            <w:tcW w:w="16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1,372,733</w:t>
            </w:r>
          </w:p>
        </w:tc>
        <w:tc>
          <w:tcPr>
            <w:tcW w:w="20" w:type="dxa"/>
            <w:vAlign w:val="bottom"/>
          </w:tcPr>
          <w:p>
            <w:pPr>
              <w:spacing w:after="0"/>
              <w:rPr>
                <w:sz w:val="12"/>
                <w:szCs w:val="12"/>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1,258,388</w:t>
            </w:r>
          </w:p>
        </w:tc>
        <w:tc>
          <w:tcPr>
            <w:tcW w:w="20" w:type="dxa"/>
            <w:vAlign w:val="bottom"/>
          </w:tcPr>
          <w:p>
            <w:pPr>
              <w:spacing w:after="0"/>
              <w:rPr>
                <w:sz w:val="12"/>
                <w:szCs w:val="12"/>
                <w:color w:val="auto"/>
              </w:rPr>
            </w:pPr>
          </w:p>
        </w:tc>
        <w:tc>
          <w:tcPr>
            <w:tcW w:w="200" w:type="dxa"/>
            <w:vAlign w:val="bottom"/>
            <w:gridSpan w:val="3"/>
          </w:tcPr>
          <w:p>
            <w:pPr>
              <w:jc w:val="right"/>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1,190,081</w:t>
            </w:r>
          </w:p>
        </w:tc>
        <w:tc>
          <w:tcPr>
            <w:tcW w:w="20" w:type="dxa"/>
            <w:vAlign w:val="bottom"/>
          </w:tcPr>
          <w:p>
            <w:pPr>
              <w:spacing w:after="0"/>
              <w:rPr>
                <w:sz w:val="12"/>
                <w:szCs w:val="12"/>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1,176,412</w:t>
            </w:r>
          </w:p>
        </w:tc>
        <w:tc>
          <w:tcPr>
            <w:tcW w:w="20" w:type="dxa"/>
            <w:vAlign w:val="bottom"/>
          </w:tcPr>
          <w:p>
            <w:pPr>
              <w:spacing w:after="0"/>
              <w:rPr>
                <w:sz w:val="12"/>
                <w:szCs w:val="12"/>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1,145,095</w:t>
            </w:r>
          </w:p>
        </w:tc>
        <w:tc>
          <w:tcPr>
            <w:tcW w:w="20" w:type="dxa"/>
            <w:vAlign w:val="bottom"/>
          </w:tcPr>
          <w:p>
            <w:pPr>
              <w:spacing w:after="0"/>
              <w:rPr>
                <w:sz w:val="12"/>
                <w:szCs w:val="12"/>
                <w:color w:val="auto"/>
              </w:rPr>
            </w:pPr>
          </w:p>
        </w:tc>
      </w:tr>
      <w:tr>
        <w:trPr>
          <w:trHeight w:val="149"/>
        </w:trPr>
        <w:tc>
          <w:tcPr>
            <w:tcW w:w="3240" w:type="dxa"/>
            <w:vAlign w:val="bottom"/>
            <w:shd w:val="clear" w:color="auto" w:fill="CCEEFF"/>
          </w:tcPr>
          <w:p>
            <w:pPr>
              <w:ind w:left="100"/>
              <w:spacing w:after="0"/>
              <w:rPr>
                <w:sz w:val="20"/>
                <w:szCs w:val="20"/>
                <w:color w:val="auto"/>
              </w:rPr>
            </w:pPr>
            <w:r>
              <w:rPr>
                <w:rFonts w:ascii="Arial" w:cs="Arial" w:eastAsia="Arial" w:hAnsi="Arial"/>
                <w:sz w:val="11"/>
                <w:szCs w:val="11"/>
                <w:color w:val="auto"/>
              </w:rPr>
              <w:t>Allowance for credit losses</w:t>
            </w:r>
          </w:p>
        </w:tc>
        <w:tc>
          <w:tcPr>
            <w:tcW w:w="16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(15,786)</w:t>
            </w:r>
          </w:p>
        </w:tc>
        <w:tc>
          <w:tcPr>
            <w:tcW w:w="220" w:type="dxa"/>
            <w:vAlign w:val="bottom"/>
            <w:gridSpan w:val="3"/>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(15,074)</w:t>
            </w:r>
          </w:p>
        </w:tc>
        <w:tc>
          <w:tcPr>
            <w:tcW w:w="200" w:type="dxa"/>
            <w:vAlign w:val="bottom"/>
            <w:gridSpan w:val="3"/>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(15,057)</w:t>
            </w:r>
          </w:p>
        </w:tc>
        <w:tc>
          <w:tcPr>
            <w:tcW w:w="220" w:type="dxa"/>
            <w:vAlign w:val="bottom"/>
            <w:gridSpan w:val="3"/>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(14,900)</w:t>
            </w:r>
          </w:p>
        </w:tc>
        <w:tc>
          <w:tcPr>
            <w:tcW w:w="220" w:type="dxa"/>
            <w:vAlign w:val="bottom"/>
            <w:gridSpan w:val="3"/>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(14,848)</w:t>
            </w:r>
          </w:p>
        </w:tc>
      </w:tr>
      <w:tr>
        <w:trPr>
          <w:trHeight w:val="149"/>
        </w:trPr>
        <w:tc>
          <w:tcPr>
            <w:tcW w:w="3240" w:type="dxa"/>
            <w:vAlign w:val="bottom"/>
          </w:tcPr>
          <w:p>
            <w:pPr>
              <w:ind w:left="100"/>
              <w:spacing w:after="0"/>
              <w:rPr>
                <w:sz w:val="20"/>
                <w:szCs w:val="20"/>
                <w:color w:val="auto"/>
              </w:rPr>
            </w:pPr>
            <w:r>
              <w:rPr>
                <w:rFonts w:ascii="Arial" w:cs="Arial" w:eastAsia="Arial" w:hAnsi="Arial"/>
                <w:sz w:val="11"/>
                <w:szCs w:val="11"/>
                <w:color w:val="auto"/>
              </w:rPr>
              <w:t>Total assets</w:t>
            </w:r>
          </w:p>
        </w:tc>
        <w:tc>
          <w:tcPr>
            <w:tcW w:w="16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2,016,086</w:t>
            </w:r>
          </w:p>
        </w:tc>
        <w:tc>
          <w:tcPr>
            <w:tcW w:w="20" w:type="dxa"/>
            <w:vAlign w:val="bottom"/>
          </w:tcPr>
          <w:p>
            <w:pPr>
              <w:spacing w:after="0"/>
              <w:rPr>
                <w:sz w:val="12"/>
                <w:szCs w:val="12"/>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1,967,252</w:t>
            </w:r>
          </w:p>
        </w:tc>
        <w:tc>
          <w:tcPr>
            <w:tcW w:w="20" w:type="dxa"/>
            <w:vAlign w:val="bottom"/>
          </w:tcPr>
          <w:p>
            <w:pPr>
              <w:spacing w:after="0"/>
              <w:rPr>
                <w:sz w:val="12"/>
                <w:szCs w:val="12"/>
                <w:color w:val="auto"/>
              </w:rPr>
            </w:pPr>
          </w:p>
        </w:tc>
        <w:tc>
          <w:tcPr>
            <w:tcW w:w="200" w:type="dxa"/>
            <w:vAlign w:val="bottom"/>
            <w:gridSpan w:val="3"/>
          </w:tcPr>
          <w:p>
            <w:pPr>
              <w:jc w:val="right"/>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1,853,939</w:t>
            </w:r>
          </w:p>
        </w:tc>
        <w:tc>
          <w:tcPr>
            <w:tcW w:w="20" w:type="dxa"/>
            <w:vAlign w:val="bottom"/>
          </w:tcPr>
          <w:p>
            <w:pPr>
              <w:spacing w:after="0"/>
              <w:rPr>
                <w:sz w:val="12"/>
                <w:szCs w:val="12"/>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1,755,011</w:t>
            </w:r>
          </w:p>
        </w:tc>
        <w:tc>
          <w:tcPr>
            <w:tcW w:w="20" w:type="dxa"/>
            <w:vAlign w:val="bottom"/>
          </w:tcPr>
          <w:p>
            <w:pPr>
              <w:spacing w:after="0"/>
              <w:rPr>
                <w:sz w:val="12"/>
                <w:szCs w:val="12"/>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1,667,005</w:t>
            </w:r>
          </w:p>
        </w:tc>
        <w:tc>
          <w:tcPr>
            <w:tcW w:w="20" w:type="dxa"/>
            <w:vAlign w:val="bottom"/>
          </w:tcPr>
          <w:p>
            <w:pPr>
              <w:spacing w:after="0"/>
              <w:rPr>
                <w:sz w:val="12"/>
                <w:szCs w:val="12"/>
                <w:color w:val="auto"/>
              </w:rPr>
            </w:pPr>
          </w:p>
        </w:tc>
      </w:tr>
      <w:tr>
        <w:trPr>
          <w:trHeight w:val="149"/>
        </w:trPr>
        <w:tc>
          <w:tcPr>
            <w:tcW w:w="3240" w:type="dxa"/>
            <w:vAlign w:val="bottom"/>
            <w:shd w:val="clear" w:color="auto" w:fill="CCEEFF"/>
          </w:tcPr>
          <w:p>
            <w:pPr>
              <w:ind w:left="100"/>
              <w:spacing w:after="0"/>
              <w:rPr>
                <w:sz w:val="20"/>
                <w:szCs w:val="20"/>
                <w:color w:val="auto"/>
              </w:rPr>
            </w:pPr>
            <w:r>
              <w:rPr>
                <w:rFonts w:ascii="Arial" w:cs="Arial" w:eastAsia="Arial" w:hAnsi="Arial"/>
                <w:sz w:val="11"/>
                <w:szCs w:val="11"/>
                <w:color w:val="auto"/>
              </w:rPr>
              <w:t>Non-interest-bearing deposits</w:t>
            </w:r>
          </w:p>
        </w:tc>
        <w:tc>
          <w:tcPr>
            <w:tcW w:w="16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653,708</w:t>
            </w:r>
          </w:p>
        </w:tc>
        <w:tc>
          <w:tcPr>
            <w:tcW w:w="20" w:type="dxa"/>
            <w:vAlign w:val="bottom"/>
            <w:shd w:val="clear" w:color="auto" w:fill="CCEEFF"/>
          </w:tcPr>
          <w:p>
            <w:pPr>
              <w:spacing w:after="0"/>
              <w:rPr>
                <w:sz w:val="12"/>
                <w:szCs w:val="12"/>
                <w:color w:val="auto"/>
              </w:rPr>
            </w:pPr>
          </w:p>
        </w:tc>
        <w:tc>
          <w:tcPr>
            <w:tcW w:w="220" w:type="dxa"/>
            <w:vAlign w:val="bottom"/>
            <w:gridSpan w:val="3"/>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656,622</w:t>
            </w:r>
          </w:p>
        </w:tc>
        <w:tc>
          <w:tcPr>
            <w:tcW w:w="20" w:type="dxa"/>
            <w:vAlign w:val="bottom"/>
            <w:shd w:val="clear" w:color="auto" w:fill="CCEEFF"/>
          </w:tcPr>
          <w:p>
            <w:pPr>
              <w:spacing w:after="0"/>
              <w:rPr>
                <w:sz w:val="12"/>
                <w:szCs w:val="12"/>
                <w:color w:val="auto"/>
              </w:rPr>
            </w:pPr>
          </w:p>
        </w:tc>
        <w:tc>
          <w:tcPr>
            <w:tcW w:w="200" w:type="dxa"/>
            <w:vAlign w:val="bottom"/>
            <w:gridSpan w:val="3"/>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605,425</w:t>
            </w:r>
          </w:p>
        </w:tc>
        <w:tc>
          <w:tcPr>
            <w:tcW w:w="20" w:type="dxa"/>
            <w:vAlign w:val="bottom"/>
            <w:shd w:val="clear" w:color="auto" w:fill="CCEEFF"/>
          </w:tcPr>
          <w:p>
            <w:pPr>
              <w:spacing w:after="0"/>
              <w:rPr>
                <w:sz w:val="12"/>
                <w:szCs w:val="12"/>
                <w:color w:val="auto"/>
              </w:rPr>
            </w:pPr>
          </w:p>
        </w:tc>
        <w:tc>
          <w:tcPr>
            <w:tcW w:w="220" w:type="dxa"/>
            <w:vAlign w:val="bottom"/>
            <w:gridSpan w:val="3"/>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570,091</w:t>
            </w:r>
          </w:p>
        </w:tc>
        <w:tc>
          <w:tcPr>
            <w:tcW w:w="20" w:type="dxa"/>
            <w:vAlign w:val="bottom"/>
            <w:shd w:val="clear" w:color="auto" w:fill="CCEEFF"/>
          </w:tcPr>
          <w:p>
            <w:pPr>
              <w:spacing w:after="0"/>
              <w:rPr>
                <w:sz w:val="12"/>
                <w:szCs w:val="12"/>
                <w:color w:val="auto"/>
              </w:rPr>
            </w:pPr>
          </w:p>
        </w:tc>
        <w:tc>
          <w:tcPr>
            <w:tcW w:w="220" w:type="dxa"/>
            <w:vAlign w:val="bottom"/>
            <w:gridSpan w:val="3"/>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555,993</w:t>
            </w:r>
          </w:p>
        </w:tc>
        <w:tc>
          <w:tcPr>
            <w:tcW w:w="20" w:type="dxa"/>
            <w:vAlign w:val="bottom"/>
            <w:shd w:val="clear" w:color="auto" w:fill="CCEEFF"/>
          </w:tcPr>
          <w:p>
            <w:pPr>
              <w:spacing w:after="0"/>
              <w:rPr>
                <w:sz w:val="12"/>
                <w:szCs w:val="12"/>
                <w:color w:val="auto"/>
              </w:rPr>
            </w:pPr>
          </w:p>
        </w:tc>
      </w:tr>
      <w:tr>
        <w:trPr>
          <w:trHeight w:val="149"/>
        </w:trPr>
        <w:tc>
          <w:tcPr>
            <w:tcW w:w="3240" w:type="dxa"/>
            <w:vAlign w:val="bottom"/>
          </w:tcPr>
          <w:p>
            <w:pPr>
              <w:ind w:left="100"/>
              <w:spacing w:after="0"/>
              <w:rPr>
                <w:sz w:val="20"/>
                <w:szCs w:val="20"/>
                <w:color w:val="auto"/>
              </w:rPr>
            </w:pPr>
            <w:r>
              <w:rPr>
                <w:rFonts w:ascii="Arial" w:cs="Arial" w:eastAsia="Arial" w:hAnsi="Arial"/>
                <w:sz w:val="11"/>
                <w:szCs w:val="11"/>
                <w:color w:val="auto"/>
              </w:rPr>
              <w:t>Interest-bearing deposits</w:t>
            </w:r>
          </w:p>
        </w:tc>
        <w:tc>
          <w:tcPr>
            <w:tcW w:w="16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1,085,012</w:t>
            </w:r>
          </w:p>
        </w:tc>
        <w:tc>
          <w:tcPr>
            <w:tcW w:w="20" w:type="dxa"/>
            <w:vAlign w:val="bottom"/>
          </w:tcPr>
          <w:p>
            <w:pPr>
              <w:spacing w:after="0"/>
              <w:rPr>
                <w:sz w:val="12"/>
                <w:szCs w:val="12"/>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1,056,672</w:t>
            </w:r>
          </w:p>
        </w:tc>
        <w:tc>
          <w:tcPr>
            <w:tcW w:w="20" w:type="dxa"/>
            <w:vAlign w:val="bottom"/>
          </w:tcPr>
          <w:p>
            <w:pPr>
              <w:spacing w:after="0"/>
              <w:rPr>
                <w:sz w:val="12"/>
                <w:szCs w:val="12"/>
                <w:color w:val="auto"/>
              </w:rPr>
            </w:pPr>
          </w:p>
        </w:tc>
        <w:tc>
          <w:tcPr>
            <w:tcW w:w="200" w:type="dxa"/>
            <w:vAlign w:val="bottom"/>
            <w:gridSpan w:val="3"/>
          </w:tcPr>
          <w:p>
            <w:pPr>
              <w:jc w:val="right"/>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984,954</w:t>
            </w:r>
          </w:p>
        </w:tc>
        <w:tc>
          <w:tcPr>
            <w:tcW w:w="20" w:type="dxa"/>
            <w:vAlign w:val="bottom"/>
          </w:tcPr>
          <w:p>
            <w:pPr>
              <w:spacing w:after="0"/>
              <w:rPr>
                <w:sz w:val="12"/>
                <w:szCs w:val="12"/>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914,498</w:t>
            </w:r>
          </w:p>
        </w:tc>
        <w:tc>
          <w:tcPr>
            <w:tcW w:w="20" w:type="dxa"/>
            <w:vAlign w:val="bottom"/>
          </w:tcPr>
          <w:p>
            <w:pPr>
              <w:spacing w:after="0"/>
              <w:rPr>
                <w:sz w:val="12"/>
                <w:szCs w:val="12"/>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882,783</w:t>
            </w:r>
          </w:p>
        </w:tc>
        <w:tc>
          <w:tcPr>
            <w:tcW w:w="20" w:type="dxa"/>
            <w:vAlign w:val="bottom"/>
          </w:tcPr>
          <w:p>
            <w:pPr>
              <w:spacing w:after="0"/>
              <w:rPr>
                <w:sz w:val="12"/>
                <w:szCs w:val="12"/>
                <w:color w:val="auto"/>
              </w:rPr>
            </w:pPr>
          </w:p>
        </w:tc>
      </w:tr>
      <w:tr>
        <w:trPr>
          <w:trHeight w:val="149"/>
        </w:trPr>
        <w:tc>
          <w:tcPr>
            <w:tcW w:w="3240" w:type="dxa"/>
            <w:vAlign w:val="bottom"/>
            <w:shd w:val="clear" w:color="auto" w:fill="CCEEFF"/>
          </w:tcPr>
          <w:p>
            <w:pPr>
              <w:ind w:left="100"/>
              <w:spacing w:after="0"/>
              <w:rPr>
                <w:sz w:val="20"/>
                <w:szCs w:val="20"/>
                <w:color w:val="auto"/>
              </w:rPr>
            </w:pPr>
            <w:r>
              <w:rPr>
                <w:rFonts w:ascii="Arial" w:cs="Arial" w:eastAsia="Arial" w:hAnsi="Arial"/>
                <w:sz w:val="11"/>
                <w:szCs w:val="11"/>
                <w:color w:val="auto"/>
              </w:rPr>
              <w:t>Total deposits</w:t>
            </w:r>
          </w:p>
        </w:tc>
        <w:tc>
          <w:tcPr>
            <w:tcW w:w="16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1,738,720</w:t>
            </w:r>
          </w:p>
        </w:tc>
        <w:tc>
          <w:tcPr>
            <w:tcW w:w="20" w:type="dxa"/>
            <w:vAlign w:val="bottom"/>
            <w:shd w:val="clear" w:color="auto" w:fill="CCEEFF"/>
          </w:tcPr>
          <w:p>
            <w:pPr>
              <w:spacing w:after="0"/>
              <w:rPr>
                <w:sz w:val="12"/>
                <w:szCs w:val="12"/>
                <w:color w:val="auto"/>
              </w:rPr>
            </w:pPr>
          </w:p>
        </w:tc>
        <w:tc>
          <w:tcPr>
            <w:tcW w:w="220" w:type="dxa"/>
            <w:vAlign w:val="bottom"/>
            <w:gridSpan w:val="3"/>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1,713,294</w:t>
            </w:r>
          </w:p>
        </w:tc>
        <w:tc>
          <w:tcPr>
            <w:tcW w:w="20" w:type="dxa"/>
            <w:vAlign w:val="bottom"/>
            <w:shd w:val="clear" w:color="auto" w:fill="CCEEFF"/>
          </w:tcPr>
          <w:p>
            <w:pPr>
              <w:spacing w:after="0"/>
              <w:rPr>
                <w:sz w:val="12"/>
                <w:szCs w:val="12"/>
                <w:color w:val="auto"/>
              </w:rPr>
            </w:pPr>
          </w:p>
        </w:tc>
        <w:tc>
          <w:tcPr>
            <w:tcW w:w="200" w:type="dxa"/>
            <w:vAlign w:val="bottom"/>
            <w:gridSpan w:val="3"/>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1,590,379</w:t>
            </w:r>
          </w:p>
        </w:tc>
        <w:tc>
          <w:tcPr>
            <w:tcW w:w="20" w:type="dxa"/>
            <w:vAlign w:val="bottom"/>
            <w:shd w:val="clear" w:color="auto" w:fill="CCEEFF"/>
          </w:tcPr>
          <w:p>
            <w:pPr>
              <w:spacing w:after="0"/>
              <w:rPr>
                <w:sz w:val="12"/>
                <w:szCs w:val="12"/>
                <w:color w:val="auto"/>
              </w:rPr>
            </w:pPr>
          </w:p>
        </w:tc>
        <w:tc>
          <w:tcPr>
            <w:tcW w:w="220" w:type="dxa"/>
            <w:vAlign w:val="bottom"/>
            <w:gridSpan w:val="3"/>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1,484,589</w:t>
            </w:r>
          </w:p>
        </w:tc>
        <w:tc>
          <w:tcPr>
            <w:tcW w:w="20" w:type="dxa"/>
            <w:vAlign w:val="bottom"/>
            <w:shd w:val="clear" w:color="auto" w:fill="CCEEFF"/>
          </w:tcPr>
          <w:p>
            <w:pPr>
              <w:spacing w:after="0"/>
              <w:rPr>
                <w:sz w:val="12"/>
                <w:szCs w:val="12"/>
                <w:color w:val="auto"/>
              </w:rPr>
            </w:pPr>
          </w:p>
        </w:tc>
        <w:tc>
          <w:tcPr>
            <w:tcW w:w="220" w:type="dxa"/>
            <w:vAlign w:val="bottom"/>
            <w:gridSpan w:val="3"/>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1,438,776</w:t>
            </w:r>
          </w:p>
        </w:tc>
        <w:tc>
          <w:tcPr>
            <w:tcW w:w="20" w:type="dxa"/>
            <w:vAlign w:val="bottom"/>
            <w:shd w:val="clear" w:color="auto" w:fill="CCEEFF"/>
          </w:tcPr>
          <w:p>
            <w:pPr>
              <w:spacing w:after="0"/>
              <w:rPr>
                <w:sz w:val="12"/>
                <w:szCs w:val="12"/>
                <w:color w:val="auto"/>
              </w:rPr>
            </w:pPr>
          </w:p>
        </w:tc>
      </w:tr>
      <w:tr>
        <w:trPr>
          <w:trHeight w:val="149"/>
        </w:trPr>
        <w:tc>
          <w:tcPr>
            <w:tcW w:w="3240" w:type="dxa"/>
            <w:vAlign w:val="bottom"/>
          </w:tcPr>
          <w:p>
            <w:pPr>
              <w:ind w:left="100"/>
              <w:spacing w:after="0"/>
              <w:rPr>
                <w:sz w:val="20"/>
                <w:szCs w:val="20"/>
                <w:color w:val="auto"/>
              </w:rPr>
            </w:pPr>
            <w:r>
              <w:rPr>
                <w:rFonts w:ascii="Arial" w:cs="Arial" w:eastAsia="Arial" w:hAnsi="Arial"/>
                <w:sz w:val="11"/>
                <w:szCs w:val="11"/>
                <w:color w:val="auto"/>
              </w:rPr>
              <w:t>Federal Home Loan Bank advances and other borrowings</w:t>
            </w:r>
          </w:p>
        </w:tc>
        <w:tc>
          <w:tcPr>
            <w:tcW w:w="16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66,000</w:t>
            </w:r>
          </w:p>
        </w:tc>
        <w:tc>
          <w:tcPr>
            <w:tcW w:w="20" w:type="dxa"/>
            <w:vAlign w:val="bottom"/>
          </w:tcPr>
          <w:p>
            <w:pPr>
              <w:spacing w:after="0"/>
              <w:rPr>
                <w:sz w:val="12"/>
                <w:szCs w:val="12"/>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36,000</w:t>
            </w:r>
          </w:p>
        </w:tc>
        <w:tc>
          <w:tcPr>
            <w:tcW w:w="20" w:type="dxa"/>
            <w:vAlign w:val="bottom"/>
          </w:tcPr>
          <w:p>
            <w:pPr>
              <w:spacing w:after="0"/>
              <w:rPr>
                <w:sz w:val="12"/>
                <w:szCs w:val="12"/>
                <w:color w:val="auto"/>
              </w:rPr>
            </w:pPr>
          </w:p>
        </w:tc>
        <w:tc>
          <w:tcPr>
            <w:tcW w:w="200" w:type="dxa"/>
            <w:vAlign w:val="bottom"/>
            <w:gridSpan w:val="3"/>
          </w:tcPr>
          <w:p>
            <w:pPr>
              <w:jc w:val="right"/>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36,000</w:t>
            </w:r>
          </w:p>
        </w:tc>
        <w:tc>
          <w:tcPr>
            <w:tcW w:w="20" w:type="dxa"/>
            <w:vAlign w:val="bottom"/>
          </w:tcPr>
          <w:p>
            <w:pPr>
              <w:spacing w:after="0"/>
              <w:rPr>
                <w:sz w:val="12"/>
                <w:szCs w:val="12"/>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36,000</w:t>
            </w:r>
          </w:p>
        </w:tc>
        <w:tc>
          <w:tcPr>
            <w:tcW w:w="20" w:type="dxa"/>
            <w:vAlign w:val="bottom"/>
          </w:tcPr>
          <w:p>
            <w:pPr>
              <w:spacing w:after="0"/>
              <w:rPr>
                <w:sz w:val="12"/>
                <w:szCs w:val="12"/>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36,000</w:t>
            </w:r>
          </w:p>
        </w:tc>
        <w:tc>
          <w:tcPr>
            <w:tcW w:w="20" w:type="dxa"/>
            <w:vAlign w:val="bottom"/>
          </w:tcPr>
          <w:p>
            <w:pPr>
              <w:spacing w:after="0"/>
              <w:rPr>
                <w:sz w:val="12"/>
                <w:szCs w:val="12"/>
                <w:color w:val="auto"/>
              </w:rPr>
            </w:pPr>
          </w:p>
        </w:tc>
      </w:tr>
      <w:tr>
        <w:trPr>
          <w:trHeight w:val="149"/>
        </w:trPr>
        <w:tc>
          <w:tcPr>
            <w:tcW w:w="3240" w:type="dxa"/>
            <w:vAlign w:val="bottom"/>
            <w:shd w:val="clear" w:color="auto" w:fill="CCEEFF"/>
          </w:tcPr>
          <w:p>
            <w:pPr>
              <w:ind w:left="100"/>
              <w:spacing w:after="0"/>
              <w:rPr>
                <w:sz w:val="20"/>
                <w:szCs w:val="20"/>
                <w:color w:val="auto"/>
              </w:rPr>
            </w:pPr>
            <w:r>
              <w:rPr>
                <w:rFonts w:ascii="Arial" w:cs="Arial" w:eastAsia="Arial" w:hAnsi="Arial"/>
                <w:sz w:val="11"/>
                <w:szCs w:val="11"/>
                <w:color w:val="auto"/>
              </w:rPr>
              <w:t>Total liabilities</w:t>
            </w:r>
          </w:p>
        </w:tc>
        <w:tc>
          <w:tcPr>
            <w:tcW w:w="16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1,836,018</w:t>
            </w:r>
          </w:p>
        </w:tc>
        <w:tc>
          <w:tcPr>
            <w:tcW w:w="20" w:type="dxa"/>
            <w:vAlign w:val="bottom"/>
            <w:shd w:val="clear" w:color="auto" w:fill="CCEEFF"/>
          </w:tcPr>
          <w:p>
            <w:pPr>
              <w:spacing w:after="0"/>
              <w:rPr>
                <w:sz w:val="12"/>
                <w:szCs w:val="12"/>
                <w:color w:val="auto"/>
              </w:rPr>
            </w:pPr>
          </w:p>
        </w:tc>
        <w:tc>
          <w:tcPr>
            <w:tcW w:w="220" w:type="dxa"/>
            <w:vAlign w:val="bottom"/>
            <w:gridSpan w:val="3"/>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1,775,213</w:t>
            </w:r>
          </w:p>
        </w:tc>
        <w:tc>
          <w:tcPr>
            <w:tcW w:w="20" w:type="dxa"/>
            <w:vAlign w:val="bottom"/>
            <w:shd w:val="clear" w:color="auto" w:fill="CCEEFF"/>
          </w:tcPr>
          <w:p>
            <w:pPr>
              <w:spacing w:after="0"/>
              <w:rPr>
                <w:sz w:val="12"/>
                <w:szCs w:val="12"/>
                <w:color w:val="auto"/>
              </w:rPr>
            </w:pPr>
          </w:p>
        </w:tc>
        <w:tc>
          <w:tcPr>
            <w:tcW w:w="200" w:type="dxa"/>
            <w:vAlign w:val="bottom"/>
            <w:gridSpan w:val="3"/>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1,650,042</w:t>
            </w:r>
          </w:p>
        </w:tc>
        <w:tc>
          <w:tcPr>
            <w:tcW w:w="20" w:type="dxa"/>
            <w:vAlign w:val="bottom"/>
            <w:shd w:val="clear" w:color="auto" w:fill="CCEEFF"/>
          </w:tcPr>
          <w:p>
            <w:pPr>
              <w:spacing w:after="0"/>
              <w:rPr>
                <w:sz w:val="12"/>
                <w:szCs w:val="12"/>
                <w:color w:val="auto"/>
              </w:rPr>
            </w:pPr>
          </w:p>
        </w:tc>
        <w:tc>
          <w:tcPr>
            <w:tcW w:w="220" w:type="dxa"/>
            <w:vAlign w:val="bottom"/>
            <w:gridSpan w:val="3"/>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1,553,093</w:t>
            </w:r>
          </w:p>
        </w:tc>
        <w:tc>
          <w:tcPr>
            <w:tcW w:w="20" w:type="dxa"/>
            <w:vAlign w:val="bottom"/>
            <w:shd w:val="clear" w:color="auto" w:fill="CCEEFF"/>
          </w:tcPr>
          <w:p>
            <w:pPr>
              <w:spacing w:after="0"/>
              <w:rPr>
                <w:sz w:val="12"/>
                <w:szCs w:val="12"/>
                <w:color w:val="auto"/>
              </w:rPr>
            </w:pPr>
          </w:p>
        </w:tc>
        <w:tc>
          <w:tcPr>
            <w:tcW w:w="220" w:type="dxa"/>
            <w:vAlign w:val="bottom"/>
            <w:gridSpan w:val="3"/>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1,500,703</w:t>
            </w:r>
          </w:p>
        </w:tc>
        <w:tc>
          <w:tcPr>
            <w:tcW w:w="20" w:type="dxa"/>
            <w:vAlign w:val="bottom"/>
            <w:shd w:val="clear" w:color="auto" w:fill="CCEEFF"/>
          </w:tcPr>
          <w:p>
            <w:pPr>
              <w:spacing w:after="0"/>
              <w:rPr>
                <w:sz w:val="12"/>
                <w:szCs w:val="12"/>
                <w:color w:val="auto"/>
              </w:rPr>
            </w:pPr>
          </w:p>
        </w:tc>
      </w:tr>
      <w:tr>
        <w:trPr>
          <w:trHeight w:val="149"/>
        </w:trPr>
        <w:tc>
          <w:tcPr>
            <w:tcW w:w="3240" w:type="dxa"/>
            <w:vAlign w:val="bottom"/>
          </w:tcPr>
          <w:p>
            <w:pPr>
              <w:ind w:left="100"/>
              <w:spacing w:after="0"/>
              <w:rPr>
                <w:sz w:val="20"/>
                <w:szCs w:val="20"/>
                <w:color w:val="auto"/>
              </w:rPr>
            </w:pPr>
            <w:r>
              <w:rPr>
                <w:rFonts w:ascii="Arial" w:cs="Arial" w:eastAsia="Arial" w:hAnsi="Arial"/>
                <w:sz w:val="11"/>
                <w:szCs w:val="11"/>
                <w:color w:val="auto"/>
              </w:rPr>
              <w:t>Total stockholders' equity</w:t>
            </w:r>
          </w:p>
        </w:tc>
        <w:tc>
          <w:tcPr>
            <w:tcW w:w="16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180,068</w:t>
            </w:r>
          </w:p>
        </w:tc>
        <w:tc>
          <w:tcPr>
            <w:tcW w:w="20" w:type="dxa"/>
            <w:vAlign w:val="bottom"/>
          </w:tcPr>
          <w:p>
            <w:pPr>
              <w:spacing w:after="0"/>
              <w:rPr>
                <w:sz w:val="12"/>
                <w:szCs w:val="12"/>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192,039</w:t>
            </w:r>
          </w:p>
        </w:tc>
        <w:tc>
          <w:tcPr>
            <w:tcW w:w="20" w:type="dxa"/>
            <w:vAlign w:val="bottom"/>
          </w:tcPr>
          <w:p>
            <w:pPr>
              <w:spacing w:after="0"/>
              <w:rPr>
                <w:sz w:val="12"/>
                <w:szCs w:val="12"/>
                <w:color w:val="auto"/>
              </w:rPr>
            </w:pPr>
          </w:p>
        </w:tc>
        <w:tc>
          <w:tcPr>
            <w:tcW w:w="200" w:type="dxa"/>
            <w:vAlign w:val="bottom"/>
            <w:gridSpan w:val="3"/>
          </w:tcPr>
          <w:p>
            <w:pPr>
              <w:jc w:val="right"/>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203,897</w:t>
            </w:r>
          </w:p>
        </w:tc>
        <w:tc>
          <w:tcPr>
            <w:tcW w:w="20" w:type="dxa"/>
            <w:vAlign w:val="bottom"/>
          </w:tcPr>
          <w:p>
            <w:pPr>
              <w:spacing w:after="0"/>
              <w:rPr>
                <w:sz w:val="12"/>
                <w:szCs w:val="12"/>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201,918</w:t>
            </w:r>
          </w:p>
        </w:tc>
        <w:tc>
          <w:tcPr>
            <w:tcW w:w="20" w:type="dxa"/>
            <w:vAlign w:val="bottom"/>
          </w:tcPr>
          <w:p>
            <w:pPr>
              <w:spacing w:after="0"/>
              <w:rPr>
                <w:sz w:val="12"/>
                <w:szCs w:val="12"/>
                <w:color w:val="auto"/>
              </w:rPr>
            </w:pPr>
          </w:p>
        </w:tc>
        <w:tc>
          <w:tcPr>
            <w:tcW w:w="220" w:type="dxa"/>
            <w:vAlign w:val="bottom"/>
            <w:gridSpan w:val="3"/>
          </w:tcPr>
          <w:p>
            <w:pPr>
              <w:jc w:val="right"/>
              <w:ind w:right="2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166,302</w:t>
            </w:r>
          </w:p>
        </w:tc>
        <w:tc>
          <w:tcPr>
            <w:tcW w:w="20" w:type="dxa"/>
            <w:vAlign w:val="bottom"/>
          </w:tcPr>
          <w:p>
            <w:pPr>
              <w:spacing w:after="0"/>
              <w:rPr>
                <w:sz w:val="12"/>
                <w:szCs w:val="12"/>
                <w:color w:val="auto"/>
              </w:rPr>
            </w:pPr>
          </w:p>
        </w:tc>
      </w:tr>
      <w:tr>
        <w:trPr>
          <w:trHeight w:val="149"/>
        </w:trPr>
        <w:tc>
          <w:tcPr>
            <w:tcW w:w="3240" w:type="dxa"/>
            <w:vAlign w:val="bottom"/>
            <w:shd w:val="clear" w:color="auto" w:fill="CCEEFF"/>
          </w:tcPr>
          <w:p>
            <w:pPr>
              <w:spacing w:after="0" w:line="149" w:lineRule="exact"/>
              <w:rPr>
                <w:sz w:val="20"/>
                <w:szCs w:val="20"/>
                <w:color w:val="auto"/>
              </w:rPr>
            </w:pPr>
            <w:r>
              <w:rPr>
                <w:rFonts w:ascii="Arial" w:cs="Arial" w:eastAsia="Arial" w:hAnsi="Arial"/>
                <w:sz w:val="11"/>
                <w:szCs w:val="11"/>
                <w:b w:val="1"/>
                <w:bCs w:val="1"/>
                <w:color w:val="auto"/>
              </w:rPr>
              <w:t>Capital ratios:</w:t>
            </w:r>
            <w:r>
              <w:rPr>
                <w:rFonts w:ascii="Arial" w:cs="Arial" w:eastAsia="Arial" w:hAnsi="Arial"/>
                <w:sz w:val="14"/>
                <w:szCs w:val="14"/>
                <w:color w:val="auto"/>
                <w:vertAlign w:val="superscript"/>
              </w:rPr>
              <w:t>(4)</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r>
      <w:tr>
        <w:trPr>
          <w:trHeight w:val="149"/>
        </w:trPr>
        <w:tc>
          <w:tcPr>
            <w:tcW w:w="3240" w:type="dxa"/>
            <w:vAlign w:val="bottom"/>
          </w:tcPr>
          <w:p>
            <w:pPr>
              <w:ind w:left="100"/>
              <w:spacing w:after="0"/>
              <w:rPr>
                <w:sz w:val="20"/>
                <w:szCs w:val="20"/>
                <w:color w:val="auto"/>
              </w:rPr>
            </w:pPr>
            <w:r>
              <w:rPr>
                <w:rFonts w:ascii="Arial" w:cs="Arial" w:eastAsia="Arial" w:hAnsi="Arial"/>
                <w:sz w:val="11"/>
                <w:szCs w:val="11"/>
                <w:color w:val="auto"/>
              </w:rPr>
              <w:t>Leverage ratio</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9.43%</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9.47%</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9.55%</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9.69%</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7.91%</w:t>
            </w:r>
          </w:p>
        </w:tc>
        <w:tc>
          <w:tcPr>
            <w:tcW w:w="20" w:type="dxa"/>
            <w:vAlign w:val="bottom"/>
          </w:tcPr>
          <w:p>
            <w:pPr>
              <w:spacing w:after="0"/>
              <w:rPr>
                <w:sz w:val="12"/>
                <w:szCs w:val="12"/>
                <w:color w:val="auto"/>
              </w:rPr>
            </w:pPr>
          </w:p>
        </w:tc>
      </w:tr>
      <w:tr>
        <w:trPr>
          <w:trHeight w:val="149"/>
        </w:trPr>
        <w:tc>
          <w:tcPr>
            <w:tcW w:w="3240" w:type="dxa"/>
            <w:vAlign w:val="bottom"/>
            <w:shd w:val="clear" w:color="auto" w:fill="CCEEFF"/>
          </w:tcPr>
          <w:p>
            <w:pPr>
              <w:ind w:left="100"/>
              <w:spacing w:after="0"/>
              <w:rPr>
                <w:sz w:val="20"/>
                <w:szCs w:val="20"/>
                <w:color w:val="auto"/>
              </w:rPr>
            </w:pPr>
            <w:r>
              <w:rPr>
                <w:rFonts w:ascii="Arial" w:cs="Arial" w:eastAsia="Arial" w:hAnsi="Arial"/>
                <w:sz w:val="11"/>
                <w:szCs w:val="11"/>
                <w:color w:val="auto"/>
              </w:rPr>
              <w:t>Common equity tier 1 capital</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12.65%</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13.35%</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13.70%</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13.85%</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9.24%</w:t>
            </w:r>
          </w:p>
        </w:tc>
        <w:tc>
          <w:tcPr>
            <w:tcW w:w="20" w:type="dxa"/>
            <w:vAlign w:val="bottom"/>
            <w:shd w:val="clear" w:color="auto" w:fill="CCEEFF"/>
          </w:tcPr>
          <w:p>
            <w:pPr>
              <w:spacing w:after="0"/>
              <w:rPr>
                <w:sz w:val="12"/>
                <w:szCs w:val="12"/>
                <w:color w:val="auto"/>
              </w:rPr>
            </w:pPr>
          </w:p>
        </w:tc>
      </w:tr>
      <w:tr>
        <w:trPr>
          <w:trHeight w:val="149"/>
        </w:trPr>
        <w:tc>
          <w:tcPr>
            <w:tcW w:w="3240" w:type="dxa"/>
            <w:vAlign w:val="bottom"/>
          </w:tcPr>
          <w:p>
            <w:pPr>
              <w:ind w:left="100"/>
              <w:spacing w:after="0"/>
              <w:rPr>
                <w:sz w:val="20"/>
                <w:szCs w:val="20"/>
                <w:color w:val="auto"/>
              </w:rPr>
            </w:pPr>
            <w:r>
              <w:rPr>
                <w:rFonts w:ascii="Arial" w:cs="Arial" w:eastAsia="Arial" w:hAnsi="Arial"/>
                <w:sz w:val="11"/>
                <w:szCs w:val="11"/>
                <w:color w:val="auto"/>
              </w:rPr>
              <w:t>Tier 1 risk-based capital</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12.65%</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13.35%</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13.70%</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13.85%</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11.44%</w:t>
            </w:r>
          </w:p>
        </w:tc>
        <w:tc>
          <w:tcPr>
            <w:tcW w:w="20" w:type="dxa"/>
            <w:vAlign w:val="bottom"/>
          </w:tcPr>
          <w:p>
            <w:pPr>
              <w:spacing w:after="0"/>
              <w:rPr>
                <w:sz w:val="12"/>
                <w:szCs w:val="12"/>
                <w:color w:val="auto"/>
              </w:rPr>
            </w:pPr>
          </w:p>
        </w:tc>
      </w:tr>
      <w:tr>
        <w:trPr>
          <w:trHeight w:val="149"/>
        </w:trPr>
        <w:tc>
          <w:tcPr>
            <w:tcW w:w="3240" w:type="dxa"/>
            <w:vAlign w:val="bottom"/>
            <w:shd w:val="clear" w:color="auto" w:fill="CCEEFF"/>
          </w:tcPr>
          <w:p>
            <w:pPr>
              <w:ind w:left="100"/>
              <w:spacing w:after="0"/>
              <w:rPr>
                <w:sz w:val="20"/>
                <w:szCs w:val="20"/>
                <w:color w:val="auto"/>
              </w:rPr>
            </w:pPr>
            <w:r>
              <w:rPr>
                <w:rFonts w:ascii="Arial" w:cs="Arial" w:eastAsia="Arial" w:hAnsi="Arial"/>
                <w:sz w:val="11"/>
                <w:szCs w:val="11"/>
                <w:color w:val="auto"/>
              </w:rPr>
              <w:t>Total risk-based capital</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13.74%</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14.49%</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14.92%</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15.10%</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12.69%</w:t>
            </w:r>
          </w:p>
        </w:tc>
        <w:tc>
          <w:tcPr>
            <w:tcW w:w="20" w:type="dxa"/>
            <w:vAlign w:val="bottom"/>
            <w:shd w:val="clear" w:color="auto" w:fill="CCEEFF"/>
          </w:tcPr>
          <w:p>
            <w:pPr>
              <w:spacing w:after="0"/>
              <w:rPr>
                <w:sz w:val="12"/>
                <w:szCs w:val="12"/>
                <w:color w:val="auto"/>
              </w:rPr>
            </w:pPr>
          </w:p>
        </w:tc>
      </w:tr>
    </w:tbl>
    <w:p>
      <w:pPr>
        <w:spacing w:after="0" w:line="112" w:lineRule="exact"/>
        <w:rPr>
          <w:sz w:val="20"/>
          <w:szCs w:val="20"/>
          <w:color w:val="auto"/>
        </w:rPr>
      </w:pPr>
    </w:p>
    <w:p>
      <w:pPr>
        <w:ind w:left="660" w:right="779" w:firstLine="3"/>
        <w:spacing w:after="0" w:line="256" w:lineRule="auto"/>
        <w:tabs>
          <w:tab w:leader="none" w:pos="851" w:val="left"/>
        </w:tabs>
        <w:numPr>
          <w:ilvl w:val="0"/>
          <w:numId w:val="10"/>
        </w:numPr>
        <w:rPr>
          <w:rFonts w:ascii="Arial" w:cs="Arial" w:eastAsia="Arial" w:hAnsi="Arial"/>
          <w:sz w:val="11"/>
          <w:szCs w:val="11"/>
          <w:color w:val="auto"/>
        </w:rPr>
      </w:pPr>
      <w:r>
        <w:rPr>
          <w:rFonts w:ascii="Arial" w:cs="Arial" w:eastAsia="Arial" w:hAnsi="Arial"/>
          <w:sz w:val="11"/>
          <w:szCs w:val="11"/>
          <w:color w:val="auto"/>
        </w:rPr>
        <w:t>The allocation of net income (loss) available to common stockholders was based on the weighted average shares outstanding per common share class to the total weighted average shares outstanding during each period. The income (loss) allocation is calculated using the weighted average shares outstanding of Class B common stock on an as-converted basis (20% per share equivalent to Class A common stock).</w:t>
      </w:r>
    </w:p>
    <w:p>
      <w:pPr>
        <w:ind w:left="860" w:hanging="197"/>
        <w:spacing w:after="0"/>
        <w:tabs>
          <w:tab w:leader="none" w:pos="860" w:val="left"/>
        </w:tabs>
        <w:numPr>
          <w:ilvl w:val="0"/>
          <w:numId w:val="10"/>
        </w:numPr>
        <w:rPr>
          <w:rFonts w:ascii="Arial" w:cs="Arial" w:eastAsia="Arial" w:hAnsi="Arial"/>
          <w:sz w:val="11"/>
          <w:szCs w:val="11"/>
          <w:color w:val="auto"/>
        </w:rPr>
      </w:pPr>
      <w:r>
        <w:rPr>
          <w:rFonts w:ascii="Arial" w:cs="Arial" w:eastAsia="Arial" w:hAnsi="Arial"/>
          <w:sz w:val="11"/>
          <w:szCs w:val="11"/>
          <w:color w:val="auto"/>
        </w:rPr>
        <w:t>The quarter ended June 30, 2021 was adjusted for the 1 for 5 reverse stock split.</w:t>
      </w:r>
    </w:p>
    <w:p>
      <w:pPr>
        <w:spacing w:after="0" w:line="23" w:lineRule="exact"/>
        <w:rPr>
          <w:rFonts w:ascii="Arial" w:cs="Arial" w:eastAsia="Arial" w:hAnsi="Arial"/>
          <w:sz w:val="11"/>
          <w:szCs w:val="11"/>
          <w:color w:val="auto"/>
        </w:rPr>
      </w:pPr>
    </w:p>
    <w:p>
      <w:pPr>
        <w:ind w:left="860" w:hanging="197"/>
        <w:spacing w:after="0"/>
        <w:tabs>
          <w:tab w:leader="none" w:pos="860" w:val="left"/>
        </w:tabs>
        <w:numPr>
          <w:ilvl w:val="0"/>
          <w:numId w:val="10"/>
        </w:numPr>
        <w:rPr>
          <w:rFonts w:ascii="Arial" w:cs="Arial" w:eastAsia="Arial" w:hAnsi="Arial"/>
          <w:sz w:val="11"/>
          <w:szCs w:val="11"/>
          <w:color w:val="auto"/>
        </w:rPr>
      </w:pPr>
      <w:r>
        <w:rPr>
          <w:rFonts w:ascii="Arial" w:cs="Arial" w:eastAsia="Arial" w:hAnsi="Arial"/>
          <w:sz w:val="11"/>
          <w:szCs w:val="11"/>
          <w:color w:val="auto"/>
        </w:rPr>
        <w:t>Loan amounts include deferred fees/costs.</w:t>
      </w:r>
    </w:p>
    <w:p>
      <w:pPr>
        <w:spacing w:after="0" w:line="33" w:lineRule="exact"/>
        <w:rPr>
          <w:rFonts w:ascii="Arial" w:cs="Arial" w:eastAsia="Arial" w:hAnsi="Arial"/>
          <w:sz w:val="11"/>
          <w:szCs w:val="11"/>
          <w:color w:val="auto"/>
        </w:rPr>
      </w:pPr>
    </w:p>
    <w:p>
      <w:pPr>
        <w:ind w:left="860" w:hanging="197"/>
        <w:spacing w:after="0"/>
        <w:tabs>
          <w:tab w:leader="none" w:pos="860" w:val="left"/>
        </w:tabs>
        <w:numPr>
          <w:ilvl w:val="0"/>
          <w:numId w:val="10"/>
        </w:numPr>
        <w:rPr>
          <w:rFonts w:ascii="Arial" w:cs="Arial" w:eastAsia="Arial" w:hAnsi="Arial"/>
          <w:sz w:val="10"/>
          <w:szCs w:val="10"/>
          <w:color w:val="auto"/>
        </w:rPr>
      </w:pPr>
      <w:r>
        <w:rPr>
          <w:rFonts w:ascii="Arial" w:cs="Arial" w:eastAsia="Arial" w:hAnsi="Arial"/>
          <w:sz w:val="10"/>
          <w:szCs w:val="10"/>
          <w:color w:val="auto"/>
        </w:rPr>
        <w:t>The Company was formed during the quarter ended December 31, 2021. As such, the capital ratios for Q2 2022, Q1 2022 and Q4 2021 are for the Company and for</w:t>
      </w:r>
    </w:p>
    <w:p>
      <w:pPr>
        <w:spacing w:after="0" w:line="23" w:lineRule="exact"/>
        <w:rPr>
          <w:rFonts w:ascii="Arial" w:cs="Arial" w:eastAsia="Arial" w:hAnsi="Arial"/>
          <w:sz w:val="10"/>
          <w:szCs w:val="10"/>
          <w:color w:val="auto"/>
        </w:rPr>
      </w:pPr>
    </w:p>
    <w:p>
      <w:pPr>
        <w:ind w:left="660"/>
        <w:spacing w:after="0"/>
        <w:rPr>
          <w:rFonts w:ascii="Arial" w:cs="Arial" w:eastAsia="Arial" w:hAnsi="Arial"/>
          <w:sz w:val="10"/>
          <w:szCs w:val="10"/>
          <w:color w:val="auto"/>
        </w:rPr>
      </w:pPr>
      <w:r>
        <w:rPr>
          <w:rFonts w:ascii="Arial" w:cs="Arial" w:eastAsia="Arial" w:hAnsi="Arial"/>
          <w:sz w:val="11"/>
          <w:szCs w:val="11"/>
          <w:color w:val="auto"/>
        </w:rPr>
        <w:t>Q3 2021 and prior are for the Bank. The Company, as a small bank holding company, is not subject to regulatory capital requirements.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9019"/>
          </w:cols>
          <w:pgMar w:left="1440" w:top="762" w:right="1440" w:bottom="1440" w:gutter="0" w:footer="0" w:header="0"/>
        </w:sectPr>
      </w:pPr>
    </w:p>
    <w:bookmarkStart w:id="8" w:name="page9"/>
    <w:bookmarkEnd w:id="8"/>
    <w:p>
      <w:pPr>
        <w:jc w:val="center"/>
        <w:spacing w:after="0"/>
        <w:rPr>
          <w:sz w:val="20"/>
          <w:szCs w:val="20"/>
          <w:color w:val="auto"/>
        </w:rPr>
      </w:pPr>
      <w:r>
        <w:rPr>
          <w:rFonts w:ascii="Arial" w:cs="Arial" w:eastAsia="Arial" w:hAnsi="Arial"/>
          <w:sz w:val="11"/>
          <w:szCs w:val="11"/>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USCB FINANCIAL HOLDINGS, INC.</w:t>
      </w:r>
    </w:p>
    <w:p>
      <w:pPr>
        <w:spacing w:after="0" w:line="34" w:lineRule="exact"/>
        <w:rPr>
          <w:sz w:val="20"/>
          <w:szCs w:val="20"/>
          <w:color w:val="auto"/>
        </w:rPr>
      </w:pPr>
    </w:p>
    <w:p>
      <w:pPr>
        <w:jc w:val="center"/>
        <w:ind w:right="19"/>
        <w:spacing w:after="0"/>
        <w:rPr>
          <w:sz w:val="20"/>
          <w:szCs w:val="20"/>
          <w:color w:val="auto"/>
        </w:rPr>
      </w:pPr>
      <w:r>
        <w:rPr>
          <w:rFonts w:ascii="Arial" w:cs="Arial" w:eastAsia="Arial" w:hAnsi="Arial"/>
          <w:sz w:val="11"/>
          <w:szCs w:val="11"/>
          <w:b w:val="1"/>
          <w:bCs w:val="1"/>
          <w:color w:val="auto"/>
        </w:rPr>
        <w:t>AVERAGE BALANCES, RATIOS, AND OTHER (UNAUDITED)</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(Dollars in thousands)</w:t>
      </w:r>
    </w:p>
    <w:p>
      <w:pPr>
        <w:spacing w:after="0" w:line="181" w:lineRule="exact"/>
        <w:rPr>
          <w:sz w:val="20"/>
          <w:szCs w:val="20"/>
          <w:color w:val="auto"/>
        </w:rPr>
      </w:pPr>
    </w:p>
    <w:tbl>
      <w:tblPr>
        <w:tblLayout w:type="fixed"/>
        <w:tblInd w:w="660" w:type="dxa"/>
        <w:tblCellMar>
          <w:top w:w="0" w:type="dxa"/>
          <w:left w:w="0" w:type="dxa"/>
          <w:bottom w:w="0" w:type="dxa"/>
          <w:right w:w="0" w:type="dxa"/>
        </w:tblCellMar>
      </w:tblPr>
      <w:tr>
        <w:trPr>
          <w:trHeight w:val="135"/>
        </w:trPr>
        <w:tc>
          <w:tcPr>
            <w:tcW w:w="314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2540" w:type="dxa"/>
            <w:vAlign w:val="bottom"/>
            <w:tcBorders>
              <w:bottom w:val="single" w:sz="8" w:color="auto"/>
            </w:tcBorders>
            <w:gridSpan w:val="10"/>
          </w:tcPr>
          <w:p>
            <w:pPr>
              <w:jc w:val="right"/>
              <w:ind w:right="440"/>
              <w:spacing w:after="0"/>
              <w:rPr>
                <w:sz w:val="20"/>
                <w:szCs w:val="20"/>
                <w:color w:val="auto"/>
              </w:rPr>
            </w:pPr>
            <w:r>
              <w:rPr>
                <w:rFonts w:ascii="Arial" w:cs="Arial" w:eastAsia="Arial" w:hAnsi="Arial"/>
                <w:sz w:val="11"/>
                <w:szCs w:val="11"/>
                <w:b w:val="1"/>
                <w:bCs w:val="1"/>
                <w:color w:val="auto"/>
              </w:rPr>
              <w:t>As of or For the Three Months Ended</w:t>
            </w:r>
          </w:p>
        </w:tc>
        <w:tc>
          <w:tcPr>
            <w:tcW w:w="4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r>
      <w:tr>
        <w:trPr>
          <w:trHeight w:val="131"/>
        </w:trPr>
        <w:tc>
          <w:tcPr>
            <w:tcW w:w="314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ind w:right="123"/>
              <w:spacing w:after="0"/>
              <w:rPr>
                <w:sz w:val="20"/>
                <w:szCs w:val="20"/>
                <w:color w:val="auto"/>
              </w:rPr>
            </w:pPr>
            <w:r>
              <w:rPr>
                <w:rFonts w:ascii="Arial" w:cs="Arial" w:eastAsia="Arial" w:hAnsi="Arial"/>
                <w:sz w:val="11"/>
                <w:szCs w:val="11"/>
                <w:b w:val="1"/>
                <w:bCs w:val="1"/>
                <w:color w:val="auto"/>
                <w:w w:val="93"/>
              </w:rPr>
              <w:t>6/30/2022</w:t>
            </w:r>
          </w:p>
        </w:tc>
        <w:tc>
          <w:tcPr>
            <w:tcW w:w="20" w:type="dxa"/>
            <w:vAlign w:val="bottom"/>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123"/>
              <w:spacing w:after="0"/>
              <w:rPr>
                <w:sz w:val="20"/>
                <w:szCs w:val="20"/>
                <w:color w:val="auto"/>
              </w:rPr>
            </w:pPr>
            <w:r>
              <w:rPr>
                <w:rFonts w:ascii="Arial" w:cs="Arial" w:eastAsia="Arial" w:hAnsi="Arial"/>
                <w:sz w:val="11"/>
                <w:szCs w:val="11"/>
                <w:b w:val="1"/>
                <w:bCs w:val="1"/>
                <w:color w:val="auto"/>
                <w:w w:val="97"/>
              </w:rPr>
              <w:t>3/31/2022</w:t>
            </w:r>
          </w:p>
        </w:tc>
        <w:tc>
          <w:tcPr>
            <w:tcW w:w="20" w:type="dxa"/>
            <w:vAlign w:val="bottom"/>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103"/>
              <w:spacing w:after="0"/>
              <w:rPr>
                <w:sz w:val="20"/>
                <w:szCs w:val="20"/>
                <w:color w:val="auto"/>
              </w:rPr>
            </w:pPr>
            <w:r>
              <w:rPr>
                <w:rFonts w:ascii="Arial" w:cs="Arial" w:eastAsia="Arial" w:hAnsi="Arial"/>
                <w:sz w:val="11"/>
                <w:szCs w:val="11"/>
                <w:b w:val="1"/>
                <w:bCs w:val="1"/>
                <w:color w:val="auto"/>
                <w:w w:val="90"/>
              </w:rPr>
              <w:t>12/31/2021</w:t>
            </w:r>
          </w:p>
        </w:tc>
        <w:tc>
          <w:tcPr>
            <w:tcW w:w="20" w:type="dxa"/>
            <w:vAlign w:val="bottom"/>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143"/>
              <w:spacing w:after="0"/>
              <w:rPr>
                <w:sz w:val="20"/>
                <w:szCs w:val="20"/>
                <w:color w:val="auto"/>
              </w:rPr>
            </w:pPr>
            <w:r>
              <w:rPr>
                <w:rFonts w:ascii="Arial" w:cs="Arial" w:eastAsia="Arial" w:hAnsi="Arial"/>
                <w:sz w:val="11"/>
                <w:szCs w:val="11"/>
                <w:b w:val="1"/>
                <w:bCs w:val="1"/>
                <w:color w:val="auto"/>
                <w:w w:val="93"/>
              </w:rPr>
              <w:t>9/30/2021</w:t>
            </w:r>
          </w:p>
        </w:tc>
        <w:tc>
          <w:tcPr>
            <w:tcW w:w="20" w:type="dxa"/>
            <w:vAlign w:val="bottom"/>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143"/>
              <w:spacing w:after="0"/>
              <w:rPr>
                <w:sz w:val="20"/>
                <w:szCs w:val="20"/>
                <w:color w:val="auto"/>
              </w:rPr>
            </w:pPr>
            <w:r>
              <w:rPr>
                <w:rFonts w:ascii="Arial" w:cs="Arial" w:eastAsia="Arial" w:hAnsi="Arial"/>
                <w:sz w:val="11"/>
                <w:szCs w:val="11"/>
                <w:b w:val="1"/>
                <w:bCs w:val="1"/>
                <w:color w:val="auto"/>
                <w:w w:val="93"/>
              </w:rPr>
              <w:t>6/30/2021</w:t>
            </w:r>
          </w:p>
        </w:tc>
        <w:tc>
          <w:tcPr>
            <w:tcW w:w="20" w:type="dxa"/>
            <w:vAlign w:val="bottom"/>
          </w:tcPr>
          <w:p>
            <w:pPr>
              <w:spacing w:after="0"/>
              <w:rPr>
                <w:sz w:val="11"/>
                <w:szCs w:val="11"/>
                <w:color w:val="auto"/>
              </w:rPr>
            </w:pPr>
          </w:p>
        </w:tc>
      </w:tr>
      <w:tr>
        <w:trPr>
          <w:trHeight w:val="149"/>
        </w:trPr>
        <w:tc>
          <w:tcPr>
            <w:tcW w:w="314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Average balance sheet data:</w:t>
            </w: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r>
      <w:tr>
        <w:trPr>
          <w:trHeight w:val="160"/>
        </w:trPr>
        <w:tc>
          <w:tcPr>
            <w:tcW w:w="3140" w:type="dxa"/>
            <w:vAlign w:val="bottom"/>
          </w:tcPr>
          <w:p>
            <w:pPr>
              <w:ind w:left="100"/>
              <w:spacing w:after="0"/>
              <w:rPr>
                <w:sz w:val="20"/>
                <w:szCs w:val="20"/>
                <w:color w:val="auto"/>
              </w:rPr>
            </w:pPr>
            <w:r>
              <w:rPr>
                <w:rFonts w:ascii="Arial" w:cs="Arial" w:eastAsia="Arial" w:hAnsi="Arial"/>
                <w:sz w:val="11"/>
                <w:szCs w:val="11"/>
                <w:color w:val="auto"/>
              </w:rPr>
              <w:t>Cash and cash equivalents</w:t>
            </w:r>
          </w:p>
        </w:tc>
        <w:tc>
          <w:tcPr>
            <w:tcW w:w="200" w:type="dxa"/>
            <w:vAlign w:val="bottom"/>
          </w:tcPr>
          <w:p>
            <w:pPr>
              <w:jc w:val="right"/>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80,254</w:t>
            </w:r>
          </w:p>
        </w:tc>
        <w:tc>
          <w:tcPr>
            <w:tcW w:w="20" w:type="dxa"/>
            <w:vAlign w:val="bottom"/>
          </w:tcPr>
          <w:p>
            <w:pPr>
              <w:spacing w:after="0"/>
              <w:rPr>
                <w:sz w:val="13"/>
                <w:szCs w:val="13"/>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99,911</w:t>
            </w:r>
          </w:p>
        </w:tc>
        <w:tc>
          <w:tcPr>
            <w:tcW w:w="20" w:type="dxa"/>
            <w:vAlign w:val="bottom"/>
          </w:tcPr>
          <w:p>
            <w:pPr>
              <w:spacing w:after="0"/>
              <w:rPr>
                <w:sz w:val="13"/>
                <w:szCs w:val="13"/>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87,819</w:t>
            </w:r>
          </w:p>
        </w:tc>
        <w:tc>
          <w:tcPr>
            <w:tcW w:w="20" w:type="dxa"/>
            <w:vAlign w:val="bottom"/>
          </w:tcPr>
          <w:p>
            <w:pPr>
              <w:spacing w:after="0"/>
              <w:rPr>
                <w:sz w:val="13"/>
                <w:szCs w:val="13"/>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116,622</w:t>
            </w:r>
          </w:p>
        </w:tc>
        <w:tc>
          <w:tcPr>
            <w:tcW w:w="20" w:type="dxa"/>
            <w:vAlign w:val="bottom"/>
          </w:tcPr>
          <w:p>
            <w:pPr>
              <w:spacing w:after="0"/>
              <w:rPr>
                <w:sz w:val="13"/>
                <w:szCs w:val="13"/>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108,028</w:t>
            </w:r>
          </w:p>
        </w:tc>
        <w:tc>
          <w:tcPr>
            <w:tcW w:w="20" w:type="dxa"/>
            <w:vAlign w:val="bottom"/>
          </w:tcPr>
          <w:p>
            <w:pPr>
              <w:spacing w:after="0"/>
              <w:rPr>
                <w:sz w:val="13"/>
                <w:szCs w:val="13"/>
                <w:color w:val="auto"/>
              </w:rPr>
            </w:pPr>
          </w:p>
        </w:tc>
      </w:tr>
      <w:tr>
        <w:trPr>
          <w:trHeight w:val="160"/>
        </w:trPr>
        <w:tc>
          <w:tcPr>
            <w:tcW w:w="3140" w:type="dxa"/>
            <w:vAlign w:val="bottom"/>
            <w:shd w:val="clear" w:color="auto" w:fill="CCEEFF"/>
          </w:tcPr>
          <w:p>
            <w:pPr>
              <w:ind w:left="100"/>
              <w:spacing w:after="0"/>
              <w:rPr>
                <w:sz w:val="20"/>
                <w:szCs w:val="20"/>
                <w:color w:val="auto"/>
              </w:rPr>
            </w:pPr>
            <w:r>
              <w:rPr>
                <w:rFonts w:ascii="Arial" w:cs="Arial" w:eastAsia="Arial" w:hAnsi="Arial"/>
                <w:sz w:val="11"/>
                <w:szCs w:val="11"/>
                <w:color w:val="auto"/>
              </w:rPr>
              <w:t>Securities available-for-sale</w:t>
            </w:r>
          </w:p>
        </w:tc>
        <w:tc>
          <w:tcPr>
            <w:tcW w:w="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370,933</w:t>
            </w:r>
          </w:p>
        </w:tc>
        <w:tc>
          <w:tcPr>
            <w:tcW w:w="20" w:type="dxa"/>
            <w:vAlign w:val="bottom"/>
            <w:shd w:val="clear" w:color="auto" w:fill="CCEEFF"/>
          </w:tcPr>
          <w:p>
            <w:pPr>
              <w:spacing w:after="0"/>
              <w:rPr>
                <w:sz w:val="13"/>
                <w:szCs w:val="13"/>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385,748</w:t>
            </w:r>
          </w:p>
        </w:tc>
        <w:tc>
          <w:tcPr>
            <w:tcW w:w="20" w:type="dxa"/>
            <w:vAlign w:val="bottom"/>
            <w:shd w:val="clear" w:color="auto" w:fill="CCEEFF"/>
          </w:tcPr>
          <w:p>
            <w:pPr>
              <w:spacing w:after="0"/>
              <w:rPr>
                <w:sz w:val="13"/>
                <w:szCs w:val="13"/>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374,589</w:t>
            </w:r>
          </w:p>
        </w:tc>
        <w:tc>
          <w:tcPr>
            <w:tcW w:w="20" w:type="dxa"/>
            <w:vAlign w:val="bottom"/>
            <w:shd w:val="clear" w:color="auto" w:fill="CCEEFF"/>
          </w:tcPr>
          <w:p>
            <w:pPr>
              <w:spacing w:after="0"/>
              <w:rPr>
                <w:sz w:val="13"/>
                <w:szCs w:val="13"/>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346,407</w:t>
            </w:r>
          </w:p>
        </w:tc>
        <w:tc>
          <w:tcPr>
            <w:tcW w:w="20" w:type="dxa"/>
            <w:vAlign w:val="bottom"/>
            <w:shd w:val="clear" w:color="auto" w:fill="CCEEFF"/>
          </w:tcPr>
          <w:p>
            <w:pPr>
              <w:spacing w:after="0"/>
              <w:rPr>
                <w:sz w:val="13"/>
                <w:szCs w:val="13"/>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382,990</w:t>
            </w:r>
          </w:p>
        </w:tc>
        <w:tc>
          <w:tcPr>
            <w:tcW w:w="20" w:type="dxa"/>
            <w:vAlign w:val="bottom"/>
            <w:shd w:val="clear" w:color="auto" w:fill="CCEEFF"/>
          </w:tcPr>
          <w:p>
            <w:pPr>
              <w:spacing w:after="0"/>
              <w:rPr>
                <w:sz w:val="13"/>
                <w:szCs w:val="13"/>
                <w:color w:val="auto"/>
              </w:rPr>
            </w:pPr>
          </w:p>
        </w:tc>
      </w:tr>
      <w:tr>
        <w:trPr>
          <w:trHeight w:val="160"/>
        </w:trPr>
        <w:tc>
          <w:tcPr>
            <w:tcW w:w="3140" w:type="dxa"/>
            <w:vAlign w:val="bottom"/>
          </w:tcPr>
          <w:p>
            <w:pPr>
              <w:ind w:left="100"/>
              <w:spacing w:after="0"/>
              <w:rPr>
                <w:sz w:val="20"/>
                <w:szCs w:val="20"/>
                <w:color w:val="auto"/>
              </w:rPr>
            </w:pPr>
            <w:r>
              <w:rPr>
                <w:rFonts w:ascii="Arial" w:cs="Arial" w:eastAsia="Arial" w:hAnsi="Arial"/>
                <w:sz w:val="11"/>
                <w:szCs w:val="11"/>
                <w:color w:val="auto"/>
              </w:rPr>
              <w:t>Securities held-to-maturity</w:t>
            </w:r>
          </w:p>
        </w:tc>
        <w:tc>
          <w:tcPr>
            <w:tcW w:w="200" w:type="dxa"/>
            <w:vAlign w:val="bottom"/>
          </w:tcPr>
          <w:p>
            <w:pPr>
              <w:jc w:val="right"/>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120,130</w:t>
            </w:r>
          </w:p>
        </w:tc>
        <w:tc>
          <w:tcPr>
            <w:tcW w:w="20" w:type="dxa"/>
            <w:vAlign w:val="bottom"/>
          </w:tcPr>
          <w:p>
            <w:pPr>
              <w:spacing w:after="0"/>
              <w:rPr>
                <w:sz w:val="13"/>
                <w:szCs w:val="13"/>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122,381</w:t>
            </w:r>
          </w:p>
        </w:tc>
        <w:tc>
          <w:tcPr>
            <w:tcW w:w="20" w:type="dxa"/>
            <w:vAlign w:val="bottom"/>
          </w:tcPr>
          <w:p>
            <w:pPr>
              <w:spacing w:after="0"/>
              <w:rPr>
                <w:sz w:val="13"/>
                <w:szCs w:val="13"/>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114,108</w:t>
            </w:r>
          </w:p>
        </w:tc>
        <w:tc>
          <w:tcPr>
            <w:tcW w:w="20" w:type="dxa"/>
            <w:vAlign w:val="bottom"/>
          </w:tcPr>
          <w:p>
            <w:pPr>
              <w:spacing w:after="0"/>
              <w:rPr>
                <w:sz w:val="13"/>
                <w:szCs w:val="13"/>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51,238</w:t>
            </w:r>
          </w:p>
        </w:tc>
        <w:tc>
          <w:tcPr>
            <w:tcW w:w="20" w:type="dxa"/>
            <w:vAlign w:val="bottom"/>
          </w:tcPr>
          <w:p>
            <w:pPr>
              <w:spacing w:after="0"/>
              <w:rPr>
                <w:sz w:val="13"/>
                <w:szCs w:val="13"/>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3"/>
                <w:szCs w:val="13"/>
                <w:color w:val="auto"/>
              </w:rPr>
            </w:pPr>
          </w:p>
        </w:tc>
      </w:tr>
      <w:tr>
        <w:trPr>
          <w:trHeight w:val="160"/>
        </w:trPr>
        <w:tc>
          <w:tcPr>
            <w:tcW w:w="3140" w:type="dxa"/>
            <w:vAlign w:val="bottom"/>
            <w:shd w:val="clear" w:color="auto" w:fill="CCEEFF"/>
          </w:tcPr>
          <w:p>
            <w:pPr>
              <w:ind w:left="100"/>
              <w:spacing w:after="0"/>
              <w:rPr>
                <w:sz w:val="20"/>
                <w:szCs w:val="20"/>
                <w:color w:val="auto"/>
              </w:rPr>
            </w:pPr>
            <w:r>
              <w:rPr>
                <w:rFonts w:ascii="Arial" w:cs="Arial" w:eastAsia="Arial" w:hAnsi="Arial"/>
                <w:sz w:val="11"/>
                <w:szCs w:val="11"/>
                <w:color w:val="auto"/>
              </w:rPr>
              <w:t>Total securities</w:t>
            </w:r>
          </w:p>
        </w:tc>
        <w:tc>
          <w:tcPr>
            <w:tcW w:w="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491,063</w:t>
            </w:r>
          </w:p>
        </w:tc>
        <w:tc>
          <w:tcPr>
            <w:tcW w:w="20" w:type="dxa"/>
            <w:vAlign w:val="bottom"/>
            <w:shd w:val="clear" w:color="auto" w:fill="CCEEFF"/>
          </w:tcPr>
          <w:p>
            <w:pPr>
              <w:spacing w:after="0"/>
              <w:rPr>
                <w:sz w:val="13"/>
                <w:szCs w:val="13"/>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508,129</w:t>
            </w:r>
          </w:p>
        </w:tc>
        <w:tc>
          <w:tcPr>
            <w:tcW w:w="20" w:type="dxa"/>
            <w:vAlign w:val="bottom"/>
            <w:shd w:val="clear" w:color="auto" w:fill="CCEEFF"/>
          </w:tcPr>
          <w:p>
            <w:pPr>
              <w:spacing w:after="0"/>
              <w:rPr>
                <w:sz w:val="13"/>
                <w:szCs w:val="13"/>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488,697</w:t>
            </w:r>
          </w:p>
        </w:tc>
        <w:tc>
          <w:tcPr>
            <w:tcW w:w="20" w:type="dxa"/>
            <w:vAlign w:val="bottom"/>
            <w:shd w:val="clear" w:color="auto" w:fill="CCEEFF"/>
          </w:tcPr>
          <w:p>
            <w:pPr>
              <w:spacing w:after="0"/>
              <w:rPr>
                <w:sz w:val="13"/>
                <w:szCs w:val="13"/>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397,645</w:t>
            </w:r>
          </w:p>
        </w:tc>
        <w:tc>
          <w:tcPr>
            <w:tcW w:w="20" w:type="dxa"/>
            <w:vAlign w:val="bottom"/>
            <w:shd w:val="clear" w:color="auto" w:fill="CCEEFF"/>
          </w:tcPr>
          <w:p>
            <w:pPr>
              <w:spacing w:after="0"/>
              <w:rPr>
                <w:sz w:val="13"/>
                <w:szCs w:val="13"/>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382,990</w:t>
            </w:r>
          </w:p>
        </w:tc>
        <w:tc>
          <w:tcPr>
            <w:tcW w:w="20" w:type="dxa"/>
            <w:vAlign w:val="bottom"/>
            <w:shd w:val="clear" w:color="auto" w:fill="CCEEFF"/>
          </w:tcPr>
          <w:p>
            <w:pPr>
              <w:spacing w:after="0"/>
              <w:rPr>
                <w:sz w:val="13"/>
                <w:szCs w:val="13"/>
                <w:color w:val="auto"/>
              </w:rPr>
            </w:pPr>
          </w:p>
        </w:tc>
      </w:tr>
      <w:tr>
        <w:trPr>
          <w:trHeight w:val="149"/>
        </w:trPr>
        <w:tc>
          <w:tcPr>
            <w:tcW w:w="3140" w:type="dxa"/>
            <w:vAlign w:val="bottom"/>
          </w:tcPr>
          <w:p>
            <w:pPr>
              <w:ind w:left="100"/>
              <w:spacing w:after="0" w:line="149" w:lineRule="exact"/>
              <w:rPr>
                <w:sz w:val="20"/>
                <w:szCs w:val="20"/>
                <w:color w:val="auto"/>
              </w:rPr>
            </w:pPr>
            <w:r>
              <w:rPr>
                <w:rFonts w:ascii="Arial" w:cs="Arial" w:eastAsia="Arial" w:hAnsi="Arial"/>
                <w:sz w:val="11"/>
                <w:szCs w:val="11"/>
                <w:color w:val="auto"/>
              </w:rPr>
              <w:t>Loans held for investment</w:t>
            </w:r>
            <w:r>
              <w:rPr>
                <w:rFonts w:ascii="Arial" w:cs="Arial" w:eastAsia="Arial" w:hAnsi="Arial"/>
                <w:sz w:val="14"/>
                <w:szCs w:val="14"/>
                <w:color w:val="auto"/>
                <w:vertAlign w:val="superscript"/>
              </w:rPr>
              <w:t>(1)</w:t>
            </w:r>
          </w:p>
        </w:tc>
        <w:tc>
          <w:tcPr>
            <w:tcW w:w="200" w:type="dxa"/>
            <w:vAlign w:val="bottom"/>
          </w:tcPr>
          <w:p>
            <w:pPr>
              <w:jc w:val="right"/>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1,296,476</w:t>
            </w:r>
          </w:p>
        </w:tc>
        <w:tc>
          <w:tcPr>
            <w:tcW w:w="20" w:type="dxa"/>
            <w:vAlign w:val="bottom"/>
          </w:tcPr>
          <w:p>
            <w:pPr>
              <w:spacing w:after="0"/>
              <w:rPr>
                <w:sz w:val="12"/>
                <w:szCs w:val="12"/>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1,211,432</w:t>
            </w:r>
          </w:p>
        </w:tc>
        <w:tc>
          <w:tcPr>
            <w:tcW w:w="20" w:type="dxa"/>
            <w:vAlign w:val="bottom"/>
          </w:tcPr>
          <w:p>
            <w:pPr>
              <w:spacing w:after="0"/>
              <w:rPr>
                <w:sz w:val="12"/>
                <w:szCs w:val="12"/>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1,158,755</w:t>
            </w:r>
          </w:p>
        </w:tc>
        <w:tc>
          <w:tcPr>
            <w:tcW w:w="20" w:type="dxa"/>
            <w:vAlign w:val="bottom"/>
          </w:tcPr>
          <w:p>
            <w:pPr>
              <w:spacing w:after="0"/>
              <w:rPr>
                <w:sz w:val="12"/>
                <w:szCs w:val="12"/>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1,144,275</w:t>
            </w:r>
          </w:p>
        </w:tc>
        <w:tc>
          <w:tcPr>
            <w:tcW w:w="20" w:type="dxa"/>
            <w:vAlign w:val="bottom"/>
          </w:tcPr>
          <w:p>
            <w:pPr>
              <w:spacing w:after="0"/>
              <w:rPr>
                <w:sz w:val="12"/>
                <w:szCs w:val="12"/>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1,088,492</w:t>
            </w:r>
          </w:p>
        </w:tc>
        <w:tc>
          <w:tcPr>
            <w:tcW w:w="20" w:type="dxa"/>
            <w:vAlign w:val="bottom"/>
          </w:tcPr>
          <w:p>
            <w:pPr>
              <w:spacing w:after="0"/>
              <w:rPr>
                <w:sz w:val="12"/>
                <w:szCs w:val="12"/>
                <w:color w:val="auto"/>
              </w:rPr>
            </w:pPr>
          </w:p>
        </w:tc>
      </w:tr>
      <w:tr>
        <w:trPr>
          <w:trHeight w:val="160"/>
        </w:trPr>
        <w:tc>
          <w:tcPr>
            <w:tcW w:w="3140" w:type="dxa"/>
            <w:vAlign w:val="bottom"/>
            <w:shd w:val="clear" w:color="auto" w:fill="CCEEFF"/>
          </w:tcPr>
          <w:p>
            <w:pPr>
              <w:ind w:left="100"/>
              <w:spacing w:after="0"/>
              <w:rPr>
                <w:sz w:val="20"/>
                <w:szCs w:val="20"/>
                <w:color w:val="auto"/>
              </w:rPr>
            </w:pPr>
            <w:r>
              <w:rPr>
                <w:rFonts w:ascii="Arial" w:cs="Arial" w:eastAsia="Arial" w:hAnsi="Arial"/>
                <w:sz w:val="11"/>
                <w:szCs w:val="11"/>
                <w:color w:val="auto"/>
              </w:rPr>
              <w:t>Total assets</w:t>
            </w:r>
          </w:p>
        </w:tc>
        <w:tc>
          <w:tcPr>
            <w:tcW w:w="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1,968,381</w:t>
            </w:r>
          </w:p>
        </w:tc>
        <w:tc>
          <w:tcPr>
            <w:tcW w:w="20" w:type="dxa"/>
            <w:vAlign w:val="bottom"/>
            <w:shd w:val="clear" w:color="auto" w:fill="CCEEFF"/>
          </w:tcPr>
          <w:p>
            <w:pPr>
              <w:spacing w:after="0"/>
              <w:rPr>
                <w:sz w:val="13"/>
                <w:szCs w:val="13"/>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1,913,484</w:t>
            </w:r>
          </w:p>
        </w:tc>
        <w:tc>
          <w:tcPr>
            <w:tcW w:w="20" w:type="dxa"/>
            <w:vAlign w:val="bottom"/>
            <w:shd w:val="clear" w:color="auto" w:fill="CCEEFF"/>
          </w:tcPr>
          <w:p>
            <w:pPr>
              <w:spacing w:after="0"/>
              <w:rPr>
                <w:sz w:val="13"/>
                <w:szCs w:val="13"/>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1,828,037</w:t>
            </w:r>
          </w:p>
        </w:tc>
        <w:tc>
          <w:tcPr>
            <w:tcW w:w="20" w:type="dxa"/>
            <w:vAlign w:val="bottom"/>
            <w:shd w:val="clear" w:color="auto" w:fill="CCEEFF"/>
          </w:tcPr>
          <w:p>
            <w:pPr>
              <w:spacing w:after="0"/>
              <w:rPr>
                <w:sz w:val="13"/>
                <w:szCs w:val="13"/>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1,741,423</w:t>
            </w:r>
          </w:p>
        </w:tc>
        <w:tc>
          <w:tcPr>
            <w:tcW w:w="20" w:type="dxa"/>
            <w:vAlign w:val="bottom"/>
            <w:shd w:val="clear" w:color="auto" w:fill="CCEEFF"/>
          </w:tcPr>
          <w:p>
            <w:pPr>
              <w:spacing w:after="0"/>
              <w:rPr>
                <w:sz w:val="13"/>
                <w:szCs w:val="13"/>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1,660,060</w:t>
            </w:r>
          </w:p>
        </w:tc>
        <w:tc>
          <w:tcPr>
            <w:tcW w:w="20" w:type="dxa"/>
            <w:vAlign w:val="bottom"/>
            <w:shd w:val="clear" w:color="auto" w:fill="CCEEFF"/>
          </w:tcPr>
          <w:p>
            <w:pPr>
              <w:spacing w:after="0"/>
              <w:rPr>
                <w:sz w:val="13"/>
                <w:szCs w:val="13"/>
                <w:color w:val="auto"/>
              </w:rPr>
            </w:pPr>
          </w:p>
        </w:tc>
      </w:tr>
      <w:tr>
        <w:trPr>
          <w:trHeight w:val="160"/>
        </w:trPr>
        <w:tc>
          <w:tcPr>
            <w:tcW w:w="3140" w:type="dxa"/>
            <w:vAlign w:val="bottom"/>
          </w:tcPr>
          <w:p>
            <w:pPr>
              <w:ind w:left="100"/>
              <w:spacing w:after="0"/>
              <w:rPr>
                <w:sz w:val="20"/>
                <w:szCs w:val="20"/>
                <w:color w:val="auto"/>
              </w:rPr>
            </w:pPr>
            <w:r>
              <w:rPr>
                <w:rFonts w:ascii="Arial" w:cs="Arial" w:eastAsia="Arial" w:hAnsi="Arial"/>
                <w:sz w:val="11"/>
                <w:szCs w:val="11"/>
                <w:color w:val="auto"/>
              </w:rPr>
              <w:t>Interest-bearing deposits</w:t>
            </w:r>
          </w:p>
        </w:tc>
        <w:tc>
          <w:tcPr>
            <w:tcW w:w="200" w:type="dxa"/>
            <w:vAlign w:val="bottom"/>
          </w:tcPr>
          <w:p>
            <w:pPr>
              <w:jc w:val="right"/>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1,071,709</w:t>
            </w:r>
          </w:p>
        </w:tc>
        <w:tc>
          <w:tcPr>
            <w:tcW w:w="20" w:type="dxa"/>
            <w:vAlign w:val="bottom"/>
          </w:tcPr>
          <w:p>
            <w:pPr>
              <w:spacing w:after="0"/>
              <w:rPr>
                <w:sz w:val="13"/>
                <w:szCs w:val="13"/>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1,023,844</w:t>
            </w:r>
          </w:p>
        </w:tc>
        <w:tc>
          <w:tcPr>
            <w:tcW w:w="20" w:type="dxa"/>
            <w:vAlign w:val="bottom"/>
          </w:tcPr>
          <w:p>
            <w:pPr>
              <w:spacing w:after="0"/>
              <w:rPr>
                <w:sz w:val="13"/>
                <w:szCs w:val="13"/>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958,241</w:t>
            </w:r>
          </w:p>
        </w:tc>
        <w:tc>
          <w:tcPr>
            <w:tcW w:w="20" w:type="dxa"/>
            <w:vAlign w:val="bottom"/>
          </w:tcPr>
          <w:p>
            <w:pPr>
              <w:spacing w:after="0"/>
              <w:rPr>
                <w:sz w:val="13"/>
                <w:szCs w:val="13"/>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912,330</w:t>
            </w:r>
          </w:p>
        </w:tc>
        <w:tc>
          <w:tcPr>
            <w:tcW w:w="20" w:type="dxa"/>
            <w:vAlign w:val="bottom"/>
          </w:tcPr>
          <w:p>
            <w:pPr>
              <w:spacing w:after="0"/>
              <w:rPr>
                <w:sz w:val="13"/>
                <w:szCs w:val="13"/>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896,271</w:t>
            </w:r>
          </w:p>
        </w:tc>
        <w:tc>
          <w:tcPr>
            <w:tcW w:w="20" w:type="dxa"/>
            <w:vAlign w:val="bottom"/>
          </w:tcPr>
          <w:p>
            <w:pPr>
              <w:spacing w:after="0"/>
              <w:rPr>
                <w:sz w:val="13"/>
                <w:szCs w:val="13"/>
                <w:color w:val="auto"/>
              </w:rPr>
            </w:pPr>
          </w:p>
        </w:tc>
      </w:tr>
      <w:tr>
        <w:trPr>
          <w:trHeight w:val="160"/>
        </w:trPr>
        <w:tc>
          <w:tcPr>
            <w:tcW w:w="3140" w:type="dxa"/>
            <w:vAlign w:val="bottom"/>
            <w:shd w:val="clear" w:color="auto" w:fill="CCEEFF"/>
          </w:tcPr>
          <w:p>
            <w:pPr>
              <w:ind w:left="100"/>
              <w:spacing w:after="0"/>
              <w:rPr>
                <w:sz w:val="20"/>
                <w:szCs w:val="20"/>
                <w:color w:val="auto"/>
              </w:rPr>
            </w:pPr>
            <w:r>
              <w:rPr>
                <w:rFonts w:ascii="Arial" w:cs="Arial" w:eastAsia="Arial" w:hAnsi="Arial"/>
                <w:sz w:val="11"/>
                <w:szCs w:val="11"/>
                <w:color w:val="auto"/>
              </w:rPr>
              <w:t>Non-interest-bearing deposits</w:t>
            </w:r>
          </w:p>
        </w:tc>
        <w:tc>
          <w:tcPr>
            <w:tcW w:w="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644,975</w:t>
            </w:r>
          </w:p>
        </w:tc>
        <w:tc>
          <w:tcPr>
            <w:tcW w:w="20" w:type="dxa"/>
            <w:vAlign w:val="bottom"/>
            <w:shd w:val="clear" w:color="auto" w:fill="CCEEFF"/>
          </w:tcPr>
          <w:p>
            <w:pPr>
              <w:spacing w:after="0"/>
              <w:rPr>
                <w:sz w:val="13"/>
                <w:szCs w:val="13"/>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626,400</w:t>
            </w:r>
          </w:p>
        </w:tc>
        <w:tc>
          <w:tcPr>
            <w:tcW w:w="20" w:type="dxa"/>
            <w:vAlign w:val="bottom"/>
            <w:shd w:val="clear" w:color="auto" w:fill="CCEEFF"/>
          </w:tcPr>
          <w:p>
            <w:pPr>
              <w:spacing w:after="0"/>
              <w:rPr>
                <w:sz w:val="13"/>
                <w:szCs w:val="13"/>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603,735</w:t>
            </w:r>
          </w:p>
        </w:tc>
        <w:tc>
          <w:tcPr>
            <w:tcW w:w="20" w:type="dxa"/>
            <w:vAlign w:val="bottom"/>
            <w:shd w:val="clear" w:color="auto" w:fill="CCEEFF"/>
          </w:tcPr>
          <w:p>
            <w:pPr>
              <w:spacing w:after="0"/>
              <w:rPr>
                <w:sz w:val="13"/>
                <w:szCs w:val="13"/>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564,928</w:t>
            </w:r>
          </w:p>
        </w:tc>
        <w:tc>
          <w:tcPr>
            <w:tcW w:w="20" w:type="dxa"/>
            <w:vAlign w:val="bottom"/>
            <w:shd w:val="clear" w:color="auto" w:fill="CCEEFF"/>
          </w:tcPr>
          <w:p>
            <w:pPr>
              <w:spacing w:after="0"/>
              <w:rPr>
                <w:sz w:val="13"/>
                <w:szCs w:val="13"/>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535,894</w:t>
            </w:r>
          </w:p>
        </w:tc>
        <w:tc>
          <w:tcPr>
            <w:tcW w:w="20" w:type="dxa"/>
            <w:vAlign w:val="bottom"/>
            <w:shd w:val="clear" w:color="auto" w:fill="CCEEFF"/>
          </w:tcPr>
          <w:p>
            <w:pPr>
              <w:spacing w:after="0"/>
              <w:rPr>
                <w:sz w:val="13"/>
                <w:szCs w:val="13"/>
                <w:color w:val="auto"/>
              </w:rPr>
            </w:pPr>
          </w:p>
        </w:tc>
      </w:tr>
      <w:tr>
        <w:trPr>
          <w:trHeight w:val="160"/>
        </w:trPr>
        <w:tc>
          <w:tcPr>
            <w:tcW w:w="3140" w:type="dxa"/>
            <w:vAlign w:val="bottom"/>
          </w:tcPr>
          <w:p>
            <w:pPr>
              <w:ind w:left="100"/>
              <w:spacing w:after="0"/>
              <w:rPr>
                <w:sz w:val="20"/>
                <w:szCs w:val="20"/>
                <w:color w:val="auto"/>
              </w:rPr>
            </w:pPr>
            <w:r>
              <w:rPr>
                <w:rFonts w:ascii="Arial" w:cs="Arial" w:eastAsia="Arial" w:hAnsi="Arial"/>
                <w:sz w:val="11"/>
                <w:szCs w:val="11"/>
                <w:color w:val="auto"/>
              </w:rPr>
              <w:t>Total deposits</w:t>
            </w:r>
          </w:p>
        </w:tc>
        <w:tc>
          <w:tcPr>
            <w:tcW w:w="200" w:type="dxa"/>
            <w:vAlign w:val="bottom"/>
          </w:tcPr>
          <w:p>
            <w:pPr>
              <w:jc w:val="right"/>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1,716,684</w:t>
            </w:r>
          </w:p>
        </w:tc>
        <w:tc>
          <w:tcPr>
            <w:tcW w:w="20" w:type="dxa"/>
            <w:vAlign w:val="bottom"/>
          </w:tcPr>
          <w:p>
            <w:pPr>
              <w:spacing w:after="0"/>
              <w:rPr>
                <w:sz w:val="13"/>
                <w:szCs w:val="13"/>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1,650,244</w:t>
            </w:r>
          </w:p>
        </w:tc>
        <w:tc>
          <w:tcPr>
            <w:tcW w:w="20" w:type="dxa"/>
            <w:vAlign w:val="bottom"/>
          </w:tcPr>
          <w:p>
            <w:pPr>
              <w:spacing w:after="0"/>
              <w:rPr>
                <w:sz w:val="13"/>
                <w:szCs w:val="13"/>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1,561,976</w:t>
            </w:r>
          </w:p>
        </w:tc>
        <w:tc>
          <w:tcPr>
            <w:tcW w:w="20" w:type="dxa"/>
            <w:vAlign w:val="bottom"/>
          </w:tcPr>
          <w:p>
            <w:pPr>
              <w:spacing w:after="0"/>
              <w:rPr>
                <w:sz w:val="13"/>
                <w:szCs w:val="13"/>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1,477,258</w:t>
            </w:r>
          </w:p>
        </w:tc>
        <w:tc>
          <w:tcPr>
            <w:tcW w:w="20" w:type="dxa"/>
            <w:vAlign w:val="bottom"/>
          </w:tcPr>
          <w:p>
            <w:pPr>
              <w:spacing w:after="0"/>
              <w:rPr>
                <w:sz w:val="13"/>
                <w:szCs w:val="13"/>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1,432,165</w:t>
            </w:r>
          </w:p>
        </w:tc>
        <w:tc>
          <w:tcPr>
            <w:tcW w:w="20" w:type="dxa"/>
            <w:vAlign w:val="bottom"/>
          </w:tcPr>
          <w:p>
            <w:pPr>
              <w:spacing w:after="0"/>
              <w:rPr>
                <w:sz w:val="13"/>
                <w:szCs w:val="13"/>
                <w:color w:val="auto"/>
              </w:rPr>
            </w:pPr>
          </w:p>
        </w:tc>
      </w:tr>
      <w:tr>
        <w:trPr>
          <w:trHeight w:val="149"/>
        </w:trPr>
        <w:tc>
          <w:tcPr>
            <w:tcW w:w="3140" w:type="dxa"/>
            <w:vAlign w:val="bottom"/>
            <w:shd w:val="clear" w:color="auto" w:fill="CCEEFF"/>
          </w:tcPr>
          <w:p>
            <w:pPr>
              <w:ind w:left="100"/>
              <w:spacing w:after="0"/>
              <w:rPr>
                <w:sz w:val="20"/>
                <w:szCs w:val="20"/>
                <w:color w:val="auto"/>
              </w:rPr>
            </w:pPr>
            <w:r>
              <w:rPr>
                <w:rFonts w:ascii="Arial" w:cs="Arial" w:eastAsia="Arial" w:hAnsi="Arial"/>
                <w:sz w:val="11"/>
                <w:szCs w:val="11"/>
                <w:color w:val="auto"/>
              </w:rPr>
              <w:t>Federal Home Loan Bank advances and other borrowings</w:t>
            </w:r>
          </w:p>
        </w:tc>
        <w:tc>
          <w:tcPr>
            <w:tcW w:w="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36,330</w:t>
            </w:r>
          </w:p>
        </w:tc>
        <w:tc>
          <w:tcPr>
            <w:tcW w:w="20" w:type="dxa"/>
            <w:vAlign w:val="bottom"/>
            <w:shd w:val="clear" w:color="auto" w:fill="CCEEFF"/>
          </w:tcPr>
          <w:p>
            <w:pPr>
              <w:spacing w:after="0"/>
              <w:rPr>
                <w:sz w:val="12"/>
                <w:szCs w:val="12"/>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36,011</w:t>
            </w:r>
          </w:p>
        </w:tc>
        <w:tc>
          <w:tcPr>
            <w:tcW w:w="20" w:type="dxa"/>
            <w:vAlign w:val="bottom"/>
            <w:shd w:val="clear" w:color="auto" w:fill="CCEEFF"/>
          </w:tcPr>
          <w:p>
            <w:pPr>
              <w:spacing w:after="0"/>
              <w:rPr>
                <w:sz w:val="12"/>
                <w:szCs w:val="12"/>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36,000</w:t>
            </w:r>
          </w:p>
        </w:tc>
        <w:tc>
          <w:tcPr>
            <w:tcW w:w="20" w:type="dxa"/>
            <w:vAlign w:val="bottom"/>
            <w:shd w:val="clear" w:color="auto" w:fill="CCEEFF"/>
          </w:tcPr>
          <w:p>
            <w:pPr>
              <w:spacing w:after="0"/>
              <w:rPr>
                <w:sz w:val="12"/>
                <w:szCs w:val="12"/>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36,000</w:t>
            </w:r>
          </w:p>
        </w:tc>
        <w:tc>
          <w:tcPr>
            <w:tcW w:w="20" w:type="dxa"/>
            <w:vAlign w:val="bottom"/>
            <w:shd w:val="clear" w:color="auto" w:fill="CCEEFF"/>
          </w:tcPr>
          <w:p>
            <w:pPr>
              <w:spacing w:after="0"/>
              <w:rPr>
                <w:sz w:val="12"/>
                <w:szCs w:val="12"/>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36,000</w:t>
            </w:r>
          </w:p>
        </w:tc>
        <w:tc>
          <w:tcPr>
            <w:tcW w:w="20" w:type="dxa"/>
            <w:vAlign w:val="bottom"/>
            <w:shd w:val="clear" w:color="auto" w:fill="CCEEFF"/>
          </w:tcPr>
          <w:p>
            <w:pPr>
              <w:spacing w:after="0"/>
              <w:rPr>
                <w:sz w:val="12"/>
                <w:szCs w:val="12"/>
                <w:color w:val="auto"/>
              </w:rPr>
            </w:pPr>
          </w:p>
        </w:tc>
      </w:tr>
      <w:tr>
        <w:trPr>
          <w:trHeight w:val="160"/>
        </w:trPr>
        <w:tc>
          <w:tcPr>
            <w:tcW w:w="3140" w:type="dxa"/>
            <w:vAlign w:val="bottom"/>
          </w:tcPr>
          <w:p>
            <w:pPr>
              <w:ind w:left="100"/>
              <w:spacing w:after="0"/>
              <w:rPr>
                <w:sz w:val="20"/>
                <w:szCs w:val="20"/>
                <w:color w:val="auto"/>
              </w:rPr>
            </w:pPr>
            <w:r>
              <w:rPr>
                <w:rFonts w:ascii="Arial" w:cs="Arial" w:eastAsia="Arial" w:hAnsi="Arial"/>
                <w:sz w:val="11"/>
                <w:szCs w:val="11"/>
                <w:color w:val="auto"/>
              </w:rPr>
              <w:t>Total liabilities</w:t>
            </w:r>
          </w:p>
        </w:tc>
        <w:tc>
          <w:tcPr>
            <w:tcW w:w="200" w:type="dxa"/>
            <w:vAlign w:val="bottom"/>
          </w:tcPr>
          <w:p>
            <w:pPr>
              <w:jc w:val="right"/>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1,781,784</w:t>
            </w:r>
          </w:p>
        </w:tc>
        <w:tc>
          <w:tcPr>
            <w:tcW w:w="20" w:type="dxa"/>
            <w:vAlign w:val="bottom"/>
          </w:tcPr>
          <w:p>
            <w:pPr>
              <w:spacing w:after="0"/>
              <w:rPr>
                <w:sz w:val="13"/>
                <w:szCs w:val="13"/>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1,711,624</w:t>
            </w:r>
          </w:p>
        </w:tc>
        <w:tc>
          <w:tcPr>
            <w:tcW w:w="20" w:type="dxa"/>
            <w:vAlign w:val="bottom"/>
          </w:tcPr>
          <w:p>
            <w:pPr>
              <w:spacing w:after="0"/>
              <w:rPr>
                <w:sz w:val="13"/>
                <w:szCs w:val="13"/>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1,625,675</w:t>
            </w:r>
          </w:p>
        </w:tc>
        <w:tc>
          <w:tcPr>
            <w:tcW w:w="20" w:type="dxa"/>
            <w:vAlign w:val="bottom"/>
          </w:tcPr>
          <w:p>
            <w:pPr>
              <w:spacing w:after="0"/>
              <w:rPr>
                <w:sz w:val="13"/>
                <w:szCs w:val="13"/>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1,546,414</w:t>
            </w:r>
          </w:p>
        </w:tc>
        <w:tc>
          <w:tcPr>
            <w:tcW w:w="20" w:type="dxa"/>
            <w:vAlign w:val="bottom"/>
          </w:tcPr>
          <w:p>
            <w:pPr>
              <w:spacing w:after="0"/>
              <w:rPr>
                <w:sz w:val="13"/>
                <w:szCs w:val="13"/>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1,493,129</w:t>
            </w:r>
          </w:p>
        </w:tc>
        <w:tc>
          <w:tcPr>
            <w:tcW w:w="20" w:type="dxa"/>
            <w:vAlign w:val="bottom"/>
          </w:tcPr>
          <w:p>
            <w:pPr>
              <w:spacing w:after="0"/>
              <w:rPr>
                <w:sz w:val="13"/>
                <w:szCs w:val="13"/>
                <w:color w:val="auto"/>
              </w:rPr>
            </w:pPr>
          </w:p>
        </w:tc>
      </w:tr>
      <w:tr>
        <w:trPr>
          <w:trHeight w:val="160"/>
        </w:trPr>
        <w:tc>
          <w:tcPr>
            <w:tcW w:w="3140" w:type="dxa"/>
            <w:vAlign w:val="bottom"/>
            <w:shd w:val="clear" w:color="auto" w:fill="CCEEFF"/>
          </w:tcPr>
          <w:p>
            <w:pPr>
              <w:ind w:left="100"/>
              <w:spacing w:after="0"/>
              <w:rPr>
                <w:sz w:val="20"/>
                <w:szCs w:val="20"/>
                <w:color w:val="auto"/>
              </w:rPr>
            </w:pPr>
            <w:r>
              <w:rPr>
                <w:rFonts w:ascii="Arial" w:cs="Arial" w:eastAsia="Arial" w:hAnsi="Arial"/>
                <w:sz w:val="11"/>
                <w:szCs w:val="11"/>
                <w:color w:val="auto"/>
              </w:rPr>
              <w:t>Total stockholders' equity</w:t>
            </w:r>
          </w:p>
        </w:tc>
        <w:tc>
          <w:tcPr>
            <w:tcW w:w="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186,597</w:t>
            </w:r>
          </w:p>
        </w:tc>
        <w:tc>
          <w:tcPr>
            <w:tcW w:w="20" w:type="dxa"/>
            <w:vAlign w:val="bottom"/>
            <w:shd w:val="clear" w:color="auto" w:fill="CCEEFF"/>
          </w:tcPr>
          <w:p>
            <w:pPr>
              <w:spacing w:after="0"/>
              <w:rPr>
                <w:sz w:val="13"/>
                <w:szCs w:val="13"/>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201,860</w:t>
            </w:r>
          </w:p>
        </w:tc>
        <w:tc>
          <w:tcPr>
            <w:tcW w:w="20" w:type="dxa"/>
            <w:vAlign w:val="bottom"/>
            <w:shd w:val="clear" w:color="auto" w:fill="CCEEFF"/>
          </w:tcPr>
          <w:p>
            <w:pPr>
              <w:spacing w:after="0"/>
              <w:rPr>
                <w:sz w:val="13"/>
                <w:szCs w:val="13"/>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202,362</w:t>
            </w:r>
          </w:p>
        </w:tc>
        <w:tc>
          <w:tcPr>
            <w:tcW w:w="20" w:type="dxa"/>
            <w:vAlign w:val="bottom"/>
            <w:shd w:val="clear" w:color="auto" w:fill="CCEEFF"/>
          </w:tcPr>
          <w:p>
            <w:pPr>
              <w:spacing w:after="0"/>
              <w:rPr>
                <w:sz w:val="13"/>
                <w:szCs w:val="13"/>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195,009</w:t>
            </w:r>
          </w:p>
        </w:tc>
        <w:tc>
          <w:tcPr>
            <w:tcW w:w="20" w:type="dxa"/>
            <w:vAlign w:val="bottom"/>
            <w:shd w:val="clear" w:color="auto" w:fill="CCEEFF"/>
          </w:tcPr>
          <w:p>
            <w:pPr>
              <w:spacing w:after="0"/>
              <w:rPr>
                <w:sz w:val="13"/>
                <w:szCs w:val="13"/>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166,931</w:t>
            </w:r>
          </w:p>
        </w:tc>
        <w:tc>
          <w:tcPr>
            <w:tcW w:w="20" w:type="dxa"/>
            <w:vAlign w:val="bottom"/>
            <w:shd w:val="clear" w:color="auto" w:fill="CCEEFF"/>
          </w:tcPr>
          <w:p>
            <w:pPr>
              <w:spacing w:after="0"/>
              <w:rPr>
                <w:sz w:val="13"/>
                <w:szCs w:val="13"/>
                <w:color w:val="auto"/>
              </w:rPr>
            </w:pPr>
          </w:p>
        </w:tc>
      </w:tr>
      <w:tr>
        <w:trPr>
          <w:trHeight w:val="160"/>
        </w:trPr>
        <w:tc>
          <w:tcPr>
            <w:tcW w:w="3140" w:type="dxa"/>
            <w:vAlign w:val="bottom"/>
          </w:tcPr>
          <w:p>
            <w:pPr>
              <w:spacing w:after="0"/>
              <w:rPr>
                <w:sz w:val="20"/>
                <w:szCs w:val="20"/>
                <w:color w:val="auto"/>
              </w:rPr>
            </w:pPr>
            <w:r>
              <w:rPr>
                <w:rFonts w:ascii="Arial" w:cs="Arial" w:eastAsia="Arial" w:hAnsi="Arial"/>
                <w:sz w:val="11"/>
                <w:szCs w:val="11"/>
                <w:b w:val="1"/>
                <w:bCs w:val="1"/>
                <w:color w:val="auto"/>
              </w:rPr>
              <w:t>Performance ratios:</w:t>
            </w: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0"/>
        </w:trPr>
        <w:tc>
          <w:tcPr>
            <w:tcW w:w="3140" w:type="dxa"/>
            <w:vAlign w:val="bottom"/>
            <w:shd w:val="clear" w:color="auto" w:fill="CCEEFF"/>
          </w:tcPr>
          <w:p>
            <w:pPr>
              <w:ind w:left="100"/>
              <w:spacing w:after="0"/>
              <w:rPr>
                <w:sz w:val="20"/>
                <w:szCs w:val="20"/>
                <w:color w:val="auto"/>
              </w:rPr>
            </w:pPr>
            <w:r>
              <w:rPr>
                <w:rFonts w:ascii="Arial" w:cs="Arial" w:eastAsia="Arial" w:hAnsi="Arial"/>
                <w:sz w:val="11"/>
                <w:szCs w:val="11"/>
                <w:color w:val="auto"/>
              </w:rPr>
              <w:t xml:space="preserve">Return on average assets </w:t>
            </w:r>
            <w:r>
              <w:rPr>
                <w:rFonts w:ascii="Arial" w:cs="Arial" w:eastAsia="Arial" w:hAnsi="Arial"/>
                <w:sz w:val="14"/>
                <w:szCs w:val="14"/>
                <w:color w:val="auto"/>
                <w:vertAlign w:val="superscript"/>
              </w:rPr>
              <w:t>(2)</w:t>
            </w:r>
          </w:p>
        </w:tc>
        <w:tc>
          <w:tcPr>
            <w:tcW w:w="20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1.08%</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1.03%</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1.23%</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1.50%</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0.98%</w:t>
            </w:r>
          </w:p>
        </w:tc>
        <w:tc>
          <w:tcPr>
            <w:tcW w:w="20" w:type="dxa"/>
            <w:vAlign w:val="bottom"/>
            <w:shd w:val="clear" w:color="auto" w:fill="CCEEFF"/>
          </w:tcPr>
          <w:p>
            <w:pPr>
              <w:spacing w:after="0"/>
              <w:rPr>
                <w:sz w:val="13"/>
                <w:szCs w:val="13"/>
                <w:color w:val="auto"/>
              </w:rPr>
            </w:pPr>
          </w:p>
        </w:tc>
      </w:tr>
      <w:tr>
        <w:trPr>
          <w:trHeight w:val="149"/>
        </w:trPr>
        <w:tc>
          <w:tcPr>
            <w:tcW w:w="3140" w:type="dxa"/>
            <w:vAlign w:val="bottom"/>
          </w:tcPr>
          <w:p>
            <w:pPr>
              <w:ind w:left="100"/>
              <w:spacing w:after="0" w:line="149" w:lineRule="exact"/>
              <w:rPr>
                <w:sz w:val="20"/>
                <w:szCs w:val="20"/>
                <w:color w:val="auto"/>
              </w:rPr>
            </w:pPr>
            <w:r>
              <w:rPr>
                <w:rFonts w:ascii="Arial" w:cs="Arial" w:eastAsia="Arial" w:hAnsi="Arial"/>
                <w:sz w:val="11"/>
                <w:szCs w:val="11"/>
                <w:color w:val="auto"/>
              </w:rPr>
              <w:t xml:space="preserve">Return on average equity </w:t>
            </w:r>
            <w:r>
              <w:rPr>
                <w:rFonts w:ascii="Arial" w:cs="Arial" w:eastAsia="Arial" w:hAnsi="Arial"/>
                <w:sz w:val="14"/>
                <w:szCs w:val="14"/>
                <w:color w:val="auto"/>
                <w:vertAlign w:val="superscript"/>
              </w:rPr>
              <w:t>(2)</w:t>
            </w:r>
          </w:p>
        </w:tc>
        <w:tc>
          <w:tcPr>
            <w:tcW w:w="2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11.38%</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9.75%</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11.08%</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13.41%</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9.74%</w:t>
            </w:r>
          </w:p>
        </w:tc>
        <w:tc>
          <w:tcPr>
            <w:tcW w:w="20" w:type="dxa"/>
            <w:vAlign w:val="bottom"/>
          </w:tcPr>
          <w:p>
            <w:pPr>
              <w:spacing w:after="0"/>
              <w:rPr>
                <w:sz w:val="12"/>
                <w:szCs w:val="12"/>
                <w:color w:val="auto"/>
              </w:rPr>
            </w:pPr>
          </w:p>
        </w:tc>
      </w:tr>
      <w:tr>
        <w:trPr>
          <w:trHeight w:val="160"/>
        </w:trPr>
        <w:tc>
          <w:tcPr>
            <w:tcW w:w="3140" w:type="dxa"/>
            <w:vAlign w:val="bottom"/>
            <w:shd w:val="clear" w:color="auto" w:fill="CCEEFF"/>
          </w:tcPr>
          <w:p>
            <w:pPr>
              <w:ind w:left="100"/>
              <w:spacing w:after="0"/>
              <w:rPr>
                <w:sz w:val="20"/>
                <w:szCs w:val="20"/>
                <w:color w:val="auto"/>
              </w:rPr>
            </w:pPr>
            <w:r>
              <w:rPr>
                <w:rFonts w:ascii="Arial" w:cs="Arial" w:eastAsia="Arial" w:hAnsi="Arial"/>
                <w:sz w:val="11"/>
                <w:szCs w:val="11"/>
                <w:color w:val="auto"/>
              </w:rPr>
              <w:t xml:space="preserve">Net interest margin </w:t>
            </w:r>
            <w:r>
              <w:rPr>
                <w:rFonts w:ascii="Arial" w:cs="Arial" w:eastAsia="Arial" w:hAnsi="Arial"/>
                <w:sz w:val="14"/>
                <w:szCs w:val="14"/>
                <w:color w:val="auto"/>
                <w:vertAlign w:val="superscript"/>
              </w:rPr>
              <w:t>(2)</w:t>
            </w:r>
          </w:p>
        </w:tc>
        <w:tc>
          <w:tcPr>
            <w:tcW w:w="20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3.37%</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3.22%</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3.19%</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3.19%</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3.14%</w:t>
            </w:r>
          </w:p>
        </w:tc>
        <w:tc>
          <w:tcPr>
            <w:tcW w:w="20" w:type="dxa"/>
            <w:vAlign w:val="bottom"/>
            <w:shd w:val="clear" w:color="auto" w:fill="CCEEFF"/>
          </w:tcPr>
          <w:p>
            <w:pPr>
              <w:spacing w:after="0"/>
              <w:rPr>
                <w:sz w:val="13"/>
                <w:szCs w:val="13"/>
                <w:color w:val="auto"/>
              </w:rPr>
            </w:pPr>
          </w:p>
        </w:tc>
      </w:tr>
      <w:tr>
        <w:trPr>
          <w:trHeight w:val="160"/>
        </w:trPr>
        <w:tc>
          <w:tcPr>
            <w:tcW w:w="3140" w:type="dxa"/>
            <w:vAlign w:val="bottom"/>
          </w:tcPr>
          <w:p>
            <w:pPr>
              <w:ind w:left="100"/>
              <w:spacing w:after="0"/>
              <w:rPr>
                <w:sz w:val="20"/>
                <w:szCs w:val="20"/>
                <w:color w:val="auto"/>
              </w:rPr>
            </w:pPr>
            <w:r>
              <w:rPr>
                <w:rFonts w:ascii="Arial" w:cs="Arial" w:eastAsia="Arial" w:hAnsi="Arial"/>
                <w:sz w:val="11"/>
                <w:szCs w:val="11"/>
                <w:color w:val="auto"/>
              </w:rPr>
              <w:t xml:space="preserve">Non-interest income to average assets </w:t>
            </w:r>
            <w:r>
              <w:rPr>
                <w:rFonts w:ascii="Arial" w:cs="Arial" w:eastAsia="Arial" w:hAnsi="Arial"/>
                <w:sz w:val="14"/>
                <w:szCs w:val="14"/>
                <w:color w:val="auto"/>
                <w:vertAlign w:val="superscript"/>
              </w:rPr>
              <w:t>(2)</w:t>
            </w:r>
          </w:p>
        </w:tc>
        <w:tc>
          <w:tcPr>
            <w:tcW w:w="20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0.33%</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0.41%</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0.57%</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0.96%</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0.37%</w:t>
            </w:r>
          </w:p>
        </w:tc>
        <w:tc>
          <w:tcPr>
            <w:tcW w:w="20" w:type="dxa"/>
            <w:vAlign w:val="bottom"/>
          </w:tcPr>
          <w:p>
            <w:pPr>
              <w:spacing w:after="0"/>
              <w:rPr>
                <w:sz w:val="13"/>
                <w:szCs w:val="13"/>
                <w:color w:val="auto"/>
              </w:rPr>
            </w:pPr>
          </w:p>
        </w:tc>
      </w:tr>
      <w:tr>
        <w:trPr>
          <w:trHeight w:val="160"/>
        </w:trPr>
        <w:tc>
          <w:tcPr>
            <w:tcW w:w="3140" w:type="dxa"/>
            <w:vAlign w:val="bottom"/>
            <w:shd w:val="clear" w:color="auto" w:fill="CCEEFF"/>
          </w:tcPr>
          <w:p>
            <w:pPr>
              <w:ind w:left="100"/>
              <w:spacing w:after="0"/>
              <w:rPr>
                <w:sz w:val="20"/>
                <w:szCs w:val="20"/>
                <w:color w:val="auto"/>
              </w:rPr>
            </w:pPr>
            <w:r>
              <w:rPr>
                <w:rFonts w:ascii="Arial" w:cs="Arial" w:eastAsia="Arial" w:hAnsi="Arial"/>
                <w:sz w:val="11"/>
                <w:szCs w:val="11"/>
                <w:color w:val="auto"/>
              </w:rPr>
              <w:t xml:space="preserve">Efficiency ratio </w:t>
            </w:r>
            <w:r>
              <w:rPr>
                <w:rFonts w:ascii="Arial" w:cs="Arial" w:eastAsia="Arial" w:hAnsi="Arial"/>
                <w:sz w:val="14"/>
                <w:szCs w:val="14"/>
                <w:color w:val="auto"/>
                <w:vertAlign w:val="superscript"/>
              </w:rPr>
              <w:t>(3)</w:t>
            </w:r>
          </w:p>
        </w:tc>
        <w:tc>
          <w:tcPr>
            <w:tcW w:w="20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55.34%</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58.88%</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55.74%</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50.92%</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62.00%</w:t>
            </w:r>
          </w:p>
        </w:tc>
        <w:tc>
          <w:tcPr>
            <w:tcW w:w="20" w:type="dxa"/>
            <w:vAlign w:val="bottom"/>
            <w:shd w:val="clear" w:color="auto" w:fill="CCEEFF"/>
          </w:tcPr>
          <w:p>
            <w:pPr>
              <w:spacing w:after="0"/>
              <w:rPr>
                <w:sz w:val="13"/>
                <w:szCs w:val="13"/>
                <w:color w:val="auto"/>
              </w:rPr>
            </w:pPr>
          </w:p>
        </w:tc>
      </w:tr>
      <w:tr>
        <w:trPr>
          <w:trHeight w:val="160"/>
        </w:trPr>
        <w:tc>
          <w:tcPr>
            <w:tcW w:w="3140" w:type="dxa"/>
            <w:vAlign w:val="bottom"/>
          </w:tcPr>
          <w:p>
            <w:pPr>
              <w:spacing w:after="0"/>
              <w:rPr>
                <w:sz w:val="20"/>
                <w:szCs w:val="20"/>
                <w:color w:val="auto"/>
              </w:rPr>
            </w:pPr>
            <w:r>
              <w:rPr>
                <w:rFonts w:ascii="Arial" w:cs="Arial" w:eastAsia="Arial" w:hAnsi="Arial"/>
                <w:sz w:val="11"/>
                <w:szCs w:val="11"/>
                <w:b w:val="1"/>
                <w:bCs w:val="1"/>
                <w:color w:val="auto"/>
              </w:rPr>
              <w:t xml:space="preserve">Loans by type (at period end): </w:t>
            </w:r>
            <w:r>
              <w:rPr>
                <w:rFonts w:ascii="Arial" w:cs="Arial" w:eastAsia="Arial" w:hAnsi="Arial"/>
                <w:sz w:val="14"/>
                <w:szCs w:val="14"/>
                <w:color w:val="auto"/>
                <w:vertAlign w:val="superscript"/>
              </w:rPr>
              <w:t>(4)</w:t>
            </w: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49"/>
        </w:trPr>
        <w:tc>
          <w:tcPr>
            <w:tcW w:w="3140" w:type="dxa"/>
            <w:vAlign w:val="bottom"/>
            <w:shd w:val="clear" w:color="auto" w:fill="CCEEFF"/>
          </w:tcPr>
          <w:p>
            <w:pPr>
              <w:ind w:left="100"/>
              <w:spacing w:after="0"/>
              <w:rPr>
                <w:sz w:val="20"/>
                <w:szCs w:val="20"/>
                <w:color w:val="auto"/>
              </w:rPr>
            </w:pPr>
            <w:r>
              <w:rPr>
                <w:rFonts w:ascii="Arial" w:cs="Arial" w:eastAsia="Arial" w:hAnsi="Arial"/>
                <w:sz w:val="11"/>
                <w:szCs w:val="11"/>
                <w:color w:val="auto"/>
              </w:rPr>
              <w:t>Residential real estate</w:t>
            </w:r>
          </w:p>
        </w:tc>
        <w:tc>
          <w:tcPr>
            <w:tcW w:w="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203,662</w:t>
            </w:r>
          </w:p>
        </w:tc>
        <w:tc>
          <w:tcPr>
            <w:tcW w:w="20" w:type="dxa"/>
            <w:vAlign w:val="bottom"/>
            <w:shd w:val="clear" w:color="auto" w:fill="CCEEFF"/>
          </w:tcPr>
          <w:p>
            <w:pPr>
              <w:spacing w:after="0"/>
              <w:rPr>
                <w:sz w:val="12"/>
                <w:szCs w:val="12"/>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204,317</w:t>
            </w:r>
          </w:p>
        </w:tc>
        <w:tc>
          <w:tcPr>
            <w:tcW w:w="20" w:type="dxa"/>
            <w:vAlign w:val="bottom"/>
            <w:shd w:val="clear" w:color="auto" w:fill="CCEEFF"/>
          </w:tcPr>
          <w:p>
            <w:pPr>
              <w:spacing w:after="0"/>
              <w:rPr>
                <w:sz w:val="12"/>
                <w:szCs w:val="12"/>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201,359</w:t>
            </w:r>
          </w:p>
        </w:tc>
        <w:tc>
          <w:tcPr>
            <w:tcW w:w="20" w:type="dxa"/>
            <w:vAlign w:val="bottom"/>
            <w:shd w:val="clear" w:color="auto" w:fill="CCEEFF"/>
          </w:tcPr>
          <w:p>
            <w:pPr>
              <w:spacing w:after="0"/>
              <w:rPr>
                <w:sz w:val="12"/>
                <w:szCs w:val="12"/>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201,124</w:t>
            </w:r>
          </w:p>
        </w:tc>
        <w:tc>
          <w:tcPr>
            <w:tcW w:w="20" w:type="dxa"/>
            <w:vAlign w:val="bottom"/>
            <w:shd w:val="clear" w:color="auto" w:fill="CCEEFF"/>
          </w:tcPr>
          <w:p>
            <w:pPr>
              <w:spacing w:after="0"/>
              <w:rPr>
                <w:sz w:val="12"/>
                <w:szCs w:val="12"/>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213,575</w:t>
            </w:r>
          </w:p>
        </w:tc>
        <w:tc>
          <w:tcPr>
            <w:tcW w:w="20" w:type="dxa"/>
            <w:vAlign w:val="bottom"/>
            <w:shd w:val="clear" w:color="auto" w:fill="CCEEFF"/>
          </w:tcPr>
          <w:p>
            <w:pPr>
              <w:spacing w:after="0"/>
              <w:rPr>
                <w:sz w:val="12"/>
                <w:szCs w:val="12"/>
                <w:color w:val="auto"/>
              </w:rPr>
            </w:pPr>
          </w:p>
        </w:tc>
      </w:tr>
      <w:tr>
        <w:trPr>
          <w:trHeight w:val="160"/>
        </w:trPr>
        <w:tc>
          <w:tcPr>
            <w:tcW w:w="3140" w:type="dxa"/>
            <w:vAlign w:val="bottom"/>
          </w:tcPr>
          <w:p>
            <w:pPr>
              <w:ind w:left="100"/>
              <w:spacing w:after="0"/>
              <w:rPr>
                <w:sz w:val="20"/>
                <w:szCs w:val="20"/>
                <w:color w:val="auto"/>
              </w:rPr>
            </w:pPr>
            <w:r>
              <w:rPr>
                <w:rFonts w:ascii="Arial" w:cs="Arial" w:eastAsia="Arial" w:hAnsi="Arial"/>
                <w:sz w:val="11"/>
                <w:szCs w:val="11"/>
                <w:color w:val="auto"/>
              </w:rPr>
              <w:t>Commercial real estate</w:t>
            </w:r>
          </w:p>
        </w:tc>
        <w:tc>
          <w:tcPr>
            <w:tcW w:w="200" w:type="dxa"/>
            <w:vAlign w:val="bottom"/>
          </w:tcPr>
          <w:p>
            <w:pPr>
              <w:jc w:val="right"/>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843,445</w:t>
            </w:r>
          </w:p>
        </w:tc>
        <w:tc>
          <w:tcPr>
            <w:tcW w:w="20" w:type="dxa"/>
            <w:vAlign w:val="bottom"/>
          </w:tcPr>
          <w:p>
            <w:pPr>
              <w:spacing w:after="0"/>
              <w:rPr>
                <w:sz w:val="13"/>
                <w:szCs w:val="13"/>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782,072</w:t>
            </w:r>
          </w:p>
        </w:tc>
        <w:tc>
          <w:tcPr>
            <w:tcW w:w="20" w:type="dxa"/>
            <w:vAlign w:val="bottom"/>
          </w:tcPr>
          <w:p>
            <w:pPr>
              <w:spacing w:after="0"/>
              <w:rPr>
                <w:sz w:val="13"/>
                <w:szCs w:val="13"/>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704,988</w:t>
            </w:r>
          </w:p>
        </w:tc>
        <w:tc>
          <w:tcPr>
            <w:tcW w:w="20" w:type="dxa"/>
            <w:vAlign w:val="bottom"/>
          </w:tcPr>
          <w:p>
            <w:pPr>
              <w:spacing w:after="0"/>
              <w:rPr>
                <w:sz w:val="13"/>
                <w:szCs w:val="13"/>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693,469</w:t>
            </w:r>
          </w:p>
        </w:tc>
        <w:tc>
          <w:tcPr>
            <w:tcW w:w="20" w:type="dxa"/>
            <w:vAlign w:val="bottom"/>
          </w:tcPr>
          <w:p>
            <w:pPr>
              <w:spacing w:after="0"/>
              <w:rPr>
                <w:sz w:val="13"/>
                <w:szCs w:val="13"/>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673,944</w:t>
            </w:r>
          </w:p>
        </w:tc>
        <w:tc>
          <w:tcPr>
            <w:tcW w:w="20" w:type="dxa"/>
            <w:vAlign w:val="bottom"/>
          </w:tcPr>
          <w:p>
            <w:pPr>
              <w:spacing w:after="0"/>
              <w:rPr>
                <w:sz w:val="13"/>
                <w:szCs w:val="13"/>
                <w:color w:val="auto"/>
              </w:rPr>
            </w:pPr>
          </w:p>
        </w:tc>
      </w:tr>
      <w:tr>
        <w:trPr>
          <w:trHeight w:val="160"/>
        </w:trPr>
        <w:tc>
          <w:tcPr>
            <w:tcW w:w="3140" w:type="dxa"/>
            <w:vAlign w:val="bottom"/>
            <w:shd w:val="clear" w:color="auto" w:fill="CCEEFF"/>
          </w:tcPr>
          <w:p>
            <w:pPr>
              <w:ind w:left="100"/>
              <w:spacing w:after="0"/>
              <w:rPr>
                <w:sz w:val="20"/>
                <w:szCs w:val="20"/>
                <w:color w:val="auto"/>
              </w:rPr>
            </w:pPr>
            <w:r>
              <w:rPr>
                <w:rFonts w:ascii="Arial" w:cs="Arial" w:eastAsia="Arial" w:hAnsi="Arial"/>
                <w:sz w:val="11"/>
                <w:szCs w:val="11"/>
                <w:color w:val="auto"/>
              </w:rPr>
              <w:t>Commercial and industrial</w:t>
            </w:r>
          </w:p>
        </w:tc>
        <w:tc>
          <w:tcPr>
            <w:tcW w:w="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131,271</w:t>
            </w:r>
          </w:p>
        </w:tc>
        <w:tc>
          <w:tcPr>
            <w:tcW w:w="20" w:type="dxa"/>
            <w:vAlign w:val="bottom"/>
            <w:shd w:val="clear" w:color="auto" w:fill="CCEEFF"/>
          </w:tcPr>
          <w:p>
            <w:pPr>
              <w:spacing w:after="0"/>
              <w:rPr>
                <w:sz w:val="13"/>
                <w:szCs w:val="13"/>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134,832</w:t>
            </w:r>
          </w:p>
        </w:tc>
        <w:tc>
          <w:tcPr>
            <w:tcW w:w="20" w:type="dxa"/>
            <w:vAlign w:val="bottom"/>
            <w:shd w:val="clear" w:color="auto" w:fill="CCEEFF"/>
          </w:tcPr>
          <w:p>
            <w:pPr>
              <w:spacing w:after="0"/>
              <w:rPr>
                <w:sz w:val="13"/>
                <w:szCs w:val="13"/>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146,592</w:t>
            </w:r>
          </w:p>
        </w:tc>
        <w:tc>
          <w:tcPr>
            <w:tcW w:w="20" w:type="dxa"/>
            <w:vAlign w:val="bottom"/>
            <w:shd w:val="clear" w:color="auto" w:fill="CCEEFF"/>
          </w:tcPr>
          <w:p>
            <w:pPr>
              <w:spacing w:after="0"/>
              <w:rPr>
                <w:sz w:val="13"/>
                <w:szCs w:val="13"/>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137,486</w:t>
            </w:r>
          </w:p>
        </w:tc>
        <w:tc>
          <w:tcPr>
            <w:tcW w:w="20" w:type="dxa"/>
            <w:vAlign w:val="bottom"/>
            <w:shd w:val="clear" w:color="auto" w:fill="CCEEFF"/>
          </w:tcPr>
          <w:p>
            <w:pPr>
              <w:spacing w:after="0"/>
              <w:rPr>
                <w:sz w:val="13"/>
                <w:szCs w:val="13"/>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155,440</w:t>
            </w:r>
          </w:p>
        </w:tc>
        <w:tc>
          <w:tcPr>
            <w:tcW w:w="20" w:type="dxa"/>
            <w:vAlign w:val="bottom"/>
            <w:shd w:val="clear" w:color="auto" w:fill="CCEEFF"/>
          </w:tcPr>
          <w:p>
            <w:pPr>
              <w:spacing w:after="0"/>
              <w:rPr>
                <w:sz w:val="13"/>
                <w:szCs w:val="13"/>
                <w:color w:val="auto"/>
              </w:rPr>
            </w:pPr>
          </w:p>
        </w:tc>
      </w:tr>
      <w:tr>
        <w:trPr>
          <w:trHeight w:val="160"/>
        </w:trPr>
        <w:tc>
          <w:tcPr>
            <w:tcW w:w="3140" w:type="dxa"/>
            <w:vAlign w:val="bottom"/>
          </w:tcPr>
          <w:p>
            <w:pPr>
              <w:ind w:left="100"/>
              <w:spacing w:after="0"/>
              <w:rPr>
                <w:sz w:val="20"/>
                <w:szCs w:val="20"/>
                <w:color w:val="auto"/>
              </w:rPr>
            </w:pPr>
            <w:r>
              <w:rPr>
                <w:rFonts w:ascii="Arial" w:cs="Arial" w:eastAsia="Arial" w:hAnsi="Arial"/>
                <w:sz w:val="11"/>
                <w:szCs w:val="11"/>
                <w:color w:val="auto"/>
              </w:rPr>
              <w:t>Foreign banks</w:t>
            </w:r>
          </w:p>
        </w:tc>
        <w:tc>
          <w:tcPr>
            <w:tcW w:w="200" w:type="dxa"/>
            <w:vAlign w:val="bottom"/>
          </w:tcPr>
          <w:p>
            <w:pPr>
              <w:jc w:val="right"/>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84,770</w:t>
            </w:r>
          </w:p>
        </w:tc>
        <w:tc>
          <w:tcPr>
            <w:tcW w:w="20" w:type="dxa"/>
            <w:vAlign w:val="bottom"/>
          </w:tcPr>
          <w:p>
            <w:pPr>
              <w:spacing w:after="0"/>
              <w:rPr>
                <w:sz w:val="13"/>
                <w:szCs w:val="13"/>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63,985</w:t>
            </w:r>
          </w:p>
        </w:tc>
        <w:tc>
          <w:tcPr>
            <w:tcW w:w="20" w:type="dxa"/>
            <w:vAlign w:val="bottom"/>
          </w:tcPr>
          <w:p>
            <w:pPr>
              <w:spacing w:after="0"/>
              <w:rPr>
                <w:sz w:val="13"/>
                <w:szCs w:val="13"/>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59,491</w:t>
            </w:r>
          </w:p>
        </w:tc>
        <w:tc>
          <w:tcPr>
            <w:tcW w:w="20" w:type="dxa"/>
            <w:vAlign w:val="bottom"/>
          </w:tcPr>
          <w:p>
            <w:pPr>
              <w:spacing w:after="0"/>
              <w:rPr>
                <w:sz w:val="13"/>
                <w:szCs w:val="13"/>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58,839</w:t>
            </w:r>
          </w:p>
        </w:tc>
        <w:tc>
          <w:tcPr>
            <w:tcW w:w="20" w:type="dxa"/>
            <w:vAlign w:val="bottom"/>
          </w:tcPr>
          <w:p>
            <w:pPr>
              <w:spacing w:after="0"/>
              <w:rPr>
                <w:sz w:val="13"/>
                <w:szCs w:val="13"/>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62,042</w:t>
            </w:r>
          </w:p>
        </w:tc>
        <w:tc>
          <w:tcPr>
            <w:tcW w:w="20" w:type="dxa"/>
            <w:vAlign w:val="bottom"/>
          </w:tcPr>
          <w:p>
            <w:pPr>
              <w:spacing w:after="0"/>
              <w:rPr>
                <w:sz w:val="13"/>
                <w:szCs w:val="13"/>
                <w:color w:val="auto"/>
              </w:rPr>
            </w:pPr>
          </w:p>
        </w:tc>
      </w:tr>
      <w:tr>
        <w:trPr>
          <w:trHeight w:val="160"/>
        </w:trPr>
        <w:tc>
          <w:tcPr>
            <w:tcW w:w="3140" w:type="dxa"/>
            <w:vAlign w:val="bottom"/>
            <w:shd w:val="clear" w:color="auto" w:fill="CCEEFF"/>
          </w:tcPr>
          <w:p>
            <w:pPr>
              <w:ind w:left="100"/>
              <w:spacing w:after="0"/>
              <w:rPr>
                <w:sz w:val="20"/>
                <w:szCs w:val="20"/>
                <w:color w:val="auto"/>
              </w:rPr>
            </w:pPr>
            <w:r>
              <w:rPr>
                <w:rFonts w:ascii="Arial" w:cs="Arial" w:eastAsia="Arial" w:hAnsi="Arial"/>
                <w:sz w:val="11"/>
                <w:szCs w:val="11"/>
                <w:color w:val="auto"/>
              </w:rPr>
              <w:t>Consumer and other</w:t>
            </w:r>
          </w:p>
        </w:tc>
        <w:tc>
          <w:tcPr>
            <w:tcW w:w="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109,250</w:t>
            </w:r>
          </w:p>
        </w:tc>
        <w:tc>
          <w:tcPr>
            <w:tcW w:w="20" w:type="dxa"/>
            <w:vAlign w:val="bottom"/>
            <w:shd w:val="clear" w:color="auto" w:fill="CCEEFF"/>
          </w:tcPr>
          <w:p>
            <w:pPr>
              <w:spacing w:after="0"/>
              <w:rPr>
                <w:sz w:val="13"/>
                <w:szCs w:val="13"/>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73,765</w:t>
            </w:r>
          </w:p>
        </w:tc>
        <w:tc>
          <w:tcPr>
            <w:tcW w:w="20" w:type="dxa"/>
            <w:vAlign w:val="bottom"/>
            <w:shd w:val="clear" w:color="auto" w:fill="CCEEFF"/>
          </w:tcPr>
          <w:p>
            <w:pPr>
              <w:spacing w:after="0"/>
              <w:rPr>
                <w:sz w:val="13"/>
                <w:szCs w:val="13"/>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79,229</w:t>
            </w:r>
          </w:p>
        </w:tc>
        <w:tc>
          <w:tcPr>
            <w:tcW w:w="20" w:type="dxa"/>
            <w:vAlign w:val="bottom"/>
            <w:shd w:val="clear" w:color="auto" w:fill="CCEEFF"/>
          </w:tcPr>
          <w:p>
            <w:pPr>
              <w:spacing w:after="0"/>
              <w:rPr>
                <w:sz w:val="13"/>
                <w:szCs w:val="13"/>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87,515</w:t>
            </w:r>
          </w:p>
        </w:tc>
        <w:tc>
          <w:tcPr>
            <w:tcW w:w="20" w:type="dxa"/>
            <w:vAlign w:val="bottom"/>
            <w:shd w:val="clear" w:color="auto" w:fill="CCEEFF"/>
          </w:tcPr>
          <w:p>
            <w:pPr>
              <w:spacing w:after="0"/>
              <w:rPr>
                <w:sz w:val="13"/>
                <w:szCs w:val="13"/>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43,979</w:t>
            </w:r>
          </w:p>
        </w:tc>
        <w:tc>
          <w:tcPr>
            <w:tcW w:w="20" w:type="dxa"/>
            <w:vAlign w:val="bottom"/>
            <w:shd w:val="clear" w:color="auto" w:fill="CCEEFF"/>
          </w:tcPr>
          <w:p>
            <w:pPr>
              <w:spacing w:after="0"/>
              <w:rPr>
                <w:sz w:val="13"/>
                <w:szCs w:val="13"/>
                <w:color w:val="auto"/>
              </w:rPr>
            </w:pPr>
          </w:p>
        </w:tc>
      </w:tr>
      <w:tr>
        <w:trPr>
          <w:trHeight w:val="149"/>
        </w:trPr>
        <w:tc>
          <w:tcPr>
            <w:tcW w:w="3140" w:type="dxa"/>
            <w:vAlign w:val="bottom"/>
          </w:tcPr>
          <w:p>
            <w:pPr>
              <w:spacing w:after="0"/>
              <w:rPr>
                <w:sz w:val="20"/>
                <w:szCs w:val="20"/>
                <w:color w:val="auto"/>
              </w:rPr>
            </w:pPr>
            <w:r>
              <w:rPr>
                <w:rFonts w:ascii="Arial" w:cs="Arial" w:eastAsia="Arial" w:hAnsi="Arial"/>
                <w:sz w:val="11"/>
                <w:szCs w:val="11"/>
                <w:b w:val="1"/>
                <w:bCs w:val="1"/>
                <w:color w:val="auto"/>
              </w:rPr>
              <w:t>Asset quality data:</w:t>
            </w: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0"/>
        </w:trPr>
        <w:tc>
          <w:tcPr>
            <w:tcW w:w="3140" w:type="dxa"/>
            <w:vAlign w:val="bottom"/>
            <w:shd w:val="clear" w:color="auto" w:fill="CCEEFF"/>
          </w:tcPr>
          <w:p>
            <w:pPr>
              <w:ind w:left="100"/>
              <w:spacing w:after="0"/>
              <w:rPr>
                <w:sz w:val="20"/>
                <w:szCs w:val="20"/>
                <w:color w:val="auto"/>
              </w:rPr>
            </w:pPr>
            <w:r>
              <w:rPr>
                <w:rFonts w:ascii="Arial" w:cs="Arial" w:eastAsia="Arial" w:hAnsi="Arial"/>
                <w:sz w:val="11"/>
                <w:szCs w:val="11"/>
                <w:color w:val="auto"/>
              </w:rPr>
              <w:t>Allowance for credit losses to total loans</w:t>
            </w:r>
          </w:p>
        </w:tc>
        <w:tc>
          <w:tcPr>
            <w:tcW w:w="20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1.15%</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1.20%</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1.27%</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1.27%</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1.30%</w:t>
            </w:r>
          </w:p>
        </w:tc>
        <w:tc>
          <w:tcPr>
            <w:tcW w:w="20" w:type="dxa"/>
            <w:vAlign w:val="bottom"/>
            <w:shd w:val="clear" w:color="auto" w:fill="CCEEFF"/>
          </w:tcPr>
          <w:p>
            <w:pPr>
              <w:spacing w:after="0"/>
              <w:rPr>
                <w:sz w:val="13"/>
                <w:szCs w:val="13"/>
                <w:color w:val="auto"/>
              </w:rPr>
            </w:pPr>
          </w:p>
        </w:tc>
      </w:tr>
      <w:tr>
        <w:trPr>
          <w:trHeight w:val="160"/>
        </w:trPr>
        <w:tc>
          <w:tcPr>
            <w:tcW w:w="3140" w:type="dxa"/>
            <w:vAlign w:val="bottom"/>
          </w:tcPr>
          <w:p>
            <w:pPr>
              <w:ind w:left="100"/>
              <w:spacing w:after="0"/>
              <w:rPr>
                <w:sz w:val="20"/>
                <w:szCs w:val="20"/>
                <w:color w:val="auto"/>
              </w:rPr>
            </w:pPr>
            <w:r>
              <w:rPr>
                <w:rFonts w:ascii="Arial" w:cs="Arial" w:eastAsia="Arial" w:hAnsi="Arial"/>
                <w:sz w:val="11"/>
                <w:szCs w:val="11"/>
                <w:color w:val="auto"/>
              </w:rPr>
              <w:t>Allowance for credit losses to non-performing loans</w:t>
            </w:r>
          </w:p>
        </w:tc>
        <w:tc>
          <w:tcPr>
            <w:tcW w:w="20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 %</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 %</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1,265%</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82,778%</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74,240%</w:t>
            </w:r>
          </w:p>
        </w:tc>
        <w:tc>
          <w:tcPr>
            <w:tcW w:w="20" w:type="dxa"/>
            <w:vAlign w:val="bottom"/>
          </w:tcPr>
          <w:p>
            <w:pPr>
              <w:spacing w:after="0"/>
              <w:rPr>
                <w:sz w:val="13"/>
                <w:szCs w:val="13"/>
                <w:color w:val="auto"/>
              </w:rPr>
            </w:pPr>
          </w:p>
        </w:tc>
      </w:tr>
      <w:tr>
        <w:trPr>
          <w:trHeight w:val="160"/>
        </w:trPr>
        <w:tc>
          <w:tcPr>
            <w:tcW w:w="3140" w:type="dxa"/>
            <w:vAlign w:val="bottom"/>
            <w:shd w:val="clear" w:color="auto" w:fill="CCEEFF"/>
          </w:tcPr>
          <w:p>
            <w:pPr>
              <w:ind w:left="100"/>
              <w:spacing w:after="0"/>
              <w:rPr>
                <w:sz w:val="20"/>
                <w:szCs w:val="20"/>
                <w:color w:val="auto"/>
              </w:rPr>
            </w:pPr>
            <w:r>
              <w:rPr>
                <w:rFonts w:ascii="Arial" w:cs="Arial" w:eastAsia="Arial" w:hAnsi="Arial"/>
                <w:sz w:val="11"/>
                <w:szCs w:val="11"/>
                <w:color w:val="auto"/>
              </w:rPr>
              <w:t>Non-accrual loans less non-accrual TDRs</w:t>
            </w:r>
          </w:p>
        </w:tc>
        <w:tc>
          <w:tcPr>
            <w:tcW w:w="20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1,190</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3"/>
                <w:szCs w:val="13"/>
                <w:color w:val="auto"/>
              </w:rPr>
            </w:pPr>
          </w:p>
        </w:tc>
      </w:tr>
      <w:tr>
        <w:trPr>
          <w:trHeight w:val="160"/>
        </w:trPr>
        <w:tc>
          <w:tcPr>
            <w:tcW w:w="3140" w:type="dxa"/>
            <w:vAlign w:val="bottom"/>
          </w:tcPr>
          <w:p>
            <w:pPr>
              <w:ind w:left="100"/>
              <w:spacing w:after="0"/>
              <w:rPr>
                <w:sz w:val="20"/>
                <w:szCs w:val="20"/>
                <w:color w:val="auto"/>
              </w:rPr>
            </w:pPr>
            <w:r>
              <w:rPr>
                <w:rFonts w:ascii="Arial" w:cs="Arial" w:eastAsia="Arial" w:hAnsi="Arial"/>
                <w:sz w:val="11"/>
                <w:szCs w:val="11"/>
                <w:color w:val="auto"/>
              </w:rPr>
              <w:t>Non-accrual TDRs</w:t>
            </w:r>
          </w:p>
        </w:tc>
        <w:tc>
          <w:tcPr>
            <w:tcW w:w="20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18</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20</w:t>
            </w:r>
          </w:p>
        </w:tc>
        <w:tc>
          <w:tcPr>
            <w:tcW w:w="20" w:type="dxa"/>
            <w:vAlign w:val="bottom"/>
          </w:tcPr>
          <w:p>
            <w:pPr>
              <w:spacing w:after="0"/>
              <w:rPr>
                <w:sz w:val="13"/>
                <w:szCs w:val="13"/>
                <w:color w:val="auto"/>
              </w:rPr>
            </w:pPr>
          </w:p>
        </w:tc>
      </w:tr>
      <w:tr>
        <w:trPr>
          <w:trHeight w:val="149"/>
        </w:trPr>
        <w:tc>
          <w:tcPr>
            <w:tcW w:w="3140" w:type="dxa"/>
            <w:vAlign w:val="bottom"/>
            <w:shd w:val="clear" w:color="auto" w:fill="CCEEFF"/>
          </w:tcPr>
          <w:p>
            <w:pPr>
              <w:ind w:left="100"/>
              <w:spacing w:after="0"/>
              <w:rPr>
                <w:sz w:val="20"/>
                <w:szCs w:val="20"/>
                <w:color w:val="auto"/>
              </w:rPr>
            </w:pPr>
            <w:r>
              <w:rPr>
                <w:rFonts w:ascii="Arial" w:cs="Arial" w:eastAsia="Arial" w:hAnsi="Arial"/>
                <w:sz w:val="11"/>
                <w:szCs w:val="11"/>
                <w:color w:val="auto"/>
              </w:rPr>
              <w:t>Loans- over 90 days past due and accruing</w:t>
            </w: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2"/>
                <w:szCs w:val="12"/>
                <w:color w:val="auto"/>
              </w:rPr>
            </w:pPr>
          </w:p>
        </w:tc>
      </w:tr>
      <w:tr>
        <w:trPr>
          <w:trHeight w:val="160"/>
        </w:trPr>
        <w:tc>
          <w:tcPr>
            <w:tcW w:w="3140" w:type="dxa"/>
            <w:vAlign w:val="bottom"/>
          </w:tcPr>
          <w:p>
            <w:pPr>
              <w:ind w:left="100"/>
              <w:spacing w:after="0"/>
              <w:rPr>
                <w:sz w:val="20"/>
                <w:szCs w:val="20"/>
                <w:color w:val="auto"/>
              </w:rPr>
            </w:pPr>
            <w:r>
              <w:rPr>
                <w:rFonts w:ascii="Arial" w:cs="Arial" w:eastAsia="Arial" w:hAnsi="Arial"/>
                <w:sz w:val="11"/>
                <w:szCs w:val="11"/>
                <w:color w:val="auto"/>
              </w:rPr>
              <w:t>Total non-performing loans</w:t>
            </w:r>
            <w:r>
              <w:rPr>
                <w:rFonts w:ascii="Arial" w:cs="Arial" w:eastAsia="Arial" w:hAnsi="Arial"/>
                <w:sz w:val="14"/>
                <w:szCs w:val="14"/>
                <w:color w:val="auto"/>
                <w:vertAlign w:val="superscript"/>
              </w:rPr>
              <w:t>(5)</w:t>
            </w:r>
          </w:p>
        </w:tc>
        <w:tc>
          <w:tcPr>
            <w:tcW w:w="20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1,190</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18</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20</w:t>
            </w:r>
          </w:p>
        </w:tc>
        <w:tc>
          <w:tcPr>
            <w:tcW w:w="20" w:type="dxa"/>
            <w:vAlign w:val="bottom"/>
          </w:tcPr>
          <w:p>
            <w:pPr>
              <w:spacing w:after="0"/>
              <w:rPr>
                <w:sz w:val="13"/>
                <w:szCs w:val="13"/>
                <w:color w:val="auto"/>
              </w:rPr>
            </w:pPr>
          </w:p>
        </w:tc>
      </w:tr>
      <w:tr>
        <w:trPr>
          <w:trHeight w:val="160"/>
        </w:trPr>
        <w:tc>
          <w:tcPr>
            <w:tcW w:w="3140" w:type="dxa"/>
            <w:vAlign w:val="bottom"/>
            <w:shd w:val="clear" w:color="auto" w:fill="CCEEFF"/>
          </w:tcPr>
          <w:p>
            <w:pPr>
              <w:ind w:left="100"/>
              <w:spacing w:after="0"/>
              <w:rPr>
                <w:sz w:val="20"/>
                <w:szCs w:val="20"/>
                <w:color w:val="auto"/>
              </w:rPr>
            </w:pPr>
            <w:r>
              <w:rPr>
                <w:rFonts w:ascii="Arial" w:cs="Arial" w:eastAsia="Arial" w:hAnsi="Arial"/>
                <w:sz w:val="11"/>
                <w:szCs w:val="11"/>
                <w:color w:val="auto"/>
              </w:rPr>
              <w:t>Non-performing loans to total loans</w:t>
            </w:r>
          </w:p>
        </w:tc>
        <w:tc>
          <w:tcPr>
            <w:tcW w:w="20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 %</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 %</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0.10%</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0.00%</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0.00%</w:t>
            </w:r>
          </w:p>
        </w:tc>
        <w:tc>
          <w:tcPr>
            <w:tcW w:w="20" w:type="dxa"/>
            <w:vAlign w:val="bottom"/>
            <w:shd w:val="clear" w:color="auto" w:fill="CCEEFF"/>
          </w:tcPr>
          <w:p>
            <w:pPr>
              <w:spacing w:after="0"/>
              <w:rPr>
                <w:sz w:val="13"/>
                <w:szCs w:val="13"/>
                <w:color w:val="auto"/>
              </w:rPr>
            </w:pPr>
          </w:p>
        </w:tc>
      </w:tr>
      <w:tr>
        <w:trPr>
          <w:trHeight w:val="160"/>
        </w:trPr>
        <w:tc>
          <w:tcPr>
            <w:tcW w:w="3140" w:type="dxa"/>
            <w:vAlign w:val="bottom"/>
          </w:tcPr>
          <w:p>
            <w:pPr>
              <w:ind w:left="100"/>
              <w:spacing w:after="0"/>
              <w:rPr>
                <w:sz w:val="20"/>
                <w:szCs w:val="20"/>
                <w:color w:val="auto"/>
              </w:rPr>
            </w:pPr>
            <w:r>
              <w:rPr>
                <w:rFonts w:ascii="Arial" w:cs="Arial" w:eastAsia="Arial" w:hAnsi="Arial"/>
                <w:sz w:val="11"/>
                <w:szCs w:val="11"/>
                <w:color w:val="auto"/>
              </w:rPr>
              <w:t>Non-performing assets to total assets</w:t>
            </w:r>
          </w:p>
        </w:tc>
        <w:tc>
          <w:tcPr>
            <w:tcW w:w="20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 %</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 %</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0.06%</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0.00%</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0.00%</w:t>
            </w:r>
          </w:p>
        </w:tc>
        <w:tc>
          <w:tcPr>
            <w:tcW w:w="20" w:type="dxa"/>
            <w:vAlign w:val="bottom"/>
          </w:tcPr>
          <w:p>
            <w:pPr>
              <w:spacing w:after="0"/>
              <w:rPr>
                <w:sz w:val="13"/>
                <w:szCs w:val="13"/>
                <w:color w:val="auto"/>
              </w:rPr>
            </w:pPr>
          </w:p>
        </w:tc>
      </w:tr>
      <w:tr>
        <w:trPr>
          <w:trHeight w:val="160"/>
        </w:trPr>
        <w:tc>
          <w:tcPr>
            <w:tcW w:w="3140" w:type="dxa"/>
            <w:vAlign w:val="bottom"/>
            <w:shd w:val="clear" w:color="auto" w:fill="CCEEFF"/>
          </w:tcPr>
          <w:p>
            <w:pPr>
              <w:ind w:left="100"/>
              <w:spacing w:after="0"/>
              <w:rPr>
                <w:sz w:val="20"/>
                <w:szCs w:val="20"/>
                <w:color w:val="auto"/>
              </w:rPr>
            </w:pPr>
            <w:r>
              <w:rPr>
                <w:rFonts w:ascii="Arial" w:cs="Arial" w:eastAsia="Arial" w:hAnsi="Arial"/>
                <w:sz w:val="11"/>
                <w:szCs w:val="11"/>
                <w:color w:val="auto"/>
              </w:rPr>
              <w:t xml:space="preserve">Net charge-offs (recoveries of) to average loans </w:t>
            </w:r>
            <w:r>
              <w:rPr>
                <w:rFonts w:ascii="Arial" w:cs="Arial" w:eastAsia="Arial" w:hAnsi="Arial"/>
                <w:sz w:val="14"/>
                <w:szCs w:val="14"/>
                <w:color w:val="auto"/>
                <w:vertAlign w:val="superscript"/>
              </w:rPr>
              <w:t>(2)</w:t>
            </w:r>
          </w:p>
        </w:tc>
        <w:tc>
          <w:tcPr>
            <w:tcW w:w="20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(0.00)%</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(0.01)%</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(0.05)%</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(0.02)%</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0.06%</w:t>
            </w:r>
          </w:p>
        </w:tc>
        <w:tc>
          <w:tcPr>
            <w:tcW w:w="20" w:type="dxa"/>
            <w:vAlign w:val="bottom"/>
            <w:shd w:val="clear" w:color="auto" w:fill="CCEEFF"/>
          </w:tcPr>
          <w:p>
            <w:pPr>
              <w:spacing w:after="0"/>
              <w:rPr>
                <w:sz w:val="13"/>
                <w:szCs w:val="13"/>
                <w:color w:val="auto"/>
              </w:rPr>
            </w:pPr>
          </w:p>
        </w:tc>
      </w:tr>
      <w:tr>
        <w:trPr>
          <w:trHeight w:val="149"/>
        </w:trPr>
        <w:tc>
          <w:tcPr>
            <w:tcW w:w="3140" w:type="dxa"/>
            <w:vAlign w:val="bottom"/>
          </w:tcPr>
          <w:p>
            <w:pPr>
              <w:ind w:left="100"/>
              <w:spacing w:after="0"/>
              <w:rPr>
                <w:sz w:val="20"/>
                <w:szCs w:val="20"/>
                <w:color w:val="auto"/>
              </w:rPr>
            </w:pPr>
            <w:r>
              <w:rPr>
                <w:rFonts w:ascii="Arial" w:cs="Arial" w:eastAsia="Arial" w:hAnsi="Arial"/>
                <w:sz w:val="11"/>
                <w:szCs w:val="11"/>
                <w:color w:val="auto"/>
              </w:rPr>
              <w:t>Net charge-offs (recovery of) credit losses</w:t>
            </w:r>
          </w:p>
        </w:tc>
        <w:tc>
          <w:tcPr>
            <w:tcW w:w="200" w:type="dxa"/>
            <w:vAlign w:val="bottom"/>
          </w:tcPr>
          <w:p>
            <w:pPr>
              <w:spacing w:after="0"/>
              <w:rPr>
                <w:sz w:val="12"/>
                <w:szCs w:val="12"/>
                <w:color w:val="auto"/>
              </w:rPr>
            </w:pPr>
          </w:p>
        </w:tc>
        <w:tc>
          <w:tcPr>
            <w:tcW w:w="680" w:type="dxa"/>
            <w:vAlign w:val="bottom"/>
            <w:gridSpan w:val="2"/>
          </w:tcPr>
          <w:p>
            <w:pPr>
              <w:jc w:val="right"/>
              <w:spacing w:after="0"/>
              <w:rPr>
                <w:sz w:val="20"/>
                <w:szCs w:val="20"/>
                <w:color w:val="auto"/>
              </w:rPr>
            </w:pPr>
            <w:r>
              <w:rPr>
                <w:rFonts w:ascii="Arial" w:cs="Arial" w:eastAsia="Arial" w:hAnsi="Arial"/>
                <w:sz w:val="11"/>
                <w:szCs w:val="11"/>
                <w:color w:val="auto"/>
              </w:rPr>
              <w:t>(7)</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gridSpan w:val="2"/>
          </w:tcPr>
          <w:p>
            <w:pPr>
              <w:jc w:val="right"/>
              <w:spacing w:after="0"/>
              <w:rPr>
                <w:sz w:val="20"/>
                <w:szCs w:val="20"/>
                <w:color w:val="auto"/>
              </w:rPr>
            </w:pPr>
            <w:r>
              <w:rPr>
                <w:rFonts w:ascii="Arial" w:cs="Arial" w:eastAsia="Arial" w:hAnsi="Arial"/>
                <w:sz w:val="11"/>
                <w:szCs w:val="11"/>
                <w:color w:val="auto"/>
              </w:rPr>
              <w:t>(17)</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gridSpan w:val="2"/>
          </w:tcPr>
          <w:p>
            <w:pPr>
              <w:jc w:val="right"/>
              <w:spacing w:after="0"/>
              <w:rPr>
                <w:sz w:val="20"/>
                <w:szCs w:val="20"/>
                <w:color w:val="auto"/>
              </w:rPr>
            </w:pPr>
            <w:r>
              <w:rPr>
                <w:rFonts w:ascii="Arial" w:cs="Arial" w:eastAsia="Arial" w:hAnsi="Arial"/>
                <w:sz w:val="11"/>
                <w:szCs w:val="11"/>
                <w:color w:val="auto"/>
              </w:rPr>
              <w:t>(157)</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gridSpan w:val="2"/>
          </w:tcPr>
          <w:p>
            <w:pPr>
              <w:jc w:val="right"/>
              <w:spacing w:after="0"/>
              <w:rPr>
                <w:sz w:val="20"/>
                <w:szCs w:val="20"/>
                <w:color w:val="auto"/>
              </w:rPr>
            </w:pPr>
            <w:r>
              <w:rPr>
                <w:rFonts w:ascii="Arial" w:cs="Arial" w:eastAsia="Arial" w:hAnsi="Arial"/>
                <w:sz w:val="11"/>
                <w:szCs w:val="11"/>
                <w:color w:val="auto"/>
              </w:rPr>
              <w:t>(51)</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160</w:t>
            </w:r>
          </w:p>
        </w:tc>
        <w:tc>
          <w:tcPr>
            <w:tcW w:w="20" w:type="dxa"/>
            <w:vAlign w:val="bottom"/>
          </w:tcPr>
          <w:p>
            <w:pPr>
              <w:spacing w:after="0"/>
              <w:rPr>
                <w:sz w:val="12"/>
                <w:szCs w:val="12"/>
                <w:color w:val="auto"/>
              </w:rPr>
            </w:pPr>
          </w:p>
        </w:tc>
      </w:tr>
      <w:tr>
        <w:trPr>
          <w:trHeight w:val="160"/>
        </w:trPr>
        <w:tc>
          <w:tcPr>
            <w:tcW w:w="314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Interest rates and yields:</w:t>
            </w:r>
            <w:r>
              <w:rPr>
                <w:rFonts w:ascii="Arial" w:cs="Arial" w:eastAsia="Arial" w:hAnsi="Arial"/>
                <w:sz w:val="14"/>
                <w:szCs w:val="14"/>
                <w:color w:val="auto"/>
                <w:vertAlign w:val="superscript"/>
              </w:rPr>
              <w:t>(2)</w:t>
            </w:r>
          </w:p>
        </w:tc>
        <w:tc>
          <w:tcPr>
            <w:tcW w:w="2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r>
      <w:tr>
        <w:trPr>
          <w:trHeight w:val="160"/>
        </w:trPr>
        <w:tc>
          <w:tcPr>
            <w:tcW w:w="3140" w:type="dxa"/>
            <w:vAlign w:val="bottom"/>
          </w:tcPr>
          <w:p>
            <w:pPr>
              <w:ind w:left="100"/>
              <w:spacing w:after="0"/>
              <w:rPr>
                <w:sz w:val="20"/>
                <w:szCs w:val="20"/>
                <w:color w:val="auto"/>
              </w:rPr>
            </w:pPr>
            <w:r>
              <w:rPr>
                <w:rFonts w:ascii="Arial" w:cs="Arial" w:eastAsia="Arial" w:hAnsi="Arial"/>
                <w:sz w:val="11"/>
                <w:szCs w:val="11"/>
                <w:color w:val="auto"/>
              </w:rPr>
              <w:t>Loans</w:t>
            </w:r>
          </w:p>
        </w:tc>
        <w:tc>
          <w:tcPr>
            <w:tcW w:w="20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4.35%</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4.35%</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4.32%</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4.29%</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4.19%</w:t>
            </w:r>
          </w:p>
        </w:tc>
        <w:tc>
          <w:tcPr>
            <w:tcW w:w="20" w:type="dxa"/>
            <w:vAlign w:val="bottom"/>
          </w:tcPr>
          <w:p>
            <w:pPr>
              <w:spacing w:after="0"/>
              <w:rPr>
                <w:sz w:val="13"/>
                <w:szCs w:val="13"/>
                <w:color w:val="auto"/>
              </w:rPr>
            </w:pPr>
          </w:p>
        </w:tc>
      </w:tr>
      <w:tr>
        <w:trPr>
          <w:trHeight w:val="160"/>
        </w:trPr>
        <w:tc>
          <w:tcPr>
            <w:tcW w:w="3140" w:type="dxa"/>
            <w:vAlign w:val="bottom"/>
            <w:shd w:val="clear" w:color="auto" w:fill="CCEEFF"/>
          </w:tcPr>
          <w:p>
            <w:pPr>
              <w:ind w:left="100"/>
              <w:spacing w:after="0"/>
              <w:rPr>
                <w:sz w:val="20"/>
                <w:szCs w:val="20"/>
                <w:color w:val="auto"/>
              </w:rPr>
            </w:pPr>
            <w:r>
              <w:rPr>
                <w:rFonts w:ascii="Arial" w:cs="Arial" w:eastAsia="Arial" w:hAnsi="Arial"/>
                <w:sz w:val="11"/>
                <w:szCs w:val="11"/>
                <w:color w:val="auto"/>
              </w:rPr>
              <w:t>Investment securities</w:t>
            </w:r>
          </w:p>
        </w:tc>
        <w:tc>
          <w:tcPr>
            <w:tcW w:w="20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2.04%</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1.85%</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1.81%</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1.86%</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2.04%</w:t>
            </w:r>
          </w:p>
        </w:tc>
        <w:tc>
          <w:tcPr>
            <w:tcW w:w="20" w:type="dxa"/>
            <w:vAlign w:val="bottom"/>
            <w:shd w:val="clear" w:color="auto" w:fill="CCEEFF"/>
          </w:tcPr>
          <w:p>
            <w:pPr>
              <w:spacing w:after="0"/>
              <w:rPr>
                <w:sz w:val="13"/>
                <w:szCs w:val="13"/>
                <w:color w:val="auto"/>
              </w:rPr>
            </w:pPr>
          </w:p>
        </w:tc>
      </w:tr>
      <w:tr>
        <w:trPr>
          <w:trHeight w:val="160"/>
        </w:trPr>
        <w:tc>
          <w:tcPr>
            <w:tcW w:w="3140" w:type="dxa"/>
            <w:vAlign w:val="bottom"/>
          </w:tcPr>
          <w:p>
            <w:pPr>
              <w:ind w:left="100"/>
              <w:spacing w:after="0"/>
              <w:rPr>
                <w:sz w:val="20"/>
                <w:szCs w:val="20"/>
                <w:color w:val="auto"/>
              </w:rPr>
            </w:pPr>
            <w:r>
              <w:rPr>
                <w:rFonts w:ascii="Arial" w:cs="Arial" w:eastAsia="Arial" w:hAnsi="Arial"/>
                <w:sz w:val="11"/>
                <w:szCs w:val="11"/>
                <w:color w:val="auto"/>
              </w:rPr>
              <w:t>Total interest-earning assets</w:t>
            </w:r>
          </w:p>
        </w:tc>
        <w:tc>
          <w:tcPr>
            <w:tcW w:w="20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3.60%</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3.43%</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3.41%</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3.43%</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3.41%</w:t>
            </w:r>
          </w:p>
        </w:tc>
        <w:tc>
          <w:tcPr>
            <w:tcW w:w="20" w:type="dxa"/>
            <w:vAlign w:val="bottom"/>
          </w:tcPr>
          <w:p>
            <w:pPr>
              <w:spacing w:after="0"/>
              <w:rPr>
                <w:sz w:val="13"/>
                <w:szCs w:val="13"/>
                <w:color w:val="auto"/>
              </w:rPr>
            </w:pPr>
          </w:p>
        </w:tc>
      </w:tr>
      <w:tr>
        <w:trPr>
          <w:trHeight w:val="149"/>
        </w:trPr>
        <w:tc>
          <w:tcPr>
            <w:tcW w:w="3140" w:type="dxa"/>
            <w:vAlign w:val="bottom"/>
            <w:shd w:val="clear" w:color="auto" w:fill="CCEEFF"/>
          </w:tcPr>
          <w:p>
            <w:pPr>
              <w:ind w:left="100"/>
              <w:spacing w:after="0"/>
              <w:rPr>
                <w:sz w:val="20"/>
                <w:szCs w:val="20"/>
                <w:color w:val="auto"/>
              </w:rPr>
            </w:pPr>
            <w:r>
              <w:rPr>
                <w:rFonts w:ascii="Arial" w:cs="Arial" w:eastAsia="Arial" w:hAnsi="Arial"/>
                <w:sz w:val="11"/>
                <w:szCs w:val="11"/>
                <w:color w:val="auto"/>
              </w:rPr>
              <w:t>Deposits</w:t>
            </w: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0.21%</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0.20%</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0.21%</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0.22%</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0.26%</w:t>
            </w:r>
          </w:p>
        </w:tc>
        <w:tc>
          <w:tcPr>
            <w:tcW w:w="20" w:type="dxa"/>
            <w:vAlign w:val="bottom"/>
            <w:shd w:val="clear" w:color="auto" w:fill="CCEEFF"/>
          </w:tcPr>
          <w:p>
            <w:pPr>
              <w:spacing w:after="0"/>
              <w:rPr>
                <w:sz w:val="12"/>
                <w:szCs w:val="12"/>
                <w:color w:val="auto"/>
              </w:rPr>
            </w:pPr>
          </w:p>
        </w:tc>
      </w:tr>
      <w:tr>
        <w:trPr>
          <w:trHeight w:val="160"/>
        </w:trPr>
        <w:tc>
          <w:tcPr>
            <w:tcW w:w="3140" w:type="dxa"/>
            <w:vAlign w:val="bottom"/>
          </w:tcPr>
          <w:p>
            <w:pPr>
              <w:ind w:left="100"/>
              <w:spacing w:after="0"/>
              <w:rPr>
                <w:sz w:val="20"/>
                <w:szCs w:val="20"/>
                <w:color w:val="auto"/>
              </w:rPr>
            </w:pPr>
            <w:r>
              <w:rPr>
                <w:rFonts w:ascii="Arial" w:cs="Arial" w:eastAsia="Arial" w:hAnsi="Arial"/>
                <w:sz w:val="11"/>
                <w:szCs w:val="11"/>
                <w:color w:val="auto"/>
              </w:rPr>
              <w:t>Borrowings and repurchase agreements</w:t>
            </w:r>
          </w:p>
        </w:tc>
        <w:tc>
          <w:tcPr>
            <w:tcW w:w="20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1.53%</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1.54%</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1.51%</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1.52%</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1.52%</w:t>
            </w:r>
          </w:p>
        </w:tc>
        <w:tc>
          <w:tcPr>
            <w:tcW w:w="20" w:type="dxa"/>
            <w:vAlign w:val="bottom"/>
          </w:tcPr>
          <w:p>
            <w:pPr>
              <w:spacing w:after="0"/>
              <w:rPr>
                <w:sz w:val="13"/>
                <w:szCs w:val="13"/>
                <w:color w:val="auto"/>
              </w:rPr>
            </w:pPr>
          </w:p>
        </w:tc>
      </w:tr>
      <w:tr>
        <w:trPr>
          <w:trHeight w:val="160"/>
        </w:trPr>
        <w:tc>
          <w:tcPr>
            <w:tcW w:w="3140" w:type="dxa"/>
            <w:vAlign w:val="bottom"/>
            <w:shd w:val="clear" w:color="auto" w:fill="CCEEFF"/>
          </w:tcPr>
          <w:p>
            <w:pPr>
              <w:ind w:left="100"/>
              <w:spacing w:after="0"/>
              <w:rPr>
                <w:sz w:val="20"/>
                <w:szCs w:val="20"/>
                <w:color w:val="auto"/>
              </w:rPr>
            </w:pPr>
            <w:r>
              <w:rPr>
                <w:rFonts w:ascii="Arial" w:cs="Arial" w:eastAsia="Arial" w:hAnsi="Arial"/>
                <w:sz w:val="11"/>
                <w:szCs w:val="11"/>
                <w:color w:val="auto"/>
              </w:rPr>
              <w:t>Total interest-bearing liabilities</w:t>
            </w:r>
          </w:p>
        </w:tc>
        <w:tc>
          <w:tcPr>
            <w:tcW w:w="20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0.38%</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0.37%</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0.38%</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0.40%</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0.45%</w:t>
            </w:r>
          </w:p>
        </w:tc>
        <w:tc>
          <w:tcPr>
            <w:tcW w:w="20" w:type="dxa"/>
            <w:vAlign w:val="bottom"/>
            <w:shd w:val="clear" w:color="auto" w:fill="CCEEFF"/>
          </w:tcPr>
          <w:p>
            <w:pPr>
              <w:spacing w:after="0"/>
              <w:rPr>
                <w:sz w:val="13"/>
                <w:szCs w:val="13"/>
                <w:color w:val="auto"/>
              </w:rPr>
            </w:pPr>
          </w:p>
        </w:tc>
      </w:tr>
      <w:tr>
        <w:trPr>
          <w:trHeight w:val="160"/>
        </w:trPr>
        <w:tc>
          <w:tcPr>
            <w:tcW w:w="3140" w:type="dxa"/>
            <w:vAlign w:val="bottom"/>
          </w:tcPr>
          <w:p>
            <w:pPr>
              <w:spacing w:after="0"/>
              <w:rPr>
                <w:sz w:val="20"/>
                <w:szCs w:val="20"/>
                <w:color w:val="auto"/>
              </w:rPr>
            </w:pPr>
            <w:r>
              <w:rPr>
                <w:rFonts w:ascii="Arial" w:cs="Arial" w:eastAsia="Arial" w:hAnsi="Arial"/>
                <w:sz w:val="11"/>
                <w:szCs w:val="11"/>
                <w:b w:val="1"/>
                <w:bCs w:val="1"/>
                <w:color w:val="auto"/>
              </w:rPr>
              <w:t>Other information:</w:t>
            </w: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0"/>
        </w:trPr>
        <w:tc>
          <w:tcPr>
            <w:tcW w:w="3140" w:type="dxa"/>
            <w:vAlign w:val="bottom"/>
            <w:shd w:val="clear" w:color="auto" w:fill="CCEEFF"/>
          </w:tcPr>
          <w:p>
            <w:pPr>
              <w:ind w:left="100"/>
              <w:spacing w:after="0"/>
              <w:rPr>
                <w:sz w:val="20"/>
                <w:szCs w:val="20"/>
                <w:color w:val="auto"/>
              </w:rPr>
            </w:pPr>
            <w:r>
              <w:rPr>
                <w:rFonts w:ascii="Arial" w:cs="Arial" w:eastAsia="Arial" w:hAnsi="Arial"/>
                <w:sz w:val="11"/>
                <w:szCs w:val="11"/>
                <w:color w:val="auto"/>
              </w:rPr>
              <w:t>Full-time equivalent employees</w:t>
            </w:r>
          </w:p>
        </w:tc>
        <w:tc>
          <w:tcPr>
            <w:tcW w:w="20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192</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190</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187</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184</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183</w:t>
            </w:r>
          </w:p>
        </w:tc>
        <w:tc>
          <w:tcPr>
            <w:tcW w:w="20" w:type="dxa"/>
            <w:vAlign w:val="bottom"/>
            <w:shd w:val="clear" w:color="auto" w:fill="CCEEFF"/>
          </w:tcPr>
          <w:p>
            <w:pPr>
              <w:spacing w:after="0"/>
              <w:rPr>
                <w:sz w:val="13"/>
                <w:szCs w:val="13"/>
                <w:color w:val="auto"/>
              </w:rPr>
            </w:pPr>
          </w:p>
        </w:tc>
      </w:tr>
    </w:tbl>
    <w:p>
      <w:pPr>
        <w:spacing w:after="0" w:line="155" w:lineRule="exact"/>
        <w:rPr>
          <w:sz w:val="20"/>
          <w:szCs w:val="20"/>
          <w:color w:val="auto"/>
        </w:rPr>
      </w:pPr>
    </w:p>
    <w:p>
      <w:pPr>
        <w:ind w:left="860" w:hanging="197"/>
        <w:spacing w:after="0"/>
        <w:tabs>
          <w:tab w:leader="none" w:pos="860" w:val="left"/>
        </w:tabs>
        <w:numPr>
          <w:ilvl w:val="0"/>
          <w:numId w:val="11"/>
        </w:numPr>
        <w:rPr>
          <w:rFonts w:ascii="Arial" w:cs="Arial" w:eastAsia="Arial" w:hAnsi="Arial"/>
          <w:sz w:val="11"/>
          <w:szCs w:val="11"/>
          <w:color w:val="auto"/>
        </w:rPr>
      </w:pPr>
      <w:r>
        <w:rPr>
          <w:rFonts w:ascii="Arial" w:cs="Arial" w:eastAsia="Arial" w:hAnsi="Arial"/>
          <w:sz w:val="11"/>
          <w:szCs w:val="11"/>
          <w:color w:val="auto"/>
        </w:rPr>
        <w:t>Loan amounts include deferred fees/costs.</w:t>
      </w:r>
    </w:p>
    <w:p>
      <w:pPr>
        <w:spacing w:after="0" w:line="22" w:lineRule="exact"/>
        <w:rPr>
          <w:rFonts w:ascii="Arial" w:cs="Arial" w:eastAsia="Arial" w:hAnsi="Arial"/>
          <w:sz w:val="11"/>
          <w:szCs w:val="11"/>
          <w:color w:val="auto"/>
        </w:rPr>
      </w:pPr>
    </w:p>
    <w:p>
      <w:pPr>
        <w:ind w:left="860" w:hanging="197"/>
        <w:spacing w:after="0"/>
        <w:tabs>
          <w:tab w:leader="none" w:pos="860" w:val="left"/>
        </w:tabs>
        <w:numPr>
          <w:ilvl w:val="0"/>
          <w:numId w:val="11"/>
        </w:numPr>
        <w:rPr>
          <w:rFonts w:ascii="Arial" w:cs="Arial" w:eastAsia="Arial" w:hAnsi="Arial"/>
          <w:sz w:val="11"/>
          <w:szCs w:val="11"/>
          <w:color w:val="auto"/>
        </w:rPr>
      </w:pPr>
      <w:r>
        <w:rPr>
          <w:rFonts w:ascii="Arial" w:cs="Arial" w:eastAsia="Arial" w:hAnsi="Arial"/>
          <w:sz w:val="11"/>
          <w:szCs w:val="11"/>
          <w:color w:val="auto"/>
        </w:rPr>
        <w:t>Annualized.</w:t>
      </w:r>
    </w:p>
    <w:p>
      <w:pPr>
        <w:spacing w:after="0" w:line="33" w:lineRule="exact"/>
        <w:rPr>
          <w:rFonts w:ascii="Arial" w:cs="Arial" w:eastAsia="Arial" w:hAnsi="Arial"/>
          <w:sz w:val="11"/>
          <w:szCs w:val="11"/>
          <w:color w:val="auto"/>
        </w:rPr>
      </w:pPr>
    </w:p>
    <w:p>
      <w:pPr>
        <w:ind w:left="860" w:hanging="197"/>
        <w:spacing w:after="0"/>
        <w:tabs>
          <w:tab w:leader="none" w:pos="860" w:val="left"/>
        </w:tabs>
        <w:numPr>
          <w:ilvl w:val="0"/>
          <w:numId w:val="11"/>
        </w:numPr>
        <w:rPr>
          <w:rFonts w:ascii="Arial" w:cs="Arial" w:eastAsia="Arial" w:hAnsi="Arial"/>
          <w:sz w:val="11"/>
          <w:szCs w:val="11"/>
          <w:color w:val="auto"/>
        </w:rPr>
      </w:pPr>
      <w:r>
        <w:rPr>
          <w:rFonts w:ascii="Arial" w:cs="Arial" w:eastAsia="Arial" w:hAnsi="Arial"/>
          <w:sz w:val="11"/>
          <w:szCs w:val="11"/>
          <w:color w:val="auto"/>
        </w:rPr>
        <w:t>Efficiency ratio is defined as total non-interest expense divided by sum of net interest income and total non-interest income.</w:t>
      </w:r>
    </w:p>
    <w:p>
      <w:pPr>
        <w:spacing w:after="0" w:line="33" w:lineRule="exact"/>
        <w:rPr>
          <w:rFonts w:ascii="Arial" w:cs="Arial" w:eastAsia="Arial" w:hAnsi="Arial"/>
          <w:sz w:val="11"/>
          <w:szCs w:val="11"/>
          <w:color w:val="auto"/>
        </w:rPr>
      </w:pPr>
    </w:p>
    <w:p>
      <w:pPr>
        <w:ind w:left="860" w:hanging="197"/>
        <w:spacing w:after="0"/>
        <w:tabs>
          <w:tab w:leader="none" w:pos="860" w:val="left"/>
        </w:tabs>
        <w:numPr>
          <w:ilvl w:val="0"/>
          <w:numId w:val="11"/>
        </w:numPr>
        <w:rPr>
          <w:rFonts w:ascii="Arial" w:cs="Arial" w:eastAsia="Arial" w:hAnsi="Arial"/>
          <w:sz w:val="11"/>
          <w:szCs w:val="11"/>
          <w:color w:val="auto"/>
        </w:rPr>
      </w:pPr>
      <w:r>
        <w:rPr>
          <w:rFonts w:ascii="Arial" w:cs="Arial" w:eastAsia="Arial" w:hAnsi="Arial"/>
          <w:sz w:val="11"/>
          <w:szCs w:val="11"/>
          <w:color w:val="auto"/>
        </w:rPr>
        <w:t>Loan amounts exclude deferred fees/costs.</w:t>
      </w:r>
    </w:p>
    <w:p>
      <w:pPr>
        <w:spacing w:after="0" w:line="33" w:lineRule="exact"/>
        <w:rPr>
          <w:rFonts w:ascii="Arial" w:cs="Arial" w:eastAsia="Arial" w:hAnsi="Arial"/>
          <w:sz w:val="11"/>
          <w:szCs w:val="11"/>
          <w:color w:val="auto"/>
        </w:rPr>
      </w:pPr>
    </w:p>
    <w:p>
      <w:pPr>
        <w:ind w:left="660" w:right="739" w:firstLine="3"/>
        <w:spacing w:after="0" w:line="279" w:lineRule="auto"/>
        <w:tabs>
          <w:tab w:leader="none" w:pos="851" w:val="left"/>
        </w:tabs>
        <w:numPr>
          <w:ilvl w:val="0"/>
          <w:numId w:val="11"/>
        </w:numPr>
        <w:rPr>
          <w:rFonts w:ascii="Arial" w:cs="Arial" w:eastAsia="Arial" w:hAnsi="Arial"/>
          <w:sz w:val="11"/>
          <w:szCs w:val="11"/>
          <w:color w:val="auto"/>
        </w:rPr>
      </w:pPr>
      <w:r>
        <w:rPr>
          <w:rFonts w:ascii="Arial" w:cs="Arial" w:eastAsia="Arial" w:hAnsi="Arial"/>
          <w:sz w:val="11"/>
          <w:szCs w:val="11"/>
          <w:color w:val="auto"/>
        </w:rPr>
        <w:t>The amounts for total non-performing loans and total non-performing assets are the same for the dates presented since there were no impaired investments or other real estate owned (OREO) recorded.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9019"/>
          </w:cols>
          <w:pgMar w:left="1440" w:top="762" w:right="1440" w:bottom="1440" w:gutter="0" w:footer="0" w:header="0"/>
        </w:sectPr>
      </w:pPr>
    </w:p>
    <w:bookmarkStart w:id="9" w:name="page10"/>
    <w:bookmarkEnd w:id="9"/>
    <w:p>
      <w:pPr>
        <w:jc w:val="center"/>
        <w:spacing w:after="0"/>
        <w:rPr>
          <w:sz w:val="20"/>
          <w:szCs w:val="20"/>
          <w:color w:val="auto"/>
        </w:rPr>
      </w:pPr>
      <w:r>
        <w:rPr>
          <w:rFonts w:ascii="Arial" w:cs="Arial" w:eastAsia="Arial" w:hAnsi="Arial"/>
          <w:sz w:val="11"/>
          <w:szCs w:val="11"/>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USCB FINANCIAL HOLDINGS, INC.</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NET INTEREST MARGIN (UNAUDITED)</w:t>
      </w:r>
    </w:p>
    <w:p>
      <w:pPr>
        <w:spacing w:after="0" w:line="57"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(Dollars in thousands)</w:t>
      </w:r>
    </w:p>
    <w:p>
      <w:pPr>
        <w:spacing w:after="0" w:line="224" w:lineRule="exact"/>
        <w:rPr>
          <w:sz w:val="20"/>
          <w:szCs w:val="20"/>
          <w:color w:val="auto"/>
        </w:rPr>
      </w:pPr>
    </w:p>
    <w:tbl>
      <w:tblPr>
        <w:tblLayout w:type="fixed"/>
        <w:tblInd w:w="660" w:type="dxa"/>
        <w:tblCellMar>
          <w:top w:w="0" w:type="dxa"/>
          <w:left w:w="0" w:type="dxa"/>
          <w:bottom w:w="0" w:type="dxa"/>
          <w:right w:w="0" w:type="dxa"/>
        </w:tblCellMar>
      </w:tblPr>
      <w:tr>
        <w:trPr>
          <w:trHeight w:val="135"/>
        </w:trPr>
        <w:tc>
          <w:tcPr>
            <w:tcW w:w="26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620" w:type="dxa"/>
            <w:vAlign w:val="bottom"/>
            <w:tcBorders>
              <w:bottom w:val="single" w:sz="8" w:color="auto"/>
            </w:tcBorders>
            <w:gridSpan w:val="7"/>
          </w:tcPr>
          <w:p>
            <w:pPr>
              <w:jc w:val="right"/>
              <w:ind w:right="63"/>
              <w:spacing w:after="0"/>
              <w:rPr>
                <w:sz w:val="20"/>
                <w:szCs w:val="20"/>
                <w:color w:val="auto"/>
              </w:rPr>
            </w:pPr>
            <w:r>
              <w:rPr>
                <w:rFonts w:ascii="Arial" w:cs="Arial" w:eastAsia="Arial" w:hAnsi="Arial"/>
                <w:sz w:val="11"/>
                <w:szCs w:val="11"/>
                <w:b w:val="1"/>
                <w:bCs w:val="1"/>
                <w:color w:val="auto"/>
                <w:w w:val="94"/>
              </w:rPr>
              <w:t>Three Months Ended June 30,</w:t>
            </w:r>
          </w:p>
        </w:tc>
        <w:tc>
          <w:tcPr>
            <w:tcW w:w="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r>
      <w:tr>
        <w:trPr>
          <w:trHeight w:val="140"/>
        </w:trPr>
        <w:tc>
          <w:tcPr>
            <w:tcW w:w="262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ind w:left="40"/>
              <w:spacing w:after="0"/>
              <w:rPr>
                <w:sz w:val="20"/>
                <w:szCs w:val="20"/>
                <w:color w:val="auto"/>
              </w:rPr>
            </w:pPr>
            <w:r>
              <w:rPr>
                <w:rFonts w:ascii="Arial" w:cs="Arial" w:eastAsia="Arial" w:hAnsi="Arial"/>
                <w:sz w:val="11"/>
                <w:szCs w:val="11"/>
                <w:b w:val="1"/>
                <w:bCs w:val="1"/>
                <w:color w:val="auto"/>
              </w:rPr>
              <w:t>2022</w:t>
            </w:r>
          </w:p>
        </w:tc>
        <w:tc>
          <w:tcPr>
            <w:tcW w:w="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ind w:left="80"/>
              <w:spacing w:after="0"/>
              <w:rPr>
                <w:sz w:val="20"/>
                <w:szCs w:val="20"/>
                <w:color w:val="auto"/>
              </w:rPr>
            </w:pPr>
            <w:r>
              <w:rPr>
                <w:rFonts w:ascii="Arial" w:cs="Arial" w:eastAsia="Arial" w:hAnsi="Arial"/>
                <w:sz w:val="11"/>
                <w:szCs w:val="11"/>
                <w:b w:val="1"/>
                <w:bCs w:val="1"/>
                <w:color w:val="auto"/>
              </w:rPr>
              <w:t>2021</w:t>
            </w:r>
          </w:p>
        </w:tc>
        <w:tc>
          <w:tcPr>
            <w:tcW w:w="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r>
      <w:tr>
        <w:trPr>
          <w:trHeight w:val="122"/>
        </w:trPr>
        <w:tc>
          <w:tcPr>
            <w:tcW w:w="2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jc w:val="right"/>
              <w:ind w:right="163"/>
              <w:spacing w:after="0" w:line="122" w:lineRule="exact"/>
              <w:rPr>
                <w:sz w:val="20"/>
                <w:szCs w:val="20"/>
                <w:color w:val="auto"/>
              </w:rPr>
            </w:pPr>
            <w:r>
              <w:rPr>
                <w:rFonts w:ascii="Arial" w:cs="Arial" w:eastAsia="Arial" w:hAnsi="Arial"/>
                <w:sz w:val="11"/>
                <w:szCs w:val="11"/>
                <w:b w:val="1"/>
                <w:bCs w:val="1"/>
                <w:color w:val="auto"/>
              </w:rPr>
              <w:t>Average</w:t>
            </w: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jc w:val="right"/>
              <w:ind w:right="163"/>
              <w:spacing w:after="0" w:line="122" w:lineRule="exact"/>
              <w:rPr>
                <w:sz w:val="20"/>
                <w:szCs w:val="20"/>
                <w:color w:val="auto"/>
              </w:rPr>
            </w:pPr>
            <w:r>
              <w:rPr>
                <w:rFonts w:ascii="Arial" w:cs="Arial" w:eastAsia="Arial" w:hAnsi="Arial"/>
                <w:sz w:val="11"/>
                <w:szCs w:val="11"/>
                <w:b w:val="1"/>
                <w:bCs w:val="1"/>
                <w:color w:val="auto"/>
              </w:rPr>
              <w:t>Average</w:t>
            </w: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126"/>
        </w:trPr>
        <w:tc>
          <w:tcPr>
            <w:tcW w:w="2620" w:type="dxa"/>
            <w:vAlign w:val="bottom"/>
            <w:tcBorders>
              <w:bottom w:val="single" w:sz="8" w:color="CCEEFF"/>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jc w:val="right"/>
              <w:ind w:right="163"/>
              <w:spacing w:after="0" w:line="125" w:lineRule="exact"/>
              <w:rPr>
                <w:sz w:val="20"/>
                <w:szCs w:val="20"/>
                <w:color w:val="auto"/>
              </w:rPr>
            </w:pPr>
            <w:r>
              <w:rPr>
                <w:rFonts w:ascii="Arial" w:cs="Arial" w:eastAsia="Arial" w:hAnsi="Arial"/>
                <w:sz w:val="11"/>
                <w:szCs w:val="11"/>
                <w:b w:val="1"/>
                <w:bCs w:val="1"/>
                <w:color w:val="auto"/>
              </w:rPr>
              <w:t>Balance</w:t>
            </w:r>
          </w:p>
        </w:tc>
        <w:tc>
          <w:tcPr>
            <w:tcW w:w="20" w:type="dxa"/>
            <w:vAlign w:val="bottom"/>
          </w:tcPr>
          <w:p>
            <w:pPr>
              <w:spacing w:after="0"/>
              <w:rPr>
                <w:sz w:val="10"/>
                <w:szCs w:val="10"/>
                <w:color w:val="auto"/>
              </w:rPr>
            </w:pPr>
          </w:p>
        </w:tc>
        <w:tc>
          <w:tcPr>
            <w:tcW w:w="40" w:type="dxa"/>
            <w:vAlign w:val="bottom"/>
            <w:tcBorders>
              <w:bottom w:val="single" w:sz="8" w:color="CCEEFF"/>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ind w:left="40"/>
              <w:spacing w:after="0" w:line="125" w:lineRule="exact"/>
              <w:rPr>
                <w:sz w:val="20"/>
                <w:szCs w:val="20"/>
                <w:color w:val="auto"/>
              </w:rPr>
            </w:pPr>
            <w:r>
              <w:rPr>
                <w:rFonts w:ascii="Arial" w:cs="Arial" w:eastAsia="Arial" w:hAnsi="Arial"/>
                <w:sz w:val="11"/>
                <w:szCs w:val="11"/>
                <w:b w:val="1"/>
                <w:bCs w:val="1"/>
                <w:color w:val="auto"/>
              </w:rPr>
              <w:t>Interest</w:t>
            </w:r>
          </w:p>
        </w:tc>
        <w:tc>
          <w:tcPr>
            <w:tcW w:w="20" w:type="dxa"/>
            <w:vAlign w:val="bottom"/>
          </w:tcPr>
          <w:p>
            <w:pPr>
              <w:spacing w:after="0"/>
              <w:rPr>
                <w:sz w:val="10"/>
                <w:szCs w:val="10"/>
                <w:color w:val="auto"/>
              </w:rPr>
            </w:pPr>
          </w:p>
        </w:tc>
        <w:tc>
          <w:tcPr>
            <w:tcW w:w="20" w:type="dxa"/>
            <w:vAlign w:val="bottom"/>
            <w:tcBorders>
              <w:bottom w:val="single" w:sz="8" w:color="CCEEFF"/>
            </w:tcBorders>
          </w:tcPr>
          <w:p>
            <w:pPr>
              <w:spacing w:after="0"/>
              <w:rPr>
                <w:sz w:val="10"/>
                <w:szCs w:val="10"/>
                <w:color w:val="auto"/>
              </w:rPr>
            </w:pPr>
          </w:p>
        </w:tc>
        <w:tc>
          <w:tcPr>
            <w:tcW w:w="700" w:type="dxa"/>
            <w:vAlign w:val="bottom"/>
            <w:tcBorders>
              <w:bottom w:val="single" w:sz="8" w:color="auto"/>
            </w:tcBorders>
            <w:gridSpan w:val="2"/>
          </w:tcPr>
          <w:p>
            <w:pPr>
              <w:ind w:left="40"/>
              <w:spacing w:after="0" w:line="125" w:lineRule="exact"/>
              <w:rPr>
                <w:sz w:val="20"/>
                <w:szCs w:val="20"/>
                <w:color w:val="auto"/>
              </w:rPr>
            </w:pPr>
            <w:r>
              <w:rPr>
                <w:rFonts w:ascii="Arial" w:cs="Arial" w:eastAsia="Arial" w:hAnsi="Arial"/>
                <w:sz w:val="11"/>
                <w:szCs w:val="11"/>
                <w:b w:val="1"/>
                <w:bCs w:val="1"/>
                <w:color w:val="auto"/>
                <w:w w:val="94"/>
              </w:rPr>
              <w:t xml:space="preserve">Yield/Rate </w:t>
            </w:r>
            <w:r>
              <w:rPr>
                <w:rFonts w:ascii="Arial" w:cs="Arial" w:eastAsia="Arial" w:hAnsi="Arial"/>
                <w:sz w:val="14"/>
                <w:szCs w:val="14"/>
                <w:color w:val="auto"/>
                <w:w w:val="94"/>
                <w:vertAlign w:val="superscript"/>
              </w:rPr>
              <w:t>(1)</w:t>
            </w:r>
          </w:p>
        </w:tc>
        <w:tc>
          <w:tcPr>
            <w:tcW w:w="60" w:type="dxa"/>
            <w:vAlign w:val="bottom"/>
            <w:tcBorders>
              <w:bottom w:val="single" w:sz="8" w:color="CCEEFF"/>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jc w:val="right"/>
              <w:ind w:right="163"/>
              <w:spacing w:after="0" w:line="125" w:lineRule="exact"/>
              <w:rPr>
                <w:sz w:val="20"/>
                <w:szCs w:val="20"/>
                <w:color w:val="auto"/>
              </w:rPr>
            </w:pPr>
            <w:r>
              <w:rPr>
                <w:rFonts w:ascii="Arial" w:cs="Arial" w:eastAsia="Arial" w:hAnsi="Arial"/>
                <w:sz w:val="11"/>
                <w:szCs w:val="11"/>
                <w:b w:val="1"/>
                <w:bCs w:val="1"/>
                <w:color w:val="auto"/>
              </w:rPr>
              <w:t>Balance</w:t>
            </w:r>
          </w:p>
        </w:tc>
        <w:tc>
          <w:tcPr>
            <w:tcW w:w="20" w:type="dxa"/>
            <w:vAlign w:val="bottom"/>
          </w:tcPr>
          <w:p>
            <w:pPr>
              <w:spacing w:after="0"/>
              <w:rPr>
                <w:sz w:val="10"/>
                <w:szCs w:val="10"/>
                <w:color w:val="auto"/>
              </w:rPr>
            </w:pPr>
          </w:p>
        </w:tc>
        <w:tc>
          <w:tcPr>
            <w:tcW w:w="40" w:type="dxa"/>
            <w:vAlign w:val="bottom"/>
            <w:tcBorders>
              <w:bottom w:val="single" w:sz="8" w:color="CCEEFF"/>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ind w:left="80"/>
              <w:spacing w:after="0" w:line="125" w:lineRule="exact"/>
              <w:rPr>
                <w:sz w:val="20"/>
                <w:szCs w:val="20"/>
                <w:color w:val="auto"/>
              </w:rPr>
            </w:pPr>
            <w:r>
              <w:rPr>
                <w:rFonts w:ascii="Arial" w:cs="Arial" w:eastAsia="Arial" w:hAnsi="Arial"/>
                <w:sz w:val="11"/>
                <w:szCs w:val="11"/>
                <w:b w:val="1"/>
                <w:bCs w:val="1"/>
                <w:color w:val="auto"/>
              </w:rPr>
              <w:t>Interest</w:t>
            </w:r>
          </w:p>
        </w:tc>
        <w:tc>
          <w:tcPr>
            <w:tcW w:w="20" w:type="dxa"/>
            <w:vAlign w:val="bottom"/>
          </w:tcPr>
          <w:p>
            <w:pPr>
              <w:spacing w:after="0"/>
              <w:rPr>
                <w:sz w:val="10"/>
                <w:szCs w:val="10"/>
                <w:color w:val="auto"/>
              </w:rPr>
            </w:pPr>
          </w:p>
        </w:tc>
        <w:tc>
          <w:tcPr>
            <w:tcW w:w="20" w:type="dxa"/>
            <w:vAlign w:val="bottom"/>
            <w:tcBorders>
              <w:bottom w:val="single" w:sz="8" w:color="CCEEFF"/>
            </w:tcBorders>
          </w:tcPr>
          <w:p>
            <w:pPr>
              <w:spacing w:after="0"/>
              <w:rPr>
                <w:sz w:val="10"/>
                <w:szCs w:val="10"/>
                <w:color w:val="auto"/>
              </w:rPr>
            </w:pPr>
          </w:p>
        </w:tc>
        <w:tc>
          <w:tcPr>
            <w:tcW w:w="700" w:type="dxa"/>
            <w:vAlign w:val="bottom"/>
            <w:tcBorders>
              <w:bottom w:val="single" w:sz="8" w:color="auto"/>
            </w:tcBorders>
            <w:gridSpan w:val="2"/>
          </w:tcPr>
          <w:p>
            <w:pPr>
              <w:ind w:left="40"/>
              <w:spacing w:after="0" w:line="125" w:lineRule="exact"/>
              <w:rPr>
                <w:sz w:val="20"/>
                <w:szCs w:val="20"/>
                <w:color w:val="auto"/>
              </w:rPr>
            </w:pPr>
            <w:r>
              <w:rPr>
                <w:rFonts w:ascii="Arial" w:cs="Arial" w:eastAsia="Arial" w:hAnsi="Arial"/>
                <w:sz w:val="11"/>
                <w:szCs w:val="11"/>
                <w:b w:val="1"/>
                <w:bCs w:val="1"/>
                <w:color w:val="auto"/>
                <w:w w:val="94"/>
              </w:rPr>
              <w:t xml:space="preserve">Yield/Rate </w:t>
            </w:r>
            <w:r>
              <w:rPr>
                <w:rFonts w:ascii="Arial" w:cs="Arial" w:eastAsia="Arial" w:hAnsi="Arial"/>
                <w:sz w:val="14"/>
                <w:szCs w:val="14"/>
                <w:color w:val="auto"/>
                <w:w w:val="94"/>
                <w:vertAlign w:val="superscript"/>
              </w:rPr>
              <w:t>(1)</w:t>
            </w:r>
          </w:p>
        </w:tc>
        <w:tc>
          <w:tcPr>
            <w:tcW w:w="20" w:type="dxa"/>
            <w:vAlign w:val="bottom"/>
          </w:tcPr>
          <w:p>
            <w:pPr>
              <w:spacing w:after="0"/>
              <w:rPr>
                <w:sz w:val="10"/>
                <w:szCs w:val="10"/>
                <w:color w:val="auto"/>
              </w:rPr>
            </w:pPr>
          </w:p>
        </w:tc>
      </w:tr>
      <w:tr>
        <w:trPr>
          <w:trHeight w:val="160"/>
        </w:trPr>
        <w:tc>
          <w:tcPr>
            <w:tcW w:w="262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Assets</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r>
      <w:tr>
        <w:trPr>
          <w:trHeight w:val="160"/>
        </w:trPr>
        <w:tc>
          <w:tcPr>
            <w:tcW w:w="2620" w:type="dxa"/>
            <w:vAlign w:val="bottom"/>
          </w:tcPr>
          <w:p>
            <w:pPr>
              <w:spacing w:after="0"/>
              <w:rPr>
                <w:sz w:val="20"/>
                <w:szCs w:val="20"/>
                <w:color w:val="auto"/>
              </w:rPr>
            </w:pPr>
            <w:r>
              <w:rPr>
                <w:rFonts w:ascii="Arial" w:cs="Arial" w:eastAsia="Arial" w:hAnsi="Arial"/>
                <w:sz w:val="11"/>
                <w:szCs w:val="11"/>
                <w:b w:val="1"/>
                <w:bCs w:val="1"/>
                <w:color w:val="auto"/>
              </w:rPr>
              <w:t>Interest-earning assets:</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0"/>
        </w:trPr>
        <w:tc>
          <w:tcPr>
            <w:tcW w:w="2620" w:type="dxa"/>
            <w:vAlign w:val="bottom"/>
            <w:shd w:val="clear" w:color="auto" w:fill="CCEEFF"/>
          </w:tcPr>
          <w:p>
            <w:pPr>
              <w:ind w:left="100"/>
              <w:spacing w:after="0"/>
              <w:rPr>
                <w:sz w:val="20"/>
                <w:szCs w:val="20"/>
                <w:color w:val="auto"/>
              </w:rPr>
            </w:pPr>
            <w:r>
              <w:rPr>
                <w:rFonts w:ascii="Arial" w:cs="Arial" w:eastAsia="Arial" w:hAnsi="Arial"/>
                <w:sz w:val="11"/>
                <w:szCs w:val="11"/>
                <w:color w:val="auto"/>
              </w:rPr>
              <w:t xml:space="preserve">Loans </w:t>
            </w:r>
            <w:r>
              <w:rPr>
                <w:rFonts w:ascii="Arial" w:cs="Arial" w:eastAsia="Arial" w:hAnsi="Arial"/>
                <w:sz w:val="14"/>
                <w:szCs w:val="14"/>
                <w:color w:val="auto"/>
                <w:vertAlign w:val="superscript"/>
              </w:rPr>
              <w:t>(2)</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1,296,476</w:t>
            </w:r>
          </w:p>
        </w:tc>
        <w:tc>
          <w:tcPr>
            <w:tcW w:w="20" w:type="dxa"/>
            <w:vAlign w:val="bottom"/>
            <w:shd w:val="clear" w:color="auto" w:fill="CCEEFF"/>
          </w:tcPr>
          <w:p>
            <w:pPr>
              <w:spacing w:after="0"/>
              <w:rPr>
                <w:sz w:val="13"/>
                <w:szCs w:val="13"/>
                <w:color w:val="auto"/>
              </w:rPr>
            </w:pPr>
          </w:p>
        </w:tc>
        <w:tc>
          <w:tcPr>
            <w:tcW w:w="240" w:type="dxa"/>
            <w:vAlign w:val="bottom"/>
            <w:gridSpan w:val="3"/>
            <w:shd w:val="clear" w:color="auto" w:fill="CCEEFF"/>
          </w:tcPr>
          <w:p>
            <w:pPr>
              <w:jc w:val="right"/>
              <w:ind w:right="4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14,053</w:t>
            </w:r>
          </w:p>
        </w:tc>
        <w:tc>
          <w:tcPr>
            <w:tcW w:w="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4.35%</w:t>
            </w:r>
          </w:p>
        </w:tc>
        <w:tc>
          <w:tcPr>
            <w:tcW w:w="40" w:type="dxa"/>
            <w:vAlign w:val="bottom"/>
            <w:shd w:val="clear" w:color="auto" w:fill="CCEEFF"/>
          </w:tcPr>
          <w:p>
            <w:pPr>
              <w:spacing w:after="0"/>
              <w:rPr>
                <w:sz w:val="13"/>
                <w:szCs w:val="13"/>
                <w:color w:val="auto"/>
              </w:rPr>
            </w:pP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1,088,492</w:t>
            </w:r>
          </w:p>
        </w:tc>
        <w:tc>
          <w:tcPr>
            <w:tcW w:w="20" w:type="dxa"/>
            <w:vAlign w:val="bottom"/>
            <w:shd w:val="clear" w:color="auto" w:fill="CCEEFF"/>
          </w:tcPr>
          <w:p>
            <w:pPr>
              <w:spacing w:after="0"/>
              <w:rPr>
                <w:sz w:val="13"/>
                <w:szCs w:val="13"/>
                <w:color w:val="auto"/>
              </w:rPr>
            </w:pPr>
          </w:p>
        </w:tc>
        <w:tc>
          <w:tcPr>
            <w:tcW w:w="200" w:type="dxa"/>
            <w:vAlign w:val="bottom"/>
            <w:gridSpan w:val="3"/>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11,538</w:t>
            </w:r>
          </w:p>
        </w:tc>
        <w:tc>
          <w:tcPr>
            <w:tcW w:w="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4.19%</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r>
      <w:tr>
        <w:trPr>
          <w:trHeight w:val="160"/>
        </w:trPr>
        <w:tc>
          <w:tcPr>
            <w:tcW w:w="2620" w:type="dxa"/>
            <w:vAlign w:val="bottom"/>
          </w:tcPr>
          <w:p>
            <w:pPr>
              <w:ind w:left="100"/>
              <w:spacing w:after="0"/>
              <w:rPr>
                <w:sz w:val="20"/>
                <w:szCs w:val="20"/>
                <w:color w:val="auto"/>
              </w:rPr>
            </w:pPr>
            <w:r>
              <w:rPr>
                <w:rFonts w:ascii="Arial" w:cs="Arial" w:eastAsia="Arial" w:hAnsi="Arial"/>
                <w:sz w:val="11"/>
                <w:szCs w:val="11"/>
                <w:color w:val="auto"/>
              </w:rPr>
              <w:t xml:space="preserve">Investment securities </w:t>
            </w:r>
            <w:r>
              <w:rPr>
                <w:rFonts w:ascii="Arial" w:cs="Arial" w:eastAsia="Arial" w:hAnsi="Arial"/>
                <w:sz w:val="14"/>
                <w:szCs w:val="14"/>
                <w:color w:val="auto"/>
                <w:vertAlign w:val="superscript"/>
              </w:rPr>
              <w:t>(3)</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493,352</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2,510</w:t>
            </w:r>
          </w:p>
        </w:tc>
        <w:tc>
          <w:tcPr>
            <w:tcW w:w="700" w:type="dxa"/>
            <w:vAlign w:val="bottom"/>
            <w:gridSpan w:val="3"/>
          </w:tcPr>
          <w:p>
            <w:pPr>
              <w:jc w:val="right"/>
              <w:spacing w:after="0"/>
              <w:rPr>
                <w:sz w:val="20"/>
                <w:szCs w:val="20"/>
                <w:color w:val="auto"/>
              </w:rPr>
            </w:pPr>
            <w:r>
              <w:rPr>
                <w:rFonts w:ascii="Arial" w:cs="Arial" w:eastAsia="Arial" w:hAnsi="Arial"/>
                <w:sz w:val="11"/>
                <w:szCs w:val="11"/>
                <w:color w:val="auto"/>
              </w:rPr>
              <w:t>2.04%</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385,090</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1,968</w:t>
            </w:r>
          </w:p>
        </w:tc>
        <w:tc>
          <w:tcPr>
            <w:tcW w:w="700" w:type="dxa"/>
            <w:vAlign w:val="bottom"/>
            <w:gridSpan w:val="3"/>
          </w:tcPr>
          <w:p>
            <w:pPr>
              <w:jc w:val="right"/>
              <w:spacing w:after="0"/>
              <w:rPr>
                <w:sz w:val="20"/>
                <w:szCs w:val="20"/>
                <w:color w:val="auto"/>
              </w:rPr>
            </w:pPr>
            <w:r>
              <w:rPr>
                <w:rFonts w:ascii="Arial" w:cs="Arial" w:eastAsia="Arial" w:hAnsi="Arial"/>
                <w:sz w:val="11"/>
                <w:szCs w:val="11"/>
                <w:color w:val="auto"/>
              </w:rPr>
              <w:t>2.04%</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0"/>
        </w:trPr>
        <w:tc>
          <w:tcPr>
            <w:tcW w:w="26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1"/>
                <w:szCs w:val="11"/>
                <w:color w:val="auto"/>
              </w:rPr>
              <w:t>Other interest-earnings assets</w:t>
            </w:r>
          </w:p>
        </w:tc>
        <w:tc>
          <w:tcPr>
            <w:tcW w:w="20" w:type="dxa"/>
            <w:vAlign w:val="bottom"/>
            <w:tcBorders>
              <w:bottom w:val="single" w:sz="8" w:color="auto"/>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69,503</w:t>
            </w:r>
          </w:p>
        </w:tc>
        <w:tc>
          <w:tcPr>
            <w:tcW w:w="2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121</w:t>
            </w: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0.70%</w:t>
            </w:r>
          </w:p>
        </w:tc>
        <w:tc>
          <w:tcPr>
            <w:tcW w:w="40" w:type="dxa"/>
            <w:vAlign w:val="bottom"/>
            <w:tcBorders>
              <w:bottom w:val="single" w:sz="8" w:color="auto"/>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101,134</w:t>
            </w:r>
          </w:p>
        </w:tc>
        <w:tc>
          <w:tcPr>
            <w:tcW w:w="2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23</w:t>
            </w:r>
          </w:p>
        </w:tc>
        <w:tc>
          <w:tcPr>
            <w:tcW w:w="2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0.09%</w:t>
            </w:r>
          </w:p>
        </w:tc>
        <w:tc>
          <w:tcPr>
            <w:tcW w:w="40" w:type="dxa"/>
            <w:vAlign w:val="bottom"/>
            <w:tcBorders>
              <w:bottom w:val="single" w:sz="8" w:color="auto"/>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r>
      <w:tr>
        <w:trPr>
          <w:trHeight w:val="161"/>
        </w:trPr>
        <w:tc>
          <w:tcPr>
            <w:tcW w:w="2620" w:type="dxa"/>
            <w:vAlign w:val="bottom"/>
          </w:tcPr>
          <w:p>
            <w:pPr>
              <w:ind w:left="200"/>
              <w:spacing w:after="0"/>
              <w:rPr>
                <w:sz w:val="20"/>
                <w:szCs w:val="20"/>
                <w:color w:val="auto"/>
              </w:rPr>
            </w:pPr>
            <w:r>
              <w:rPr>
                <w:rFonts w:ascii="Arial" w:cs="Arial" w:eastAsia="Arial" w:hAnsi="Arial"/>
                <w:sz w:val="11"/>
                <w:szCs w:val="11"/>
                <w:color w:val="auto"/>
              </w:rPr>
              <w:t>Total interest-earning assets</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1,859,331</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16,684</w:t>
            </w:r>
          </w:p>
        </w:tc>
        <w:tc>
          <w:tcPr>
            <w:tcW w:w="700" w:type="dxa"/>
            <w:vAlign w:val="bottom"/>
            <w:gridSpan w:val="3"/>
          </w:tcPr>
          <w:p>
            <w:pPr>
              <w:jc w:val="right"/>
              <w:spacing w:after="0"/>
              <w:rPr>
                <w:sz w:val="20"/>
                <w:szCs w:val="20"/>
                <w:color w:val="auto"/>
              </w:rPr>
            </w:pPr>
            <w:r>
              <w:rPr>
                <w:rFonts w:ascii="Arial" w:cs="Arial" w:eastAsia="Arial" w:hAnsi="Arial"/>
                <w:sz w:val="11"/>
                <w:szCs w:val="11"/>
                <w:color w:val="auto"/>
              </w:rPr>
              <w:t>3.60%</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1,574,716</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13,529</w:t>
            </w:r>
          </w:p>
        </w:tc>
        <w:tc>
          <w:tcPr>
            <w:tcW w:w="700" w:type="dxa"/>
            <w:vAlign w:val="bottom"/>
            <w:gridSpan w:val="3"/>
          </w:tcPr>
          <w:p>
            <w:pPr>
              <w:jc w:val="right"/>
              <w:spacing w:after="0"/>
              <w:rPr>
                <w:sz w:val="20"/>
                <w:szCs w:val="20"/>
                <w:color w:val="auto"/>
              </w:rPr>
            </w:pPr>
            <w:r>
              <w:rPr>
                <w:rFonts w:ascii="Arial" w:cs="Arial" w:eastAsia="Arial" w:hAnsi="Arial"/>
                <w:sz w:val="11"/>
                <w:szCs w:val="11"/>
                <w:color w:val="auto"/>
              </w:rPr>
              <w:t>3.41%</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0"/>
        </w:trPr>
        <w:tc>
          <w:tcPr>
            <w:tcW w:w="2620" w:type="dxa"/>
            <w:vAlign w:val="bottom"/>
            <w:shd w:val="clear" w:color="auto" w:fill="CCEEFF"/>
          </w:tcPr>
          <w:p>
            <w:pPr>
              <w:ind w:left="100"/>
              <w:spacing w:after="0"/>
              <w:rPr>
                <w:sz w:val="20"/>
                <w:szCs w:val="20"/>
                <w:color w:val="auto"/>
              </w:rPr>
            </w:pPr>
            <w:r>
              <w:rPr>
                <w:rFonts w:ascii="Arial" w:cs="Arial" w:eastAsia="Arial" w:hAnsi="Arial"/>
                <w:sz w:val="11"/>
                <w:szCs w:val="11"/>
                <w:color w:val="auto"/>
              </w:rPr>
              <w:t>Non-interest-earning assets</w:t>
            </w:r>
          </w:p>
        </w:tc>
        <w:tc>
          <w:tcPr>
            <w:tcW w:w="20" w:type="dxa"/>
            <w:vAlign w:val="bottom"/>
            <w:tcBorders>
              <w:bottom w:val="single" w:sz="8" w:color="auto"/>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109,050</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85,344</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r>
      <w:tr>
        <w:trPr>
          <w:trHeight w:val="191"/>
        </w:trPr>
        <w:tc>
          <w:tcPr>
            <w:tcW w:w="2620" w:type="dxa"/>
            <w:vAlign w:val="bottom"/>
          </w:tcPr>
          <w:p>
            <w:pPr>
              <w:ind w:left="200"/>
              <w:spacing w:after="0"/>
              <w:rPr>
                <w:sz w:val="20"/>
                <w:szCs w:val="20"/>
                <w:color w:val="auto"/>
              </w:rPr>
            </w:pPr>
            <w:r>
              <w:rPr>
                <w:rFonts w:ascii="Arial" w:cs="Arial" w:eastAsia="Arial" w:hAnsi="Arial"/>
                <w:sz w:val="11"/>
                <w:szCs w:val="11"/>
                <w:color w:val="auto"/>
              </w:rPr>
              <w:t>Total assets</w:t>
            </w:r>
          </w:p>
        </w:tc>
        <w:tc>
          <w:tcPr>
            <w:tcW w:w="16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1,968,381</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gridSpan w:val="3"/>
          </w:tcPr>
          <w:p>
            <w:pPr>
              <w:jc w:val="right"/>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1,660,060</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00"/>
        </w:trPr>
        <w:tc>
          <w:tcPr>
            <w:tcW w:w="2620" w:type="dxa"/>
            <w:vAlign w:val="bottom"/>
            <w:tcBorders>
              <w:top w:val="single" w:sz="8" w:color="CCEEFF"/>
            </w:tcBorders>
            <w:shd w:val="clear" w:color="auto" w:fill="CCEEFF"/>
          </w:tcPr>
          <w:p>
            <w:pPr>
              <w:spacing w:after="0" w:line="100" w:lineRule="exact"/>
              <w:rPr>
                <w:sz w:val="20"/>
                <w:szCs w:val="20"/>
                <w:color w:val="auto"/>
              </w:rPr>
            </w:pPr>
            <w:r>
              <w:rPr>
                <w:rFonts w:ascii="Arial" w:cs="Arial" w:eastAsia="Arial" w:hAnsi="Arial"/>
                <w:sz w:val="11"/>
                <w:szCs w:val="11"/>
                <w:b w:val="1"/>
                <w:bCs w:val="1"/>
                <w:color w:val="auto"/>
              </w:rPr>
              <w:t>Liabilities and stockholders' equity</w:t>
            </w:r>
          </w:p>
        </w:tc>
        <w:tc>
          <w:tcPr>
            <w:tcW w:w="2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auto"/>
            </w:tcBorders>
            <w:shd w:val="clear" w:color="auto" w:fill="CCEEFF"/>
          </w:tcPr>
          <w:p>
            <w:pPr>
              <w:spacing w:after="0"/>
              <w:rPr>
                <w:sz w:val="8"/>
                <w:szCs w:val="8"/>
                <w:color w:val="auto"/>
              </w:rPr>
            </w:pPr>
          </w:p>
        </w:tc>
        <w:tc>
          <w:tcPr>
            <w:tcW w:w="680" w:type="dxa"/>
            <w:vAlign w:val="bottom"/>
            <w:tcBorders>
              <w:top w:val="single" w:sz="8" w:color="auto"/>
            </w:tcBorders>
            <w:shd w:val="clear" w:color="auto" w:fill="CCEEFF"/>
          </w:tcPr>
          <w:p>
            <w:pPr>
              <w:spacing w:after="0"/>
              <w:rPr>
                <w:sz w:val="8"/>
                <w:szCs w:val="8"/>
                <w:color w:val="auto"/>
              </w:rPr>
            </w:pPr>
          </w:p>
        </w:tc>
        <w:tc>
          <w:tcPr>
            <w:tcW w:w="20" w:type="dxa"/>
            <w:vAlign w:val="bottom"/>
            <w:tcBorders>
              <w:top w:val="single" w:sz="8" w:color="auto"/>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180" w:type="dxa"/>
            <w:vAlign w:val="bottom"/>
            <w:tcBorders>
              <w:top w:val="single" w:sz="8" w:color="CCEEFF"/>
            </w:tcBorders>
            <w:shd w:val="clear" w:color="auto" w:fill="CCEEFF"/>
          </w:tcPr>
          <w:p>
            <w:pPr>
              <w:spacing w:after="0"/>
              <w:rPr>
                <w:sz w:val="8"/>
                <w:szCs w:val="8"/>
                <w:color w:val="auto"/>
              </w:rPr>
            </w:pPr>
          </w:p>
        </w:tc>
        <w:tc>
          <w:tcPr>
            <w:tcW w:w="66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660" w:type="dxa"/>
            <w:vAlign w:val="bottom"/>
            <w:tcBorders>
              <w:top w:val="single" w:sz="8" w:color="CCEEFF"/>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auto"/>
            </w:tcBorders>
            <w:shd w:val="clear" w:color="auto" w:fill="CCEEFF"/>
          </w:tcPr>
          <w:p>
            <w:pPr>
              <w:spacing w:after="0"/>
              <w:rPr>
                <w:sz w:val="8"/>
                <w:szCs w:val="8"/>
                <w:color w:val="auto"/>
              </w:rPr>
            </w:pPr>
          </w:p>
        </w:tc>
        <w:tc>
          <w:tcPr>
            <w:tcW w:w="680" w:type="dxa"/>
            <w:vAlign w:val="bottom"/>
            <w:tcBorders>
              <w:top w:val="single" w:sz="8" w:color="auto"/>
            </w:tcBorders>
            <w:shd w:val="clear" w:color="auto" w:fill="CCEEFF"/>
          </w:tcPr>
          <w:p>
            <w:pPr>
              <w:spacing w:after="0"/>
              <w:rPr>
                <w:sz w:val="8"/>
                <w:szCs w:val="8"/>
                <w:color w:val="auto"/>
              </w:rPr>
            </w:pPr>
          </w:p>
        </w:tc>
        <w:tc>
          <w:tcPr>
            <w:tcW w:w="20" w:type="dxa"/>
            <w:vAlign w:val="bottom"/>
            <w:tcBorders>
              <w:top w:val="single" w:sz="8" w:color="auto"/>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70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660" w:type="dxa"/>
            <w:vAlign w:val="bottom"/>
            <w:tcBorders>
              <w:top w:val="single" w:sz="8" w:color="CCEEFF"/>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r>
      <w:tr>
        <w:trPr>
          <w:trHeight w:val="160"/>
        </w:trPr>
        <w:tc>
          <w:tcPr>
            <w:tcW w:w="2620" w:type="dxa"/>
            <w:vAlign w:val="bottom"/>
          </w:tcPr>
          <w:p>
            <w:pPr>
              <w:spacing w:after="0"/>
              <w:rPr>
                <w:sz w:val="20"/>
                <w:szCs w:val="20"/>
                <w:color w:val="auto"/>
              </w:rPr>
            </w:pPr>
            <w:r>
              <w:rPr>
                <w:rFonts w:ascii="Arial" w:cs="Arial" w:eastAsia="Arial" w:hAnsi="Arial"/>
                <w:sz w:val="11"/>
                <w:szCs w:val="11"/>
                <w:b w:val="1"/>
                <w:bCs w:val="1"/>
                <w:color w:val="auto"/>
              </w:rPr>
              <w:t>Interest-bearing liabilities:</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71"/>
        </w:trPr>
        <w:tc>
          <w:tcPr>
            <w:tcW w:w="2620" w:type="dxa"/>
            <w:vAlign w:val="bottom"/>
            <w:shd w:val="clear" w:color="auto" w:fill="CCEEFF"/>
          </w:tcPr>
          <w:p>
            <w:pPr>
              <w:ind w:left="100"/>
              <w:spacing w:after="0"/>
              <w:rPr>
                <w:sz w:val="20"/>
                <w:szCs w:val="20"/>
                <w:color w:val="auto"/>
              </w:rPr>
            </w:pPr>
            <w:r>
              <w:rPr>
                <w:rFonts w:ascii="Arial" w:cs="Arial" w:eastAsia="Arial" w:hAnsi="Arial"/>
                <w:sz w:val="11"/>
                <w:szCs w:val="11"/>
                <w:color w:val="auto"/>
              </w:rPr>
              <w:t>Interest-bearing demand deposits</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66,349</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w:t>
            </w:r>
          </w:p>
        </w:tc>
        <w:tc>
          <w:tcPr>
            <w:tcW w:w="2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0.10%</w:t>
            </w:r>
          </w:p>
        </w:tc>
        <w:tc>
          <w:tcPr>
            <w:tcW w:w="40" w:type="dxa"/>
            <w:vAlign w:val="bottom"/>
            <w:shd w:val="clear" w:color="auto" w:fill="CCEEFF"/>
          </w:tcPr>
          <w:p>
            <w:pPr>
              <w:spacing w:after="0"/>
              <w:rPr>
                <w:sz w:val="14"/>
                <w:szCs w:val="14"/>
                <w:color w:val="auto"/>
              </w:rPr>
            </w:pP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52,620</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w:t>
            </w:r>
          </w:p>
        </w:tc>
        <w:tc>
          <w:tcPr>
            <w:tcW w:w="2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0.11%</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r>
      <w:tr>
        <w:trPr>
          <w:trHeight w:val="160"/>
        </w:trPr>
        <w:tc>
          <w:tcPr>
            <w:tcW w:w="2620" w:type="dxa"/>
            <w:vAlign w:val="bottom"/>
          </w:tcPr>
          <w:p>
            <w:pPr>
              <w:ind w:left="100"/>
              <w:spacing w:after="0"/>
              <w:rPr>
                <w:sz w:val="20"/>
                <w:szCs w:val="20"/>
                <w:color w:val="auto"/>
              </w:rPr>
            </w:pPr>
            <w:r>
              <w:rPr>
                <w:rFonts w:ascii="Arial" w:cs="Arial" w:eastAsia="Arial" w:hAnsi="Arial"/>
                <w:sz w:val="11"/>
                <w:szCs w:val="11"/>
                <w:color w:val="auto"/>
              </w:rPr>
              <w:t>Saving and money market deposits</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781,076</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615</w:t>
            </w:r>
          </w:p>
        </w:tc>
        <w:tc>
          <w:tcPr>
            <w:tcW w:w="700" w:type="dxa"/>
            <w:vAlign w:val="bottom"/>
            <w:gridSpan w:val="3"/>
          </w:tcPr>
          <w:p>
            <w:pPr>
              <w:jc w:val="right"/>
              <w:spacing w:after="0"/>
              <w:rPr>
                <w:sz w:val="20"/>
                <w:szCs w:val="20"/>
                <w:color w:val="auto"/>
              </w:rPr>
            </w:pPr>
            <w:r>
              <w:rPr>
                <w:rFonts w:ascii="Arial" w:cs="Arial" w:eastAsia="Arial" w:hAnsi="Arial"/>
                <w:sz w:val="11"/>
                <w:szCs w:val="11"/>
                <w:color w:val="auto"/>
              </w:rPr>
              <w:t>0.32%</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607,752</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523</w:t>
            </w:r>
          </w:p>
        </w:tc>
        <w:tc>
          <w:tcPr>
            <w:tcW w:w="700" w:type="dxa"/>
            <w:vAlign w:val="bottom"/>
            <w:gridSpan w:val="3"/>
          </w:tcPr>
          <w:p>
            <w:pPr>
              <w:jc w:val="right"/>
              <w:spacing w:after="0"/>
              <w:rPr>
                <w:sz w:val="20"/>
                <w:szCs w:val="20"/>
                <w:color w:val="auto"/>
              </w:rPr>
            </w:pPr>
            <w:r>
              <w:rPr>
                <w:rFonts w:ascii="Arial" w:cs="Arial" w:eastAsia="Arial" w:hAnsi="Arial"/>
                <w:sz w:val="11"/>
                <w:szCs w:val="11"/>
                <w:color w:val="auto"/>
              </w:rPr>
              <w:t>0.35%</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0"/>
        </w:trPr>
        <w:tc>
          <w:tcPr>
            <w:tcW w:w="2620" w:type="dxa"/>
            <w:vAlign w:val="bottom"/>
            <w:shd w:val="clear" w:color="auto" w:fill="CCEEFF"/>
          </w:tcPr>
          <w:p>
            <w:pPr>
              <w:ind w:left="100"/>
              <w:spacing w:after="0"/>
              <w:rPr>
                <w:sz w:val="20"/>
                <w:szCs w:val="20"/>
                <w:color w:val="auto"/>
              </w:rPr>
            </w:pPr>
            <w:r>
              <w:rPr>
                <w:rFonts w:ascii="Arial" w:cs="Arial" w:eastAsia="Arial" w:hAnsi="Arial"/>
                <w:sz w:val="11"/>
                <w:szCs w:val="11"/>
                <w:color w:val="auto"/>
              </w:rPr>
              <w:t>Time deposits</w:t>
            </w:r>
          </w:p>
        </w:tc>
        <w:tc>
          <w:tcPr>
            <w:tcW w:w="20" w:type="dxa"/>
            <w:vAlign w:val="bottom"/>
            <w:tcBorders>
              <w:bottom w:val="single" w:sz="8" w:color="auto"/>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224,284</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271</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0.48%</w:t>
            </w:r>
          </w:p>
        </w:tc>
        <w:tc>
          <w:tcPr>
            <w:tcW w:w="40" w:type="dxa"/>
            <w:vAlign w:val="bottom"/>
            <w:tcBorders>
              <w:bottom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235,899</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379</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0.65%</w:t>
            </w:r>
          </w:p>
        </w:tc>
        <w:tc>
          <w:tcPr>
            <w:tcW w:w="40" w:type="dxa"/>
            <w:vAlign w:val="bottom"/>
            <w:tcBorders>
              <w:bottom w:val="single" w:sz="8" w:color="auto"/>
            </w:tcBorders>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r>
      <w:tr>
        <w:trPr>
          <w:trHeight w:val="151"/>
        </w:trPr>
        <w:tc>
          <w:tcPr>
            <w:tcW w:w="2620" w:type="dxa"/>
            <w:vAlign w:val="bottom"/>
          </w:tcPr>
          <w:p>
            <w:pPr>
              <w:ind w:left="200"/>
              <w:spacing w:after="0"/>
              <w:rPr>
                <w:sz w:val="20"/>
                <w:szCs w:val="20"/>
                <w:color w:val="auto"/>
              </w:rPr>
            </w:pPr>
            <w:r>
              <w:rPr>
                <w:rFonts w:ascii="Arial" w:cs="Arial" w:eastAsia="Arial" w:hAnsi="Arial"/>
                <w:sz w:val="11"/>
                <w:szCs w:val="11"/>
                <w:color w:val="auto"/>
              </w:rPr>
              <w:t>Total interest-bearing deposits</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1,071,709</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903</w:t>
            </w:r>
          </w:p>
        </w:tc>
        <w:tc>
          <w:tcPr>
            <w:tcW w:w="700" w:type="dxa"/>
            <w:vAlign w:val="bottom"/>
            <w:gridSpan w:val="3"/>
          </w:tcPr>
          <w:p>
            <w:pPr>
              <w:jc w:val="right"/>
              <w:spacing w:after="0"/>
              <w:rPr>
                <w:sz w:val="20"/>
                <w:szCs w:val="20"/>
                <w:color w:val="auto"/>
              </w:rPr>
            </w:pPr>
            <w:r>
              <w:rPr>
                <w:rFonts w:ascii="Arial" w:cs="Arial" w:eastAsia="Arial" w:hAnsi="Arial"/>
                <w:sz w:val="11"/>
                <w:szCs w:val="11"/>
                <w:color w:val="auto"/>
              </w:rPr>
              <w:t>0.34%</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896,271</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917</w:t>
            </w:r>
          </w:p>
        </w:tc>
        <w:tc>
          <w:tcPr>
            <w:tcW w:w="700" w:type="dxa"/>
            <w:vAlign w:val="bottom"/>
            <w:gridSpan w:val="3"/>
          </w:tcPr>
          <w:p>
            <w:pPr>
              <w:jc w:val="right"/>
              <w:spacing w:after="0"/>
              <w:rPr>
                <w:sz w:val="20"/>
                <w:szCs w:val="20"/>
                <w:color w:val="auto"/>
              </w:rPr>
            </w:pPr>
            <w:r>
              <w:rPr>
                <w:rFonts w:ascii="Arial" w:cs="Arial" w:eastAsia="Arial" w:hAnsi="Arial"/>
                <w:sz w:val="11"/>
                <w:szCs w:val="11"/>
                <w:color w:val="auto"/>
              </w:rPr>
              <w:t>0.41%</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0"/>
        </w:trPr>
        <w:tc>
          <w:tcPr>
            <w:tcW w:w="2620" w:type="dxa"/>
            <w:vAlign w:val="bottom"/>
            <w:shd w:val="clear" w:color="auto" w:fill="CCEEFF"/>
          </w:tcPr>
          <w:p>
            <w:pPr>
              <w:ind w:left="100"/>
              <w:spacing w:after="0"/>
              <w:rPr>
                <w:sz w:val="20"/>
                <w:szCs w:val="20"/>
                <w:color w:val="auto"/>
              </w:rPr>
            </w:pPr>
            <w:r>
              <w:rPr>
                <w:rFonts w:ascii="Arial" w:cs="Arial" w:eastAsia="Arial" w:hAnsi="Arial"/>
                <w:sz w:val="11"/>
                <w:szCs w:val="11"/>
                <w:color w:val="auto"/>
              </w:rPr>
              <w:t>Borrowings and repurchase agreements</w:t>
            </w:r>
          </w:p>
        </w:tc>
        <w:tc>
          <w:tcPr>
            <w:tcW w:w="20" w:type="dxa"/>
            <w:vAlign w:val="bottom"/>
            <w:tcBorders>
              <w:bottom w:val="single" w:sz="8" w:color="auto"/>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36,330</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139</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1.53%</w:t>
            </w:r>
          </w:p>
        </w:tc>
        <w:tc>
          <w:tcPr>
            <w:tcW w:w="40" w:type="dxa"/>
            <w:vAlign w:val="bottom"/>
            <w:tcBorders>
              <w:bottom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36,000</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138</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1.52%</w:t>
            </w:r>
          </w:p>
        </w:tc>
        <w:tc>
          <w:tcPr>
            <w:tcW w:w="40" w:type="dxa"/>
            <w:vAlign w:val="bottom"/>
            <w:tcBorders>
              <w:bottom w:val="single" w:sz="8" w:color="auto"/>
            </w:tcBorders>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r>
      <w:tr>
        <w:trPr>
          <w:trHeight w:val="151"/>
        </w:trPr>
        <w:tc>
          <w:tcPr>
            <w:tcW w:w="2620" w:type="dxa"/>
            <w:vAlign w:val="bottom"/>
          </w:tcPr>
          <w:p>
            <w:pPr>
              <w:ind w:left="200"/>
              <w:spacing w:after="0"/>
              <w:rPr>
                <w:sz w:val="20"/>
                <w:szCs w:val="20"/>
                <w:color w:val="auto"/>
              </w:rPr>
            </w:pPr>
            <w:r>
              <w:rPr>
                <w:rFonts w:ascii="Arial" w:cs="Arial" w:eastAsia="Arial" w:hAnsi="Arial"/>
                <w:sz w:val="11"/>
                <w:szCs w:val="11"/>
                <w:color w:val="auto"/>
              </w:rPr>
              <w:t>Total interest-bearing liabilities</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1,108,039</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1,042</w:t>
            </w:r>
          </w:p>
        </w:tc>
        <w:tc>
          <w:tcPr>
            <w:tcW w:w="700" w:type="dxa"/>
            <w:vAlign w:val="bottom"/>
            <w:gridSpan w:val="3"/>
          </w:tcPr>
          <w:p>
            <w:pPr>
              <w:jc w:val="right"/>
              <w:spacing w:after="0"/>
              <w:rPr>
                <w:sz w:val="20"/>
                <w:szCs w:val="20"/>
                <w:color w:val="auto"/>
              </w:rPr>
            </w:pPr>
            <w:r>
              <w:rPr>
                <w:rFonts w:ascii="Arial" w:cs="Arial" w:eastAsia="Arial" w:hAnsi="Arial"/>
                <w:sz w:val="11"/>
                <w:szCs w:val="11"/>
                <w:color w:val="auto"/>
              </w:rPr>
              <w:t>0.38%</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932,271</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1,055</w:t>
            </w:r>
          </w:p>
        </w:tc>
        <w:tc>
          <w:tcPr>
            <w:tcW w:w="700" w:type="dxa"/>
            <w:vAlign w:val="bottom"/>
            <w:gridSpan w:val="3"/>
          </w:tcPr>
          <w:p>
            <w:pPr>
              <w:jc w:val="right"/>
              <w:spacing w:after="0"/>
              <w:rPr>
                <w:sz w:val="20"/>
                <w:szCs w:val="20"/>
                <w:color w:val="auto"/>
              </w:rPr>
            </w:pPr>
            <w:r>
              <w:rPr>
                <w:rFonts w:ascii="Arial" w:cs="Arial" w:eastAsia="Arial" w:hAnsi="Arial"/>
                <w:sz w:val="11"/>
                <w:szCs w:val="11"/>
                <w:color w:val="auto"/>
              </w:rPr>
              <w:t>0.45%</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71"/>
        </w:trPr>
        <w:tc>
          <w:tcPr>
            <w:tcW w:w="2620" w:type="dxa"/>
            <w:vAlign w:val="bottom"/>
            <w:shd w:val="clear" w:color="auto" w:fill="CCEEFF"/>
          </w:tcPr>
          <w:p>
            <w:pPr>
              <w:ind w:left="100"/>
              <w:spacing w:after="0"/>
              <w:rPr>
                <w:sz w:val="20"/>
                <w:szCs w:val="20"/>
                <w:color w:val="auto"/>
              </w:rPr>
            </w:pPr>
            <w:r>
              <w:rPr>
                <w:rFonts w:ascii="Arial" w:cs="Arial" w:eastAsia="Arial" w:hAnsi="Arial"/>
                <w:sz w:val="11"/>
                <w:szCs w:val="11"/>
                <w:color w:val="auto"/>
              </w:rPr>
              <w:t>Non-interest-bearing demand deposits</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644,975</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535,894</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r>
      <w:tr>
        <w:trPr>
          <w:trHeight w:val="160"/>
        </w:trPr>
        <w:tc>
          <w:tcPr>
            <w:tcW w:w="2620" w:type="dxa"/>
            <w:vAlign w:val="bottom"/>
            <w:tcBorders>
              <w:bottom w:val="single" w:sz="8" w:color="CCEEFF"/>
            </w:tcBorders>
          </w:tcPr>
          <w:p>
            <w:pPr>
              <w:ind w:left="100"/>
              <w:spacing w:after="0"/>
              <w:rPr>
                <w:sz w:val="20"/>
                <w:szCs w:val="20"/>
                <w:color w:val="auto"/>
              </w:rPr>
            </w:pPr>
            <w:r>
              <w:rPr>
                <w:rFonts w:ascii="Arial" w:cs="Arial" w:eastAsia="Arial" w:hAnsi="Arial"/>
                <w:sz w:val="11"/>
                <w:szCs w:val="11"/>
                <w:color w:val="auto"/>
              </w:rPr>
              <w:t>Other non-interest-bearing liabilities</w:t>
            </w:r>
          </w:p>
        </w:tc>
        <w:tc>
          <w:tcPr>
            <w:tcW w:w="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28,770</w:t>
            </w:r>
          </w:p>
        </w:tc>
        <w:tc>
          <w:tcPr>
            <w:tcW w:w="20" w:type="dxa"/>
            <w:vAlign w:val="bottom"/>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80" w:type="dxa"/>
            <w:vAlign w:val="bottom"/>
            <w:tcBorders>
              <w:bottom w:val="single" w:sz="8" w:color="CCEEFF"/>
            </w:tcBorders>
          </w:tcPr>
          <w:p>
            <w:pPr>
              <w:spacing w:after="0"/>
              <w:rPr>
                <w:sz w:val="13"/>
                <w:szCs w:val="13"/>
                <w:color w:val="auto"/>
              </w:rPr>
            </w:pPr>
          </w:p>
        </w:tc>
        <w:tc>
          <w:tcPr>
            <w:tcW w:w="66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660" w:type="dxa"/>
            <w:vAlign w:val="bottom"/>
            <w:tcBorders>
              <w:bottom w:val="single" w:sz="8" w:color="CCEEFF"/>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24,964</w:t>
            </w:r>
          </w:p>
        </w:tc>
        <w:tc>
          <w:tcPr>
            <w:tcW w:w="20" w:type="dxa"/>
            <w:vAlign w:val="bottom"/>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40" w:type="dxa"/>
            <w:vAlign w:val="bottom"/>
            <w:tcBorders>
              <w:bottom w:val="single" w:sz="8" w:color="CCEEFF"/>
            </w:tcBorders>
          </w:tcPr>
          <w:p>
            <w:pPr>
              <w:spacing w:after="0"/>
              <w:rPr>
                <w:sz w:val="13"/>
                <w:szCs w:val="13"/>
                <w:color w:val="auto"/>
              </w:rPr>
            </w:pPr>
          </w:p>
        </w:tc>
        <w:tc>
          <w:tcPr>
            <w:tcW w:w="70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660" w:type="dxa"/>
            <w:vAlign w:val="bottom"/>
            <w:tcBorders>
              <w:bottom w:val="single" w:sz="8" w:color="CCEEFF"/>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r>
      <w:tr>
        <w:trPr>
          <w:trHeight w:val="151"/>
        </w:trPr>
        <w:tc>
          <w:tcPr>
            <w:tcW w:w="2620" w:type="dxa"/>
            <w:vAlign w:val="bottom"/>
            <w:shd w:val="clear" w:color="auto" w:fill="CCEEFF"/>
          </w:tcPr>
          <w:p>
            <w:pPr>
              <w:ind w:left="200"/>
              <w:spacing w:after="0"/>
              <w:rPr>
                <w:sz w:val="20"/>
                <w:szCs w:val="20"/>
                <w:color w:val="auto"/>
              </w:rPr>
            </w:pPr>
            <w:r>
              <w:rPr>
                <w:rFonts w:ascii="Arial" w:cs="Arial" w:eastAsia="Arial" w:hAnsi="Arial"/>
                <w:sz w:val="11"/>
                <w:szCs w:val="11"/>
                <w:color w:val="auto"/>
              </w:rPr>
              <w:t>Total liabilities</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1,781,784</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1,493,129</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r>
      <w:tr>
        <w:trPr>
          <w:trHeight w:val="160"/>
        </w:trPr>
        <w:tc>
          <w:tcPr>
            <w:tcW w:w="2620" w:type="dxa"/>
            <w:vAlign w:val="bottom"/>
            <w:tcBorders>
              <w:bottom w:val="single" w:sz="8" w:color="CCEEFF"/>
            </w:tcBorders>
          </w:tcPr>
          <w:p>
            <w:pPr>
              <w:ind w:left="100"/>
              <w:spacing w:after="0"/>
              <w:rPr>
                <w:sz w:val="20"/>
                <w:szCs w:val="20"/>
                <w:color w:val="auto"/>
              </w:rPr>
            </w:pPr>
            <w:r>
              <w:rPr>
                <w:rFonts w:ascii="Arial" w:cs="Arial" w:eastAsia="Arial" w:hAnsi="Arial"/>
                <w:sz w:val="11"/>
                <w:szCs w:val="11"/>
                <w:color w:val="auto"/>
              </w:rPr>
              <w:t>Stockholders' equity</w:t>
            </w:r>
          </w:p>
        </w:tc>
        <w:tc>
          <w:tcPr>
            <w:tcW w:w="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186,597</w:t>
            </w:r>
          </w:p>
        </w:tc>
        <w:tc>
          <w:tcPr>
            <w:tcW w:w="20" w:type="dxa"/>
            <w:vAlign w:val="bottom"/>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80" w:type="dxa"/>
            <w:vAlign w:val="bottom"/>
            <w:tcBorders>
              <w:bottom w:val="single" w:sz="8" w:color="CCEEFF"/>
            </w:tcBorders>
          </w:tcPr>
          <w:p>
            <w:pPr>
              <w:spacing w:after="0"/>
              <w:rPr>
                <w:sz w:val="13"/>
                <w:szCs w:val="13"/>
                <w:color w:val="auto"/>
              </w:rPr>
            </w:pPr>
          </w:p>
        </w:tc>
        <w:tc>
          <w:tcPr>
            <w:tcW w:w="66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660" w:type="dxa"/>
            <w:vAlign w:val="bottom"/>
            <w:tcBorders>
              <w:bottom w:val="single" w:sz="8" w:color="CCEEFF"/>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166,931</w:t>
            </w:r>
          </w:p>
        </w:tc>
        <w:tc>
          <w:tcPr>
            <w:tcW w:w="20" w:type="dxa"/>
            <w:vAlign w:val="bottom"/>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40" w:type="dxa"/>
            <w:vAlign w:val="bottom"/>
            <w:tcBorders>
              <w:bottom w:val="single" w:sz="8" w:color="CCEEFF"/>
            </w:tcBorders>
          </w:tcPr>
          <w:p>
            <w:pPr>
              <w:spacing w:after="0"/>
              <w:rPr>
                <w:sz w:val="13"/>
                <w:szCs w:val="13"/>
                <w:color w:val="auto"/>
              </w:rPr>
            </w:pPr>
          </w:p>
        </w:tc>
        <w:tc>
          <w:tcPr>
            <w:tcW w:w="70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660" w:type="dxa"/>
            <w:vAlign w:val="bottom"/>
            <w:tcBorders>
              <w:bottom w:val="single" w:sz="8" w:color="CCEEFF"/>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r>
      <w:tr>
        <w:trPr>
          <w:trHeight w:val="140"/>
        </w:trPr>
        <w:tc>
          <w:tcPr>
            <w:tcW w:w="2620" w:type="dxa"/>
            <w:vAlign w:val="bottom"/>
            <w:shd w:val="clear" w:color="auto" w:fill="CCEEFF"/>
          </w:tcPr>
          <w:p>
            <w:pPr>
              <w:ind w:left="200"/>
              <w:spacing w:after="0"/>
              <w:rPr>
                <w:sz w:val="20"/>
                <w:szCs w:val="20"/>
                <w:color w:val="auto"/>
              </w:rPr>
            </w:pPr>
            <w:r>
              <w:rPr>
                <w:rFonts w:ascii="Arial" w:cs="Arial" w:eastAsia="Arial" w:hAnsi="Arial"/>
                <w:sz w:val="11"/>
                <w:szCs w:val="11"/>
                <w:color w:val="auto"/>
              </w:rPr>
              <w:t>Total liabilities and stockholders' equity</w:t>
            </w:r>
          </w:p>
        </w:tc>
        <w:tc>
          <w:tcPr>
            <w:tcW w:w="2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1,968,381</w:t>
            </w:r>
          </w:p>
        </w:tc>
        <w:tc>
          <w:tcPr>
            <w:tcW w:w="20" w:type="dxa"/>
            <w:vAlign w:val="bottom"/>
            <w:tcBorders>
              <w:bottom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gridSpan w:val="2"/>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1,660,060</w:t>
            </w:r>
          </w:p>
        </w:tc>
        <w:tc>
          <w:tcPr>
            <w:tcW w:w="20" w:type="dxa"/>
            <w:vAlign w:val="bottom"/>
            <w:tcBorders>
              <w:bottom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r>
      <w:tr>
        <w:trPr>
          <w:trHeight w:val="20"/>
        </w:trPr>
        <w:tc>
          <w:tcPr>
            <w:tcW w:w="2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3"/>
        </w:trPr>
        <w:tc>
          <w:tcPr>
            <w:tcW w:w="2620" w:type="dxa"/>
            <w:vAlign w:val="bottom"/>
          </w:tcPr>
          <w:p>
            <w:pPr>
              <w:spacing w:after="0"/>
              <w:rPr>
                <w:sz w:val="20"/>
                <w:szCs w:val="20"/>
                <w:color w:val="auto"/>
              </w:rPr>
            </w:pPr>
            <w:r>
              <w:rPr>
                <w:rFonts w:ascii="Arial" w:cs="Arial" w:eastAsia="Arial" w:hAnsi="Arial"/>
                <w:sz w:val="11"/>
                <w:szCs w:val="11"/>
                <w:color w:val="auto"/>
              </w:rPr>
              <w:t>Net interest income</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gridSpan w:val="4"/>
          </w:tcPr>
          <w:p>
            <w:pPr>
              <w:jc w:val="right"/>
              <w:ind w:right="4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15,642</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gridSpan w:val="4"/>
          </w:tcPr>
          <w:p>
            <w:pPr>
              <w:jc w:val="right"/>
              <w:spacing w:after="0"/>
              <w:rPr>
                <w:sz w:val="20"/>
                <w:szCs w:val="20"/>
                <w:color w:val="auto"/>
              </w:rPr>
            </w:pPr>
            <w:r>
              <w:rPr>
                <w:rFonts w:ascii="Arial" w:cs="Arial" w:eastAsia="Arial" w:hAnsi="Arial"/>
                <w:sz w:val="11"/>
                <w:szCs w:val="11"/>
                <w:color w:val="auto"/>
              </w:rPr>
              <w:t>$</w:t>
            </w:r>
          </w:p>
        </w:tc>
        <w:tc>
          <w:tcPr>
            <w:tcW w:w="700" w:type="dxa"/>
            <w:vAlign w:val="bottom"/>
          </w:tcPr>
          <w:p>
            <w:pPr>
              <w:jc w:val="right"/>
              <w:spacing w:after="0"/>
              <w:rPr>
                <w:sz w:val="20"/>
                <w:szCs w:val="20"/>
                <w:color w:val="auto"/>
              </w:rPr>
            </w:pPr>
            <w:r>
              <w:rPr>
                <w:rFonts w:ascii="Arial" w:cs="Arial" w:eastAsia="Arial" w:hAnsi="Arial"/>
                <w:sz w:val="11"/>
                <w:szCs w:val="11"/>
                <w:color w:val="auto"/>
              </w:rPr>
              <w:t>12,474</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12"/>
        </w:trPr>
        <w:tc>
          <w:tcPr>
            <w:tcW w:w="2620" w:type="dxa"/>
            <w:vAlign w:val="bottom"/>
            <w:tcBorders>
              <w:top w:val="single" w:sz="8" w:color="CCEEFF"/>
            </w:tcBorders>
            <w:shd w:val="clear" w:color="auto" w:fill="CCEEFF"/>
          </w:tcPr>
          <w:p>
            <w:pPr>
              <w:spacing w:after="0" w:line="112" w:lineRule="exact"/>
              <w:rPr>
                <w:sz w:val="20"/>
                <w:szCs w:val="20"/>
                <w:color w:val="auto"/>
              </w:rPr>
            </w:pPr>
            <w:r>
              <w:rPr>
                <w:rFonts w:ascii="Arial" w:cs="Arial" w:eastAsia="Arial" w:hAnsi="Arial"/>
                <w:sz w:val="10"/>
                <w:szCs w:val="10"/>
                <w:color w:val="auto"/>
              </w:rPr>
              <w:t xml:space="preserve">Net interest spread </w:t>
            </w:r>
            <w:r>
              <w:rPr>
                <w:rFonts w:ascii="Arial" w:cs="Arial" w:eastAsia="Arial" w:hAnsi="Arial"/>
                <w:sz w:val="12"/>
                <w:szCs w:val="12"/>
                <w:color w:val="auto"/>
                <w:vertAlign w:val="superscript"/>
              </w:rPr>
              <w:t>(4)</w:t>
            </w:r>
          </w:p>
        </w:tc>
        <w:tc>
          <w:tcPr>
            <w:tcW w:w="2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68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auto"/>
            </w:tcBorders>
            <w:shd w:val="clear" w:color="auto" w:fill="CCEEFF"/>
          </w:tcPr>
          <w:p>
            <w:pPr>
              <w:spacing w:after="0"/>
              <w:rPr>
                <w:sz w:val="9"/>
                <w:szCs w:val="9"/>
                <w:color w:val="auto"/>
              </w:rPr>
            </w:pPr>
          </w:p>
        </w:tc>
        <w:tc>
          <w:tcPr>
            <w:tcW w:w="180" w:type="dxa"/>
            <w:vAlign w:val="bottom"/>
            <w:tcBorders>
              <w:top w:val="single" w:sz="8" w:color="auto"/>
            </w:tcBorders>
            <w:shd w:val="clear" w:color="auto" w:fill="CCEEFF"/>
          </w:tcPr>
          <w:p>
            <w:pPr>
              <w:spacing w:after="0"/>
              <w:rPr>
                <w:sz w:val="9"/>
                <w:szCs w:val="9"/>
                <w:color w:val="auto"/>
              </w:rPr>
            </w:pPr>
          </w:p>
        </w:tc>
        <w:tc>
          <w:tcPr>
            <w:tcW w:w="66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auto"/>
            </w:tcBorders>
            <w:shd w:val="clear" w:color="auto" w:fill="CCEEFF"/>
          </w:tcPr>
          <w:p>
            <w:pPr>
              <w:spacing w:after="0"/>
              <w:rPr>
                <w:sz w:val="9"/>
                <w:szCs w:val="9"/>
                <w:color w:val="auto"/>
              </w:rPr>
            </w:pPr>
          </w:p>
        </w:tc>
        <w:tc>
          <w:tcPr>
            <w:tcW w:w="680" w:type="dxa"/>
            <w:vAlign w:val="bottom"/>
            <w:tcBorders>
              <w:top w:val="single" w:sz="8" w:color="CCEEFF"/>
            </w:tcBorders>
            <w:gridSpan w:val="2"/>
            <w:shd w:val="clear" w:color="auto" w:fill="CCEEFF"/>
          </w:tcPr>
          <w:p>
            <w:pPr>
              <w:jc w:val="right"/>
              <w:spacing w:after="0" w:line="112" w:lineRule="exact"/>
              <w:rPr>
                <w:sz w:val="20"/>
                <w:szCs w:val="20"/>
                <w:color w:val="auto"/>
              </w:rPr>
            </w:pPr>
            <w:r>
              <w:rPr>
                <w:rFonts w:ascii="Arial" w:cs="Arial" w:eastAsia="Arial" w:hAnsi="Arial"/>
                <w:sz w:val="11"/>
                <w:szCs w:val="11"/>
                <w:color w:val="auto"/>
              </w:rPr>
              <w:t>3.22%</w:t>
            </w:r>
          </w:p>
        </w:tc>
        <w:tc>
          <w:tcPr>
            <w:tcW w:w="4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68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70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auto"/>
            </w:tcBorders>
            <w:shd w:val="clear" w:color="auto" w:fill="CCEEFF"/>
          </w:tcPr>
          <w:p>
            <w:pPr>
              <w:spacing w:after="0"/>
              <w:rPr>
                <w:sz w:val="9"/>
                <w:szCs w:val="9"/>
                <w:color w:val="auto"/>
              </w:rPr>
            </w:pPr>
          </w:p>
        </w:tc>
        <w:tc>
          <w:tcPr>
            <w:tcW w:w="680" w:type="dxa"/>
            <w:vAlign w:val="bottom"/>
            <w:tcBorders>
              <w:top w:val="single" w:sz="8" w:color="CCEEFF"/>
            </w:tcBorders>
            <w:gridSpan w:val="2"/>
            <w:shd w:val="clear" w:color="auto" w:fill="CCEEFF"/>
          </w:tcPr>
          <w:p>
            <w:pPr>
              <w:jc w:val="right"/>
              <w:spacing w:after="0" w:line="112" w:lineRule="exact"/>
              <w:rPr>
                <w:sz w:val="20"/>
                <w:szCs w:val="20"/>
                <w:color w:val="auto"/>
              </w:rPr>
            </w:pPr>
            <w:r>
              <w:rPr>
                <w:rFonts w:ascii="Arial" w:cs="Arial" w:eastAsia="Arial" w:hAnsi="Arial"/>
                <w:sz w:val="11"/>
                <w:szCs w:val="11"/>
                <w:color w:val="auto"/>
              </w:rPr>
              <w:t>2.96%</w:t>
            </w:r>
          </w:p>
        </w:tc>
        <w:tc>
          <w:tcPr>
            <w:tcW w:w="4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r>
      <w:tr>
        <w:trPr>
          <w:trHeight w:val="212"/>
        </w:trPr>
        <w:tc>
          <w:tcPr>
            <w:tcW w:w="2620" w:type="dxa"/>
            <w:vAlign w:val="bottom"/>
          </w:tcPr>
          <w:p>
            <w:pPr>
              <w:spacing w:after="0"/>
              <w:rPr>
                <w:sz w:val="20"/>
                <w:szCs w:val="20"/>
                <w:color w:val="auto"/>
              </w:rPr>
            </w:pPr>
            <w:r>
              <w:rPr>
                <w:rFonts w:ascii="Arial" w:cs="Arial" w:eastAsia="Arial" w:hAnsi="Arial"/>
                <w:sz w:val="11"/>
                <w:szCs w:val="11"/>
                <w:color w:val="auto"/>
              </w:rPr>
              <w:t xml:space="preserve">Net interest margin </w:t>
            </w:r>
            <w:r>
              <w:rPr>
                <w:rFonts w:ascii="Arial" w:cs="Arial" w:eastAsia="Arial" w:hAnsi="Arial"/>
                <w:sz w:val="14"/>
                <w:szCs w:val="14"/>
                <w:color w:val="auto"/>
                <w:vertAlign w:val="superscript"/>
              </w:rPr>
              <w:t>(5)</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gridSpan w:val="3"/>
          </w:tcPr>
          <w:p>
            <w:pPr>
              <w:jc w:val="right"/>
              <w:spacing w:after="0"/>
              <w:rPr>
                <w:sz w:val="20"/>
                <w:szCs w:val="20"/>
                <w:color w:val="auto"/>
              </w:rPr>
            </w:pPr>
            <w:r>
              <w:rPr>
                <w:rFonts w:ascii="Arial" w:cs="Arial" w:eastAsia="Arial" w:hAnsi="Arial"/>
                <w:sz w:val="11"/>
                <w:szCs w:val="11"/>
                <w:color w:val="auto"/>
              </w:rPr>
              <w:t>3.37%</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gridSpan w:val="3"/>
          </w:tcPr>
          <w:p>
            <w:pPr>
              <w:jc w:val="right"/>
              <w:spacing w:after="0"/>
              <w:rPr>
                <w:sz w:val="20"/>
                <w:szCs w:val="20"/>
                <w:color w:val="auto"/>
              </w:rPr>
            </w:pPr>
            <w:r>
              <w:rPr>
                <w:rFonts w:ascii="Arial" w:cs="Arial" w:eastAsia="Arial" w:hAnsi="Arial"/>
                <w:sz w:val="11"/>
                <w:szCs w:val="11"/>
                <w:color w:val="auto"/>
              </w:rPr>
              <w:t>3.14%</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r>
    </w:tbl>
    <w:p>
      <w:pPr>
        <w:spacing w:after="0" w:line="114" w:lineRule="exact"/>
        <w:rPr>
          <w:sz w:val="20"/>
          <w:szCs w:val="20"/>
          <w:color w:val="auto"/>
        </w:rPr>
      </w:pPr>
    </w:p>
    <w:p>
      <w:pPr>
        <w:ind w:left="860" w:hanging="197"/>
        <w:spacing w:after="0"/>
        <w:tabs>
          <w:tab w:leader="none" w:pos="860" w:val="left"/>
        </w:tabs>
        <w:numPr>
          <w:ilvl w:val="0"/>
          <w:numId w:val="12"/>
        </w:numPr>
        <w:rPr>
          <w:rFonts w:ascii="Arial" w:cs="Arial" w:eastAsia="Arial" w:hAnsi="Arial"/>
          <w:sz w:val="11"/>
          <w:szCs w:val="11"/>
          <w:color w:val="auto"/>
        </w:rPr>
      </w:pPr>
      <w:r>
        <w:rPr>
          <w:rFonts w:ascii="Arial" w:cs="Arial" w:eastAsia="Arial" w:hAnsi="Arial"/>
          <w:sz w:val="11"/>
          <w:szCs w:val="11"/>
          <w:color w:val="auto"/>
        </w:rPr>
        <w:t>Annualized.</w:t>
      </w:r>
    </w:p>
    <w:p>
      <w:pPr>
        <w:spacing w:after="0" w:line="33" w:lineRule="exact"/>
        <w:rPr>
          <w:rFonts w:ascii="Arial" w:cs="Arial" w:eastAsia="Arial" w:hAnsi="Arial"/>
          <w:sz w:val="11"/>
          <w:szCs w:val="11"/>
          <w:color w:val="auto"/>
        </w:rPr>
      </w:pPr>
    </w:p>
    <w:p>
      <w:pPr>
        <w:ind w:left="860" w:hanging="197"/>
        <w:spacing w:after="0"/>
        <w:tabs>
          <w:tab w:leader="none" w:pos="860" w:val="left"/>
        </w:tabs>
        <w:numPr>
          <w:ilvl w:val="0"/>
          <w:numId w:val="12"/>
        </w:numPr>
        <w:rPr>
          <w:rFonts w:ascii="Arial" w:cs="Arial" w:eastAsia="Arial" w:hAnsi="Arial"/>
          <w:sz w:val="11"/>
          <w:szCs w:val="11"/>
          <w:color w:val="auto"/>
        </w:rPr>
      </w:pPr>
      <w:r>
        <w:rPr>
          <w:rFonts w:ascii="Arial" w:cs="Arial" w:eastAsia="Arial" w:hAnsi="Arial"/>
          <w:sz w:val="11"/>
          <w:szCs w:val="11"/>
          <w:color w:val="auto"/>
        </w:rPr>
        <w:t>Average loan balances include non-accrual loans. Interest income on loans includes accretion of deferred loan fees, net of deferred loan costs.</w:t>
      </w:r>
    </w:p>
    <w:p>
      <w:pPr>
        <w:spacing w:after="0" w:line="22" w:lineRule="exact"/>
        <w:rPr>
          <w:rFonts w:ascii="Arial" w:cs="Arial" w:eastAsia="Arial" w:hAnsi="Arial"/>
          <w:sz w:val="11"/>
          <w:szCs w:val="11"/>
          <w:color w:val="auto"/>
        </w:rPr>
      </w:pPr>
    </w:p>
    <w:p>
      <w:pPr>
        <w:ind w:left="860" w:hanging="197"/>
        <w:spacing w:after="0"/>
        <w:tabs>
          <w:tab w:leader="none" w:pos="860" w:val="left"/>
        </w:tabs>
        <w:numPr>
          <w:ilvl w:val="0"/>
          <w:numId w:val="12"/>
        </w:numPr>
        <w:rPr>
          <w:rFonts w:ascii="Arial" w:cs="Arial" w:eastAsia="Arial" w:hAnsi="Arial"/>
          <w:sz w:val="11"/>
          <w:szCs w:val="11"/>
          <w:color w:val="auto"/>
        </w:rPr>
      </w:pPr>
      <w:r>
        <w:rPr>
          <w:rFonts w:ascii="Arial" w:cs="Arial" w:eastAsia="Arial" w:hAnsi="Arial"/>
          <w:sz w:val="11"/>
          <w:szCs w:val="11"/>
          <w:color w:val="auto"/>
        </w:rPr>
        <w:t>At fair value except for securities held to maturity. This amount includes FHLB stock.</w:t>
      </w:r>
    </w:p>
    <w:p>
      <w:pPr>
        <w:spacing w:after="0" w:line="33" w:lineRule="exact"/>
        <w:rPr>
          <w:rFonts w:ascii="Arial" w:cs="Arial" w:eastAsia="Arial" w:hAnsi="Arial"/>
          <w:sz w:val="11"/>
          <w:szCs w:val="11"/>
          <w:color w:val="auto"/>
        </w:rPr>
      </w:pPr>
    </w:p>
    <w:p>
      <w:pPr>
        <w:ind w:left="860" w:hanging="197"/>
        <w:spacing w:after="0"/>
        <w:tabs>
          <w:tab w:leader="none" w:pos="860" w:val="left"/>
        </w:tabs>
        <w:numPr>
          <w:ilvl w:val="0"/>
          <w:numId w:val="12"/>
        </w:numPr>
        <w:rPr>
          <w:rFonts w:ascii="Arial" w:cs="Arial" w:eastAsia="Arial" w:hAnsi="Arial"/>
          <w:sz w:val="11"/>
          <w:szCs w:val="11"/>
          <w:color w:val="auto"/>
        </w:rPr>
      </w:pPr>
      <w:r>
        <w:rPr>
          <w:rFonts w:ascii="Arial" w:cs="Arial" w:eastAsia="Arial" w:hAnsi="Arial"/>
          <w:sz w:val="11"/>
          <w:szCs w:val="11"/>
          <w:color w:val="auto"/>
        </w:rPr>
        <w:t>Net interest spread is the average yield on total interest-earning assets minus the average rate on total interest-bearing liabilities.</w:t>
      </w:r>
    </w:p>
    <w:p>
      <w:pPr>
        <w:spacing w:after="0" w:line="33" w:lineRule="exact"/>
        <w:rPr>
          <w:rFonts w:ascii="Arial" w:cs="Arial" w:eastAsia="Arial" w:hAnsi="Arial"/>
          <w:sz w:val="11"/>
          <w:szCs w:val="11"/>
          <w:color w:val="auto"/>
        </w:rPr>
      </w:pPr>
    </w:p>
    <w:p>
      <w:pPr>
        <w:ind w:left="860" w:hanging="197"/>
        <w:spacing w:after="0"/>
        <w:tabs>
          <w:tab w:leader="none" w:pos="860" w:val="left"/>
        </w:tabs>
        <w:numPr>
          <w:ilvl w:val="0"/>
          <w:numId w:val="12"/>
        </w:numPr>
        <w:rPr>
          <w:rFonts w:ascii="Arial" w:cs="Arial" w:eastAsia="Arial" w:hAnsi="Arial"/>
          <w:sz w:val="11"/>
          <w:szCs w:val="11"/>
          <w:color w:val="auto"/>
        </w:rPr>
      </w:pPr>
      <w:r>
        <w:rPr>
          <w:rFonts w:ascii="Arial" w:cs="Arial" w:eastAsia="Arial" w:hAnsi="Arial"/>
          <w:sz w:val="11"/>
          <w:szCs w:val="11"/>
          <w:color w:val="auto"/>
        </w:rPr>
        <w:t>Net interest margin is the ratio of net interest income to total interest-earning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9019"/>
          </w:cols>
          <w:pgMar w:left="1440" w:top="783" w:right="1440" w:bottom="1440" w:gutter="0" w:footer="0" w:header="0"/>
        </w:sectPr>
      </w:pPr>
    </w:p>
    <w:bookmarkStart w:id="10" w:name="page11"/>
    <w:bookmarkEnd w:id="10"/>
    <w:p>
      <w:pPr>
        <w:jc w:val="center"/>
        <w:spacing w:after="0"/>
        <w:rPr>
          <w:sz w:val="20"/>
          <w:szCs w:val="20"/>
          <w:color w:val="auto"/>
        </w:rPr>
      </w:pPr>
      <w:r>
        <w:rPr>
          <w:rFonts w:ascii="Arial" w:cs="Arial" w:eastAsia="Arial" w:hAnsi="Arial"/>
          <w:sz w:val="11"/>
          <w:szCs w:val="11"/>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105156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0895" cy="10515600"/>
                    </a:xfrm>
                    <a:prstGeom prst="rect">
                      <a:avLst/>
                    </a:prstGeom>
                    <a:noFill/>
                  </pic:spPr>
                </pic:pic>
              </a:graphicData>
            </a:graphic>
          </wp:anchor>
        </w:drawing>
        <w:t>USCB FINANCIAL HOLDINGS, INC.</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NON-GAAP FINANCIAL MEASURES (UNAUDITED)</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(Dollars in thousands)</w:t>
      </w:r>
    </w:p>
    <w:p>
      <w:pPr>
        <w:spacing w:after="0" w:line="204" w:lineRule="exact"/>
        <w:rPr>
          <w:sz w:val="20"/>
          <w:szCs w:val="20"/>
          <w:color w:val="auto"/>
        </w:rPr>
      </w:pPr>
    </w:p>
    <w:tbl>
      <w:tblPr>
        <w:tblLayout w:type="fixed"/>
        <w:tblInd w:w="660" w:type="dxa"/>
        <w:tblCellMar>
          <w:top w:w="0" w:type="dxa"/>
          <w:left w:w="0" w:type="dxa"/>
          <w:bottom w:w="0" w:type="dxa"/>
          <w:right w:w="0" w:type="dxa"/>
        </w:tblCellMar>
      </w:tblPr>
      <w:tr>
        <w:trPr>
          <w:trHeight w:val="135"/>
        </w:trPr>
        <w:tc>
          <w:tcPr>
            <w:tcW w:w="32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2520" w:type="dxa"/>
            <w:vAlign w:val="bottom"/>
            <w:tcBorders>
              <w:bottom w:val="single" w:sz="8" w:color="auto"/>
            </w:tcBorders>
            <w:gridSpan w:val="12"/>
          </w:tcPr>
          <w:p>
            <w:pPr>
              <w:jc w:val="right"/>
              <w:ind w:right="440"/>
              <w:spacing w:after="0"/>
              <w:rPr>
                <w:sz w:val="20"/>
                <w:szCs w:val="20"/>
                <w:color w:val="auto"/>
              </w:rPr>
            </w:pPr>
            <w:r>
              <w:rPr>
                <w:rFonts w:ascii="Arial" w:cs="Arial" w:eastAsia="Arial" w:hAnsi="Arial"/>
                <w:sz w:val="11"/>
                <w:szCs w:val="11"/>
                <w:b w:val="1"/>
                <w:bCs w:val="1"/>
                <w:color w:val="auto"/>
              </w:rPr>
              <w:t>As of or For the Three Months Ended</w:t>
            </w: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r>
      <w:tr>
        <w:trPr>
          <w:trHeight w:val="141"/>
        </w:trPr>
        <w:tc>
          <w:tcPr>
            <w:tcW w:w="320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43"/>
              <w:spacing w:after="0"/>
              <w:rPr>
                <w:sz w:val="20"/>
                <w:szCs w:val="20"/>
                <w:color w:val="auto"/>
              </w:rPr>
            </w:pPr>
            <w:r>
              <w:rPr>
                <w:rFonts w:ascii="Arial" w:cs="Arial" w:eastAsia="Arial" w:hAnsi="Arial"/>
                <w:sz w:val="11"/>
                <w:szCs w:val="11"/>
                <w:b w:val="1"/>
                <w:bCs w:val="1"/>
                <w:color w:val="auto"/>
                <w:w w:val="97"/>
              </w:rPr>
              <w:t>6/30/2022</w:t>
            </w:r>
          </w:p>
        </w:tc>
        <w:tc>
          <w:tcPr>
            <w:tcW w:w="20" w:type="dxa"/>
            <w:vAlign w:val="bottom"/>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23"/>
              <w:spacing w:after="0"/>
              <w:rPr>
                <w:sz w:val="20"/>
                <w:szCs w:val="20"/>
                <w:color w:val="auto"/>
              </w:rPr>
            </w:pPr>
            <w:r>
              <w:rPr>
                <w:rFonts w:ascii="Arial" w:cs="Arial" w:eastAsia="Arial" w:hAnsi="Arial"/>
                <w:sz w:val="11"/>
                <w:szCs w:val="11"/>
                <w:b w:val="1"/>
                <w:bCs w:val="1"/>
                <w:color w:val="auto"/>
                <w:w w:val="97"/>
              </w:rPr>
              <w:t>3/31/2022</w:t>
            </w:r>
          </w:p>
        </w:tc>
        <w:tc>
          <w:tcPr>
            <w:tcW w:w="20" w:type="dxa"/>
            <w:vAlign w:val="bottom"/>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03"/>
              <w:spacing w:after="0"/>
              <w:rPr>
                <w:sz w:val="20"/>
                <w:szCs w:val="20"/>
                <w:color w:val="auto"/>
              </w:rPr>
            </w:pPr>
            <w:r>
              <w:rPr>
                <w:rFonts w:ascii="Arial" w:cs="Arial" w:eastAsia="Arial" w:hAnsi="Arial"/>
                <w:sz w:val="11"/>
                <w:szCs w:val="11"/>
                <w:b w:val="1"/>
                <w:bCs w:val="1"/>
                <w:color w:val="auto"/>
                <w:w w:val="90"/>
              </w:rPr>
              <w:t>12/31/2021</w:t>
            </w:r>
          </w:p>
        </w:tc>
        <w:tc>
          <w:tcPr>
            <w:tcW w:w="20" w:type="dxa"/>
            <w:vAlign w:val="bottom"/>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43"/>
              <w:spacing w:after="0"/>
              <w:rPr>
                <w:sz w:val="20"/>
                <w:szCs w:val="20"/>
                <w:color w:val="auto"/>
              </w:rPr>
            </w:pPr>
            <w:r>
              <w:rPr>
                <w:rFonts w:ascii="Arial" w:cs="Arial" w:eastAsia="Arial" w:hAnsi="Arial"/>
                <w:sz w:val="11"/>
                <w:szCs w:val="11"/>
                <w:b w:val="1"/>
                <w:bCs w:val="1"/>
                <w:color w:val="auto"/>
                <w:w w:val="97"/>
              </w:rPr>
              <w:t>9/30/2021</w:t>
            </w:r>
          </w:p>
        </w:tc>
        <w:tc>
          <w:tcPr>
            <w:tcW w:w="20" w:type="dxa"/>
            <w:vAlign w:val="bottom"/>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23"/>
              <w:spacing w:after="0"/>
              <w:rPr>
                <w:sz w:val="20"/>
                <w:szCs w:val="20"/>
                <w:color w:val="auto"/>
              </w:rPr>
            </w:pPr>
            <w:r>
              <w:rPr>
                <w:rFonts w:ascii="Arial" w:cs="Arial" w:eastAsia="Arial" w:hAnsi="Arial"/>
                <w:sz w:val="11"/>
                <w:szCs w:val="11"/>
                <w:b w:val="1"/>
                <w:bCs w:val="1"/>
                <w:color w:val="auto"/>
                <w:w w:val="97"/>
              </w:rPr>
              <w:t>6/30/2021</w:t>
            </w:r>
          </w:p>
        </w:tc>
        <w:tc>
          <w:tcPr>
            <w:tcW w:w="20" w:type="dxa"/>
            <w:vAlign w:val="bottom"/>
          </w:tcPr>
          <w:p>
            <w:pPr>
              <w:spacing w:after="0"/>
              <w:rPr>
                <w:sz w:val="12"/>
                <w:szCs w:val="12"/>
                <w:color w:val="auto"/>
              </w:rPr>
            </w:pPr>
          </w:p>
        </w:tc>
      </w:tr>
      <w:tr>
        <w:trPr>
          <w:trHeight w:val="160"/>
        </w:trPr>
        <w:tc>
          <w:tcPr>
            <w:tcW w:w="320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Pre-tax pre-provision ("PTPP") income:</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r>
      <w:tr>
        <w:trPr>
          <w:trHeight w:val="160"/>
        </w:trPr>
        <w:tc>
          <w:tcPr>
            <w:tcW w:w="3200" w:type="dxa"/>
            <w:vAlign w:val="bottom"/>
          </w:tcPr>
          <w:p>
            <w:pPr>
              <w:ind w:left="100"/>
              <w:spacing w:after="0"/>
              <w:rPr>
                <w:sz w:val="20"/>
                <w:szCs w:val="20"/>
                <w:color w:val="auto"/>
              </w:rPr>
            </w:pPr>
            <w:r>
              <w:rPr>
                <w:rFonts w:ascii="Arial" w:cs="Arial" w:eastAsia="Arial" w:hAnsi="Arial"/>
                <w:sz w:val="11"/>
                <w:szCs w:val="11"/>
                <w:color w:val="auto"/>
              </w:rPr>
              <w:t>Net income</w:t>
            </w:r>
          </w:p>
        </w:tc>
        <w:tc>
          <w:tcPr>
            <w:tcW w:w="16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700" w:type="dxa"/>
            <w:vAlign w:val="bottom"/>
          </w:tcPr>
          <w:p>
            <w:pPr>
              <w:jc w:val="right"/>
              <w:spacing w:after="0"/>
              <w:rPr>
                <w:sz w:val="20"/>
                <w:szCs w:val="20"/>
                <w:color w:val="auto"/>
              </w:rPr>
            </w:pPr>
            <w:r>
              <w:rPr>
                <w:rFonts w:ascii="Arial" w:cs="Arial" w:eastAsia="Arial" w:hAnsi="Arial"/>
                <w:sz w:val="11"/>
                <w:szCs w:val="11"/>
                <w:color w:val="auto"/>
              </w:rPr>
              <w:t>5,295</w:t>
            </w:r>
          </w:p>
        </w:tc>
        <w:tc>
          <w:tcPr>
            <w:tcW w:w="20" w:type="dxa"/>
            <w:vAlign w:val="bottom"/>
          </w:tcPr>
          <w:p>
            <w:pPr>
              <w:spacing w:after="0"/>
              <w:rPr>
                <w:sz w:val="13"/>
                <w:szCs w:val="13"/>
                <w:color w:val="auto"/>
              </w:rPr>
            </w:pPr>
          </w:p>
        </w:tc>
        <w:tc>
          <w:tcPr>
            <w:tcW w:w="200" w:type="dxa"/>
            <w:vAlign w:val="bottom"/>
            <w:gridSpan w:val="3"/>
          </w:tcPr>
          <w:p>
            <w:pPr>
              <w:jc w:val="right"/>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4,854</w:t>
            </w:r>
          </w:p>
        </w:tc>
        <w:tc>
          <w:tcPr>
            <w:tcW w:w="20" w:type="dxa"/>
            <w:vAlign w:val="bottom"/>
          </w:tcPr>
          <w:p>
            <w:pPr>
              <w:spacing w:after="0"/>
              <w:rPr>
                <w:sz w:val="13"/>
                <w:szCs w:val="13"/>
                <w:color w:val="auto"/>
              </w:rPr>
            </w:pPr>
          </w:p>
        </w:tc>
        <w:tc>
          <w:tcPr>
            <w:tcW w:w="200" w:type="dxa"/>
            <w:vAlign w:val="bottom"/>
            <w:gridSpan w:val="3"/>
          </w:tcPr>
          <w:p>
            <w:pPr>
              <w:jc w:val="right"/>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5,650</w:t>
            </w:r>
          </w:p>
        </w:tc>
        <w:tc>
          <w:tcPr>
            <w:tcW w:w="20" w:type="dxa"/>
            <w:vAlign w:val="bottom"/>
          </w:tcPr>
          <w:p>
            <w:pPr>
              <w:spacing w:after="0"/>
              <w:rPr>
                <w:sz w:val="13"/>
                <w:szCs w:val="13"/>
                <w:color w:val="auto"/>
              </w:rPr>
            </w:pPr>
          </w:p>
        </w:tc>
        <w:tc>
          <w:tcPr>
            <w:tcW w:w="200" w:type="dxa"/>
            <w:vAlign w:val="bottom"/>
            <w:gridSpan w:val="3"/>
          </w:tcPr>
          <w:p>
            <w:pPr>
              <w:jc w:val="right"/>
              <w:spacing w:after="0"/>
              <w:rPr>
                <w:sz w:val="20"/>
                <w:szCs w:val="20"/>
                <w:color w:val="auto"/>
              </w:rPr>
            </w:pPr>
            <w:r>
              <w:rPr>
                <w:rFonts w:ascii="Arial" w:cs="Arial" w:eastAsia="Arial" w:hAnsi="Arial"/>
                <w:sz w:val="11"/>
                <w:szCs w:val="11"/>
                <w:color w:val="auto"/>
              </w:rPr>
              <w:t>$</w:t>
            </w:r>
          </w:p>
        </w:tc>
        <w:tc>
          <w:tcPr>
            <w:tcW w:w="700" w:type="dxa"/>
            <w:vAlign w:val="bottom"/>
          </w:tcPr>
          <w:p>
            <w:pPr>
              <w:jc w:val="right"/>
              <w:spacing w:after="0"/>
              <w:rPr>
                <w:sz w:val="20"/>
                <w:szCs w:val="20"/>
                <w:color w:val="auto"/>
              </w:rPr>
            </w:pPr>
            <w:r>
              <w:rPr>
                <w:rFonts w:ascii="Arial" w:cs="Arial" w:eastAsia="Arial" w:hAnsi="Arial"/>
                <w:sz w:val="11"/>
                <w:szCs w:val="11"/>
                <w:color w:val="auto"/>
              </w:rPr>
              <w:t>6,593</w:t>
            </w:r>
          </w:p>
        </w:tc>
        <w:tc>
          <w:tcPr>
            <w:tcW w:w="20" w:type="dxa"/>
            <w:vAlign w:val="bottom"/>
          </w:tcPr>
          <w:p>
            <w:pPr>
              <w:spacing w:after="0"/>
              <w:rPr>
                <w:sz w:val="13"/>
                <w:szCs w:val="13"/>
                <w:color w:val="auto"/>
              </w:rPr>
            </w:pPr>
          </w:p>
        </w:tc>
        <w:tc>
          <w:tcPr>
            <w:tcW w:w="200" w:type="dxa"/>
            <w:vAlign w:val="bottom"/>
            <w:gridSpan w:val="3"/>
          </w:tcPr>
          <w:p>
            <w:pPr>
              <w:jc w:val="right"/>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4,053</w:t>
            </w:r>
          </w:p>
        </w:tc>
        <w:tc>
          <w:tcPr>
            <w:tcW w:w="20" w:type="dxa"/>
            <w:vAlign w:val="bottom"/>
          </w:tcPr>
          <w:p>
            <w:pPr>
              <w:spacing w:after="0"/>
              <w:rPr>
                <w:sz w:val="13"/>
                <w:szCs w:val="13"/>
                <w:color w:val="auto"/>
              </w:rPr>
            </w:pPr>
          </w:p>
        </w:tc>
      </w:tr>
      <w:tr>
        <w:trPr>
          <w:trHeight w:val="160"/>
        </w:trPr>
        <w:tc>
          <w:tcPr>
            <w:tcW w:w="3200" w:type="dxa"/>
            <w:vAlign w:val="bottom"/>
            <w:shd w:val="clear" w:color="auto" w:fill="CCEEFF"/>
          </w:tcPr>
          <w:p>
            <w:pPr>
              <w:ind w:left="100"/>
              <w:spacing w:after="0"/>
              <w:rPr>
                <w:sz w:val="20"/>
                <w:szCs w:val="20"/>
                <w:color w:val="auto"/>
              </w:rPr>
            </w:pPr>
            <w:r>
              <w:rPr>
                <w:rFonts w:ascii="Arial" w:cs="Arial" w:eastAsia="Arial" w:hAnsi="Arial"/>
                <w:sz w:val="11"/>
                <w:szCs w:val="11"/>
                <w:color w:val="auto"/>
              </w:rPr>
              <w:t>Plus: Provision for income taxes</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1,708</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1,858</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1,751</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2,088</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1,263</w:t>
            </w:r>
          </w:p>
        </w:tc>
        <w:tc>
          <w:tcPr>
            <w:tcW w:w="20" w:type="dxa"/>
            <w:vAlign w:val="bottom"/>
            <w:shd w:val="clear" w:color="auto" w:fill="CCEEFF"/>
          </w:tcPr>
          <w:p>
            <w:pPr>
              <w:spacing w:after="0"/>
              <w:rPr>
                <w:sz w:val="13"/>
                <w:szCs w:val="13"/>
                <w:color w:val="auto"/>
              </w:rPr>
            </w:pPr>
          </w:p>
        </w:tc>
      </w:tr>
      <w:tr>
        <w:trPr>
          <w:trHeight w:val="160"/>
        </w:trPr>
        <w:tc>
          <w:tcPr>
            <w:tcW w:w="3200" w:type="dxa"/>
            <w:vAlign w:val="bottom"/>
            <w:tcBorders>
              <w:bottom w:val="single" w:sz="8" w:color="CCEEFF"/>
            </w:tcBorders>
          </w:tcPr>
          <w:p>
            <w:pPr>
              <w:ind w:left="100"/>
              <w:spacing w:after="0"/>
              <w:rPr>
                <w:sz w:val="20"/>
                <w:szCs w:val="20"/>
                <w:color w:val="auto"/>
              </w:rPr>
            </w:pPr>
            <w:r>
              <w:rPr>
                <w:rFonts w:ascii="Arial" w:cs="Arial" w:eastAsia="Arial" w:hAnsi="Arial"/>
                <w:sz w:val="11"/>
                <w:szCs w:val="11"/>
                <w:color w:val="auto"/>
              </w:rPr>
              <w:t>Plus: Provision for credit losses</w:t>
            </w:r>
          </w:p>
        </w:tc>
        <w:tc>
          <w:tcPr>
            <w:tcW w:w="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705</w:t>
            </w:r>
          </w:p>
        </w:tc>
        <w:tc>
          <w:tcPr>
            <w:tcW w:w="20" w:type="dxa"/>
            <w:vAlign w:val="bottom"/>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3"/>
                <w:szCs w:val="13"/>
                <w:color w:val="auto"/>
              </w:rPr>
            </w:pPr>
          </w:p>
        </w:tc>
      </w:tr>
      <w:tr>
        <w:trPr>
          <w:trHeight w:val="151"/>
        </w:trPr>
        <w:tc>
          <w:tcPr>
            <w:tcW w:w="3200" w:type="dxa"/>
            <w:vAlign w:val="bottom"/>
            <w:shd w:val="clear" w:color="auto" w:fill="CCEEFF"/>
          </w:tcPr>
          <w:p>
            <w:pPr>
              <w:ind w:left="200"/>
              <w:spacing w:after="0"/>
              <w:rPr>
                <w:sz w:val="20"/>
                <w:szCs w:val="20"/>
                <w:color w:val="auto"/>
              </w:rPr>
            </w:pPr>
            <w:r>
              <w:rPr>
                <w:rFonts w:ascii="Arial" w:cs="Arial" w:eastAsia="Arial" w:hAnsi="Arial"/>
                <w:sz w:val="11"/>
                <w:szCs w:val="11"/>
                <w:color w:val="auto"/>
              </w:rPr>
              <w:t>PTPP income</w:t>
            </w:r>
          </w:p>
        </w:tc>
        <w:tc>
          <w:tcPr>
            <w:tcW w:w="2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7,708</w:t>
            </w:r>
          </w:p>
        </w:tc>
        <w:tc>
          <w:tcPr>
            <w:tcW w:w="20" w:type="dxa"/>
            <w:vAlign w:val="bottom"/>
            <w:tcBorders>
              <w:bottom w:val="single" w:sz="8" w:color="auto"/>
            </w:tcBorders>
            <w:shd w:val="clear" w:color="auto" w:fill="CCEEFF"/>
          </w:tcPr>
          <w:p>
            <w:pPr>
              <w:spacing w:after="0"/>
              <w:rPr>
                <w:sz w:val="13"/>
                <w:szCs w:val="13"/>
                <w:color w:val="auto"/>
              </w:rPr>
            </w:pPr>
          </w:p>
        </w:tc>
        <w:tc>
          <w:tcPr>
            <w:tcW w:w="40" w:type="dxa"/>
            <w:vAlign w:val="bottom"/>
            <w:gridSpan w:val="2"/>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6,712</w:t>
            </w:r>
          </w:p>
        </w:tc>
        <w:tc>
          <w:tcPr>
            <w:tcW w:w="20" w:type="dxa"/>
            <w:vAlign w:val="bottom"/>
            <w:tcBorders>
              <w:bottom w:val="single" w:sz="8" w:color="auto"/>
            </w:tcBorders>
            <w:shd w:val="clear" w:color="auto" w:fill="CCEEFF"/>
          </w:tcPr>
          <w:p>
            <w:pPr>
              <w:spacing w:after="0"/>
              <w:rPr>
                <w:sz w:val="13"/>
                <w:szCs w:val="13"/>
                <w:color w:val="auto"/>
              </w:rPr>
            </w:pPr>
          </w:p>
        </w:tc>
        <w:tc>
          <w:tcPr>
            <w:tcW w:w="60" w:type="dxa"/>
            <w:vAlign w:val="bottom"/>
            <w:gridSpan w:val="2"/>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7,401</w:t>
            </w:r>
          </w:p>
        </w:tc>
        <w:tc>
          <w:tcPr>
            <w:tcW w:w="20" w:type="dxa"/>
            <w:vAlign w:val="bottom"/>
            <w:tcBorders>
              <w:bottom w:val="single" w:sz="8" w:color="auto"/>
            </w:tcBorders>
            <w:shd w:val="clear" w:color="auto" w:fill="CCEEFF"/>
          </w:tcPr>
          <w:p>
            <w:pPr>
              <w:spacing w:after="0"/>
              <w:rPr>
                <w:sz w:val="13"/>
                <w:szCs w:val="13"/>
                <w:color w:val="auto"/>
              </w:rPr>
            </w:pPr>
          </w:p>
        </w:tc>
        <w:tc>
          <w:tcPr>
            <w:tcW w:w="60" w:type="dxa"/>
            <w:vAlign w:val="bottom"/>
            <w:gridSpan w:val="2"/>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8,681</w:t>
            </w:r>
          </w:p>
        </w:tc>
        <w:tc>
          <w:tcPr>
            <w:tcW w:w="20" w:type="dxa"/>
            <w:vAlign w:val="bottom"/>
            <w:tcBorders>
              <w:bottom w:val="single" w:sz="8" w:color="auto"/>
            </w:tcBorders>
            <w:shd w:val="clear" w:color="auto" w:fill="CCEEFF"/>
          </w:tcPr>
          <w:p>
            <w:pPr>
              <w:spacing w:after="0"/>
              <w:rPr>
                <w:sz w:val="13"/>
                <w:szCs w:val="13"/>
                <w:color w:val="auto"/>
              </w:rPr>
            </w:pPr>
          </w:p>
        </w:tc>
        <w:tc>
          <w:tcPr>
            <w:tcW w:w="40" w:type="dxa"/>
            <w:vAlign w:val="bottom"/>
            <w:gridSpan w:val="2"/>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5,316</w:t>
            </w:r>
          </w:p>
        </w:tc>
        <w:tc>
          <w:tcPr>
            <w:tcW w:w="20" w:type="dxa"/>
            <w:vAlign w:val="bottom"/>
            <w:tcBorders>
              <w:bottom w:val="single" w:sz="8" w:color="auto"/>
            </w:tcBorders>
            <w:shd w:val="clear" w:color="auto" w:fill="CCEEFF"/>
          </w:tcPr>
          <w:p>
            <w:pPr>
              <w:spacing w:after="0"/>
              <w:rPr>
                <w:sz w:val="13"/>
                <w:szCs w:val="13"/>
                <w:color w:val="auto"/>
              </w:rPr>
            </w:pPr>
          </w:p>
        </w:tc>
      </w:tr>
      <w:tr>
        <w:trPr>
          <w:trHeight w:val="20"/>
        </w:trPr>
        <w:tc>
          <w:tcPr>
            <w:tcW w:w="3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111"/>
        </w:trPr>
        <w:tc>
          <w:tcPr>
            <w:tcW w:w="320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160"/>
        </w:trPr>
        <w:tc>
          <w:tcPr>
            <w:tcW w:w="320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PTPP return on average assets:</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r>
      <w:tr>
        <w:trPr>
          <w:trHeight w:val="160"/>
        </w:trPr>
        <w:tc>
          <w:tcPr>
            <w:tcW w:w="3200" w:type="dxa"/>
            <w:vAlign w:val="bottom"/>
          </w:tcPr>
          <w:p>
            <w:pPr>
              <w:ind w:left="100"/>
              <w:spacing w:after="0"/>
              <w:rPr>
                <w:sz w:val="20"/>
                <w:szCs w:val="20"/>
                <w:color w:val="auto"/>
              </w:rPr>
            </w:pPr>
            <w:r>
              <w:rPr>
                <w:rFonts w:ascii="Arial" w:cs="Arial" w:eastAsia="Arial" w:hAnsi="Arial"/>
                <w:sz w:val="11"/>
                <w:szCs w:val="11"/>
                <w:color w:val="auto"/>
              </w:rPr>
              <w:t>PTPP income</w:t>
            </w:r>
          </w:p>
        </w:tc>
        <w:tc>
          <w:tcPr>
            <w:tcW w:w="16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700" w:type="dxa"/>
            <w:vAlign w:val="bottom"/>
          </w:tcPr>
          <w:p>
            <w:pPr>
              <w:jc w:val="right"/>
              <w:spacing w:after="0"/>
              <w:rPr>
                <w:sz w:val="20"/>
                <w:szCs w:val="20"/>
                <w:color w:val="auto"/>
              </w:rPr>
            </w:pPr>
            <w:r>
              <w:rPr>
                <w:rFonts w:ascii="Arial" w:cs="Arial" w:eastAsia="Arial" w:hAnsi="Arial"/>
                <w:sz w:val="11"/>
                <w:szCs w:val="11"/>
                <w:color w:val="auto"/>
              </w:rPr>
              <w:t>7,708</w:t>
            </w:r>
          </w:p>
        </w:tc>
        <w:tc>
          <w:tcPr>
            <w:tcW w:w="20" w:type="dxa"/>
            <w:vAlign w:val="bottom"/>
          </w:tcPr>
          <w:p>
            <w:pPr>
              <w:spacing w:after="0"/>
              <w:rPr>
                <w:sz w:val="13"/>
                <w:szCs w:val="13"/>
                <w:color w:val="auto"/>
              </w:rPr>
            </w:pPr>
          </w:p>
        </w:tc>
        <w:tc>
          <w:tcPr>
            <w:tcW w:w="200" w:type="dxa"/>
            <w:vAlign w:val="bottom"/>
            <w:gridSpan w:val="3"/>
          </w:tcPr>
          <w:p>
            <w:pPr>
              <w:jc w:val="right"/>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6,712</w:t>
            </w:r>
          </w:p>
        </w:tc>
        <w:tc>
          <w:tcPr>
            <w:tcW w:w="20" w:type="dxa"/>
            <w:vAlign w:val="bottom"/>
          </w:tcPr>
          <w:p>
            <w:pPr>
              <w:spacing w:after="0"/>
              <w:rPr>
                <w:sz w:val="13"/>
                <w:szCs w:val="13"/>
                <w:color w:val="auto"/>
              </w:rPr>
            </w:pPr>
          </w:p>
        </w:tc>
        <w:tc>
          <w:tcPr>
            <w:tcW w:w="200" w:type="dxa"/>
            <w:vAlign w:val="bottom"/>
            <w:gridSpan w:val="3"/>
          </w:tcPr>
          <w:p>
            <w:pPr>
              <w:jc w:val="right"/>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7,401</w:t>
            </w:r>
          </w:p>
        </w:tc>
        <w:tc>
          <w:tcPr>
            <w:tcW w:w="20" w:type="dxa"/>
            <w:vAlign w:val="bottom"/>
          </w:tcPr>
          <w:p>
            <w:pPr>
              <w:spacing w:after="0"/>
              <w:rPr>
                <w:sz w:val="13"/>
                <w:szCs w:val="13"/>
                <w:color w:val="auto"/>
              </w:rPr>
            </w:pPr>
          </w:p>
        </w:tc>
        <w:tc>
          <w:tcPr>
            <w:tcW w:w="200" w:type="dxa"/>
            <w:vAlign w:val="bottom"/>
            <w:gridSpan w:val="3"/>
          </w:tcPr>
          <w:p>
            <w:pPr>
              <w:jc w:val="right"/>
              <w:spacing w:after="0"/>
              <w:rPr>
                <w:sz w:val="20"/>
                <w:szCs w:val="20"/>
                <w:color w:val="auto"/>
              </w:rPr>
            </w:pPr>
            <w:r>
              <w:rPr>
                <w:rFonts w:ascii="Arial" w:cs="Arial" w:eastAsia="Arial" w:hAnsi="Arial"/>
                <w:sz w:val="11"/>
                <w:szCs w:val="11"/>
                <w:color w:val="auto"/>
              </w:rPr>
              <w:t>$</w:t>
            </w:r>
          </w:p>
        </w:tc>
        <w:tc>
          <w:tcPr>
            <w:tcW w:w="700" w:type="dxa"/>
            <w:vAlign w:val="bottom"/>
          </w:tcPr>
          <w:p>
            <w:pPr>
              <w:jc w:val="right"/>
              <w:spacing w:after="0"/>
              <w:rPr>
                <w:sz w:val="20"/>
                <w:szCs w:val="20"/>
                <w:color w:val="auto"/>
              </w:rPr>
            </w:pPr>
            <w:r>
              <w:rPr>
                <w:rFonts w:ascii="Arial" w:cs="Arial" w:eastAsia="Arial" w:hAnsi="Arial"/>
                <w:sz w:val="11"/>
                <w:szCs w:val="11"/>
                <w:color w:val="auto"/>
              </w:rPr>
              <w:t>8,681</w:t>
            </w:r>
          </w:p>
        </w:tc>
        <w:tc>
          <w:tcPr>
            <w:tcW w:w="20" w:type="dxa"/>
            <w:vAlign w:val="bottom"/>
          </w:tcPr>
          <w:p>
            <w:pPr>
              <w:spacing w:after="0"/>
              <w:rPr>
                <w:sz w:val="13"/>
                <w:szCs w:val="13"/>
                <w:color w:val="auto"/>
              </w:rPr>
            </w:pPr>
          </w:p>
        </w:tc>
        <w:tc>
          <w:tcPr>
            <w:tcW w:w="200" w:type="dxa"/>
            <w:vAlign w:val="bottom"/>
            <w:gridSpan w:val="3"/>
          </w:tcPr>
          <w:p>
            <w:pPr>
              <w:jc w:val="right"/>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5,316</w:t>
            </w:r>
          </w:p>
        </w:tc>
        <w:tc>
          <w:tcPr>
            <w:tcW w:w="20" w:type="dxa"/>
            <w:vAlign w:val="bottom"/>
          </w:tcPr>
          <w:p>
            <w:pPr>
              <w:spacing w:after="0"/>
              <w:rPr>
                <w:sz w:val="13"/>
                <w:szCs w:val="13"/>
                <w:color w:val="auto"/>
              </w:rPr>
            </w:pPr>
          </w:p>
        </w:tc>
      </w:tr>
      <w:tr>
        <w:trPr>
          <w:trHeight w:val="160"/>
        </w:trPr>
        <w:tc>
          <w:tcPr>
            <w:tcW w:w="3200" w:type="dxa"/>
            <w:vAlign w:val="bottom"/>
            <w:shd w:val="clear" w:color="auto" w:fill="CCEEFF"/>
          </w:tcPr>
          <w:p>
            <w:pPr>
              <w:ind w:left="100"/>
              <w:spacing w:after="0"/>
              <w:rPr>
                <w:sz w:val="20"/>
                <w:szCs w:val="20"/>
                <w:color w:val="auto"/>
              </w:rPr>
            </w:pPr>
            <w:r>
              <w:rPr>
                <w:rFonts w:ascii="Arial" w:cs="Arial" w:eastAsia="Arial" w:hAnsi="Arial"/>
                <w:sz w:val="11"/>
                <w:szCs w:val="11"/>
                <w:color w:val="auto"/>
              </w:rPr>
              <w:t>Average assets</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1,968,381</w:t>
            </w:r>
          </w:p>
        </w:tc>
        <w:tc>
          <w:tcPr>
            <w:tcW w:w="20" w:type="dxa"/>
            <w:vAlign w:val="bottom"/>
            <w:shd w:val="clear" w:color="auto" w:fill="CCEEFF"/>
          </w:tcPr>
          <w:p>
            <w:pPr>
              <w:spacing w:after="0"/>
              <w:rPr>
                <w:sz w:val="13"/>
                <w:szCs w:val="13"/>
                <w:color w:val="auto"/>
              </w:rPr>
            </w:pPr>
          </w:p>
        </w:tc>
        <w:tc>
          <w:tcPr>
            <w:tcW w:w="200" w:type="dxa"/>
            <w:vAlign w:val="bottom"/>
            <w:gridSpan w:val="3"/>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1,913,484</w:t>
            </w:r>
          </w:p>
        </w:tc>
        <w:tc>
          <w:tcPr>
            <w:tcW w:w="20" w:type="dxa"/>
            <w:vAlign w:val="bottom"/>
            <w:shd w:val="clear" w:color="auto" w:fill="CCEEFF"/>
          </w:tcPr>
          <w:p>
            <w:pPr>
              <w:spacing w:after="0"/>
              <w:rPr>
                <w:sz w:val="13"/>
                <w:szCs w:val="13"/>
                <w:color w:val="auto"/>
              </w:rPr>
            </w:pPr>
          </w:p>
        </w:tc>
        <w:tc>
          <w:tcPr>
            <w:tcW w:w="200" w:type="dxa"/>
            <w:vAlign w:val="bottom"/>
            <w:gridSpan w:val="3"/>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1,828,037</w:t>
            </w:r>
          </w:p>
        </w:tc>
        <w:tc>
          <w:tcPr>
            <w:tcW w:w="20" w:type="dxa"/>
            <w:vAlign w:val="bottom"/>
            <w:shd w:val="clear" w:color="auto" w:fill="CCEEFF"/>
          </w:tcPr>
          <w:p>
            <w:pPr>
              <w:spacing w:after="0"/>
              <w:rPr>
                <w:sz w:val="13"/>
                <w:szCs w:val="13"/>
                <w:color w:val="auto"/>
              </w:rPr>
            </w:pPr>
          </w:p>
        </w:tc>
        <w:tc>
          <w:tcPr>
            <w:tcW w:w="200" w:type="dxa"/>
            <w:vAlign w:val="bottom"/>
            <w:gridSpan w:val="3"/>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1,741,423</w:t>
            </w:r>
          </w:p>
        </w:tc>
        <w:tc>
          <w:tcPr>
            <w:tcW w:w="20" w:type="dxa"/>
            <w:vAlign w:val="bottom"/>
            <w:shd w:val="clear" w:color="auto" w:fill="CCEEFF"/>
          </w:tcPr>
          <w:p>
            <w:pPr>
              <w:spacing w:after="0"/>
              <w:rPr>
                <w:sz w:val="13"/>
                <w:szCs w:val="13"/>
                <w:color w:val="auto"/>
              </w:rPr>
            </w:pPr>
          </w:p>
        </w:tc>
        <w:tc>
          <w:tcPr>
            <w:tcW w:w="200" w:type="dxa"/>
            <w:vAlign w:val="bottom"/>
            <w:gridSpan w:val="3"/>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1,660,060</w:t>
            </w:r>
          </w:p>
        </w:tc>
        <w:tc>
          <w:tcPr>
            <w:tcW w:w="20" w:type="dxa"/>
            <w:vAlign w:val="bottom"/>
            <w:shd w:val="clear" w:color="auto" w:fill="CCEEFF"/>
          </w:tcPr>
          <w:p>
            <w:pPr>
              <w:spacing w:after="0"/>
              <w:rPr>
                <w:sz w:val="13"/>
                <w:szCs w:val="13"/>
                <w:color w:val="auto"/>
              </w:rPr>
            </w:pPr>
          </w:p>
        </w:tc>
      </w:tr>
      <w:tr>
        <w:trPr>
          <w:trHeight w:val="171"/>
        </w:trPr>
        <w:tc>
          <w:tcPr>
            <w:tcW w:w="3200" w:type="dxa"/>
            <w:vAlign w:val="bottom"/>
          </w:tcPr>
          <w:p>
            <w:pPr>
              <w:ind w:left="100"/>
              <w:spacing w:after="0"/>
              <w:rPr>
                <w:sz w:val="20"/>
                <w:szCs w:val="20"/>
                <w:color w:val="auto"/>
              </w:rPr>
            </w:pPr>
            <w:r>
              <w:rPr>
                <w:rFonts w:ascii="Arial" w:cs="Arial" w:eastAsia="Arial" w:hAnsi="Arial"/>
                <w:sz w:val="11"/>
                <w:szCs w:val="11"/>
                <w:color w:val="auto"/>
              </w:rPr>
              <w:t xml:space="preserve">PTPP return on average assets </w:t>
            </w:r>
            <w:r>
              <w:rPr>
                <w:rFonts w:ascii="Arial" w:cs="Arial" w:eastAsia="Arial" w:hAnsi="Arial"/>
                <w:sz w:val="14"/>
                <w:szCs w:val="14"/>
                <w:color w:val="auto"/>
                <w:vertAlign w:val="superscript"/>
              </w:rPr>
              <w:t>(1)</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1.57%</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1"/>
                <w:szCs w:val="11"/>
                <w:color w:val="auto"/>
              </w:rPr>
              <w:t>1.42%</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1.61%</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1.98%</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1.28%</w:t>
            </w:r>
          </w:p>
        </w:tc>
        <w:tc>
          <w:tcPr>
            <w:tcW w:w="20" w:type="dxa"/>
            <w:vAlign w:val="bottom"/>
          </w:tcPr>
          <w:p>
            <w:pPr>
              <w:spacing w:after="0"/>
              <w:rPr>
                <w:sz w:val="14"/>
                <w:szCs w:val="14"/>
                <w:color w:val="auto"/>
              </w:rPr>
            </w:pPr>
          </w:p>
        </w:tc>
      </w:tr>
      <w:tr>
        <w:trPr>
          <w:trHeight w:val="160"/>
        </w:trPr>
        <w:tc>
          <w:tcPr>
            <w:tcW w:w="32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r>
      <w:tr>
        <w:trPr>
          <w:trHeight w:val="160"/>
        </w:trPr>
        <w:tc>
          <w:tcPr>
            <w:tcW w:w="3200" w:type="dxa"/>
            <w:vAlign w:val="bottom"/>
          </w:tcPr>
          <w:p>
            <w:pPr>
              <w:spacing w:after="0"/>
              <w:rPr>
                <w:sz w:val="20"/>
                <w:szCs w:val="20"/>
                <w:color w:val="auto"/>
              </w:rPr>
            </w:pPr>
            <w:r>
              <w:rPr>
                <w:rFonts w:ascii="Arial" w:cs="Arial" w:eastAsia="Arial" w:hAnsi="Arial"/>
                <w:sz w:val="11"/>
                <w:szCs w:val="11"/>
                <w:b w:val="1"/>
                <w:bCs w:val="1"/>
                <w:color w:val="auto"/>
              </w:rPr>
              <w:t>Operating net income:</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0"/>
        </w:trPr>
        <w:tc>
          <w:tcPr>
            <w:tcW w:w="3200" w:type="dxa"/>
            <w:vAlign w:val="bottom"/>
            <w:shd w:val="clear" w:color="auto" w:fill="CCEEFF"/>
          </w:tcPr>
          <w:p>
            <w:pPr>
              <w:ind w:left="100"/>
              <w:spacing w:after="0"/>
              <w:rPr>
                <w:sz w:val="20"/>
                <w:szCs w:val="20"/>
                <w:color w:val="auto"/>
              </w:rPr>
            </w:pPr>
            <w:r>
              <w:rPr>
                <w:rFonts w:ascii="Arial" w:cs="Arial" w:eastAsia="Arial" w:hAnsi="Arial"/>
                <w:sz w:val="11"/>
                <w:szCs w:val="11"/>
                <w:color w:val="auto"/>
              </w:rPr>
              <w:t>Net income</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5,295</w:t>
            </w:r>
          </w:p>
        </w:tc>
        <w:tc>
          <w:tcPr>
            <w:tcW w:w="20" w:type="dxa"/>
            <w:vAlign w:val="bottom"/>
            <w:shd w:val="clear" w:color="auto" w:fill="CCEEFF"/>
          </w:tcPr>
          <w:p>
            <w:pPr>
              <w:spacing w:after="0"/>
              <w:rPr>
                <w:sz w:val="13"/>
                <w:szCs w:val="13"/>
                <w:color w:val="auto"/>
              </w:rPr>
            </w:pPr>
          </w:p>
        </w:tc>
        <w:tc>
          <w:tcPr>
            <w:tcW w:w="200" w:type="dxa"/>
            <w:vAlign w:val="bottom"/>
            <w:gridSpan w:val="3"/>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4,854</w:t>
            </w:r>
          </w:p>
        </w:tc>
        <w:tc>
          <w:tcPr>
            <w:tcW w:w="20" w:type="dxa"/>
            <w:vAlign w:val="bottom"/>
            <w:shd w:val="clear" w:color="auto" w:fill="CCEEFF"/>
          </w:tcPr>
          <w:p>
            <w:pPr>
              <w:spacing w:after="0"/>
              <w:rPr>
                <w:sz w:val="13"/>
                <w:szCs w:val="13"/>
                <w:color w:val="auto"/>
              </w:rPr>
            </w:pPr>
          </w:p>
        </w:tc>
        <w:tc>
          <w:tcPr>
            <w:tcW w:w="200" w:type="dxa"/>
            <w:vAlign w:val="bottom"/>
            <w:gridSpan w:val="3"/>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5,650</w:t>
            </w:r>
          </w:p>
        </w:tc>
        <w:tc>
          <w:tcPr>
            <w:tcW w:w="20" w:type="dxa"/>
            <w:vAlign w:val="bottom"/>
            <w:shd w:val="clear" w:color="auto" w:fill="CCEEFF"/>
          </w:tcPr>
          <w:p>
            <w:pPr>
              <w:spacing w:after="0"/>
              <w:rPr>
                <w:sz w:val="13"/>
                <w:szCs w:val="13"/>
                <w:color w:val="auto"/>
              </w:rPr>
            </w:pPr>
          </w:p>
        </w:tc>
        <w:tc>
          <w:tcPr>
            <w:tcW w:w="200" w:type="dxa"/>
            <w:vAlign w:val="bottom"/>
            <w:gridSpan w:val="3"/>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6,593</w:t>
            </w:r>
          </w:p>
        </w:tc>
        <w:tc>
          <w:tcPr>
            <w:tcW w:w="20" w:type="dxa"/>
            <w:vAlign w:val="bottom"/>
            <w:shd w:val="clear" w:color="auto" w:fill="CCEEFF"/>
          </w:tcPr>
          <w:p>
            <w:pPr>
              <w:spacing w:after="0"/>
              <w:rPr>
                <w:sz w:val="13"/>
                <w:szCs w:val="13"/>
                <w:color w:val="auto"/>
              </w:rPr>
            </w:pPr>
          </w:p>
        </w:tc>
        <w:tc>
          <w:tcPr>
            <w:tcW w:w="200" w:type="dxa"/>
            <w:vAlign w:val="bottom"/>
            <w:gridSpan w:val="3"/>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4,053</w:t>
            </w:r>
          </w:p>
        </w:tc>
        <w:tc>
          <w:tcPr>
            <w:tcW w:w="20" w:type="dxa"/>
            <w:vAlign w:val="bottom"/>
            <w:shd w:val="clear" w:color="auto" w:fill="CCEEFF"/>
          </w:tcPr>
          <w:p>
            <w:pPr>
              <w:spacing w:after="0"/>
              <w:rPr>
                <w:sz w:val="13"/>
                <w:szCs w:val="13"/>
                <w:color w:val="auto"/>
              </w:rPr>
            </w:pPr>
          </w:p>
        </w:tc>
      </w:tr>
      <w:tr>
        <w:trPr>
          <w:trHeight w:val="171"/>
        </w:trPr>
        <w:tc>
          <w:tcPr>
            <w:tcW w:w="3200" w:type="dxa"/>
            <w:vAlign w:val="bottom"/>
          </w:tcPr>
          <w:p>
            <w:pPr>
              <w:ind w:left="100"/>
              <w:spacing w:after="0"/>
              <w:rPr>
                <w:sz w:val="20"/>
                <w:szCs w:val="20"/>
                <w:color w:val="auto"/>
              </w:rPr>
            </w:pPr>
            <w:r>
              <w:rPr>
                <w:rFonts w:ascii="Arial" w:cs="Arial" w:eastAsia="Arial" w:hAnsi="Arial"/>
                <w:sz w:val="11"/>
                <w:szCs w:val="11"/>
                <w:color w:val="auto"/>
              </w:rPr>
              <w:t>Less: Net gains (losses) on sale of securities</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1"/>
                <w:szCs w:val="11"/>
                <w:color w:val="auto"/>
              </w:rPr>
              <w:t>(3)</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21</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35</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1"/>
                <w:szCs w:val="11"/>
                <w:color w:val="auto"/>
              </w:rPr>
              <w:t>(70)</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187</w:t>
            </w:r>
          </w:p>
        </w:tc>
        <w:tc>
          <w:tcPr>
            <w:tcW w:w="20" w:type="dxa"/>
            <w:vAlign w:val="bottom"/>
          </w:tcPr>
          <w:p>
            <w:pPr>
              <w:spacing w:after="0"/>
              <w:rPr>
                <w:sz w:val="14"/>
                <w:szCs w:val="14"/>
                <w:color w:val="auto"/>
              </w:rPr>
            </w:pPr>
          </w:p>
        </w:tc>
      </w:tr>
      <w:tr>
        <w:trPr>
          <w:trHeight w:val="160"/>
        </w:trPr>
        <w:tc>
          <w:tcPr>
            <w:tcW w:w="3200" w:type="dxa"/>
            <w:vAlign w:val="bottom"/>
            <w:shd w:val="clear" w:color="auto" w:fill="CCEEFF"/>
          </w:tcPr>
          <w:p>
            <w:pPr>
              <w:ind w:left="100"/>
              <w:spacing w:after="0"/>
              <w:rPr>
                <w:sz w:val="20"/>
                <w:szCs w:val="20"/>
                <w:color w:val="auto"/>
              </w:rPr>
            </w:pPr>
            <w:r>
              <w:rPr>
                <w:rFonts w:ascii="Arial" w:cs="Arial" w:eastAsia="Arial" w:hAnsi="Arial"/>
                <w:sz w:val="11"/>
                <w:szCs w:val="11"/>
                <w:color w:val="auto"/>
              </w:rPr>
              <w:t>Less: Tax effect on sale of securities</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(9)</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(46)</w:t>
            </w:r>
          </w:p>
        </w:tc>
      </w:tr>
      <w:tr>
        <w:trPr>
          <w:trHeight w:val="191"/>
        </w:trPr>
        <w:tc>
          <w:tcPr>
            <w:tcW w:w="3200" w:type="dxa"/>
            <w:vAlign w:val="bottom"/>
          </w:tcPr>
          <w:p>
            <w:pPr>
              <w:ind w:left="200"/>
              <w:spacing w:after="0"/>
              <w:rPr>
                <w:sz w:val="20"/>
                <w:szCs w:val="20"/>
                <w:color w:val="auto"/>
              </w:rPr>
            </w:pPr>
            <w:r>
              <w:rPr>
                <w:rFonts w:ascii="Arial" w:cs="Arial" w:eastAsia="Arial" w:hAnsi="Arial"/>
                <w:sz w:val="11"/>
                <w:szCs w:val="11"/>
                <w:color w:val="auto"/>
              </w:rPr>
              <w:t>Operating net income</w:t>
            </w:r>
          </w:p>
        </w:tc>
        <w:tc>
          <w:tcPr>
            <w:tcW w:w="160" w:type="dxa"/>
            <w:vAlign w:val="bottom"/>
            <w:tcBorders>
              <w:top w:val="single" w:sz="8" w:color="auto"/>
            </w:tcBorders>
            <w:gridSpan w:val="2"/>
          </w:tcPr>
          <w:p>
            <w:pPr>
              <w:jc w:val="right"/>
              <w:spacing w:after="0"/>
              <w:rPr>
                <w:sz w:val="20"/>
                <w:szCs w:val="20"/>
                <w:color w:val="auto"/>
              </w:rPr>
            </w:pPr>
            <w:r>
              <w:rPr>
                <w:rFonts w:ascii="Arial" w:cs="Arial" w:eastAsia="Arial" w:hAnsi="Arial"/>
                <w:sz w:val="11"/>
                <w:szCs w:val="11"/>
                <w:color w:val="auto"/>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5,297</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Borders>
              <w:top w:val="single" w:sz="8" w:color="auto"/>
            </w:tcBorders>
            <w:gridSpan w:val="2"/>
          </w:tcPr>
          <w:p>
            <w:pPr>
              <w:jc w:val="right"/>
              <w:spacing w:after="0"/>
              <w:rPr>
                <w:sz w:val="20"/>
                <w:szCs w:val="20"/>
                <w:color w:val="auto"/>
              </w:rPr>
            </w:pPr>
            <w:r>
              <w:rPr>
                <w:rFonts w:ascii="Arial" w:cs="Arial" w:eastAsia="Arial" w:hAnsi="Arial"/>
                <w:sz w:val="11"/>
                <w:szCs w:val="11"/>
                <w:color w:val="auto"/>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4,838</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Borders>
              <w:top w:val="single" w:sz="8" w:color="auto"/>
            </w:tcBorders>
            <w:gridSpan w:val="2"/>
          </w:tcPr>
          <w:p>
            <w:pPr>
              <w:jc w:val="right"/>
              <w:spacing w:after="0"/>
              <w:rPr>
                <w:sz w:val="20"/>
                <w:szCs w:val="20"/>
                <w:color w:val="auto"/>
              </w:rPr>
            </w:pPr>
            <w:r>
              <w:rPr>
                <w:rFonts w:ascii="Arial" w:cs="Arial" w:eastAsia="Arial" w:hAnsi="Arial"/>
                <w:sz w:val="11"/>
                <w:szCs w:val="11"/>
                <w:color w:val="auto"/>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5,624</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Borders>
              <w:top w:val="single" w:sz="8" w:color="auto"/>
            </w:tcBorders>
            <w:gridSpan w:val="2"/>
          </w:tcPr>
          <w:p>
            <w:pPr>
              <w:jc w:val="right"/>
              <w:spacing w:after="0"/>
              <w:rPr>
                <w:sz w:val="20"/>
                <w:szCs w:val="20"/>
                <w:color w:val="auto"/>
              </w:rPr>
            </w:pPr>
            <w:r>
              <w:rPr>
                <w:rFonts w:ascii="Arial" w:cs="Arial" w:eastAsia="Arial" w:hAnsi="Arial"/>
                <w:sz w:val="11"/>
                <w:szCs w:val="11"/>
                <w:color w:val="auto"/>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6,646</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Borders>
              <w:top w:val="single" w:sz="8" w:color="auto"/>
            </w:tcBorders>
            <w:gridSpan w:val="2"/>
          </w:tcPr>
          <w:p>
            <w:pPr>
              <w:jc w:val="right"/>
              <w:spacing w:after="0"/>
              <w:rPr>
                <w:sz w:val="20"/>
                <w:szCs w:val="20"/>
                <w:color w:val="auto"/>
              </w:rPr>
            </w:pPr>
            <w:r>
              <w:rPr>
                <w:rFonts w:ascii="Arial" w:cs="Arial" w:eastAsia="Arial" w:hAnsi="Arial"/>
                <w:sz w:val="11"/>
                <w:szCs w:val="11"/>
                <w:color w:val="auto"/>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3,912</w:t>
            </w:r>
          </w:p>
        </w:tc>
        <w:tc>
          <w:tcPr>
            <w:tcW w:w="20" w:type="dxa"/>
            <w:vAlign w:val="bottom"/>
          </w:tcPr>
          <w:p>
            <w:pPr>
              <w:spacing w:after="0"/>
              <w:rPr>
                <w:sz w:val="16"/>
                <w:szCs w:val="16"/>
                <w:color w:val="auto"/>
              </w:rPr>
            </w:pPr>
          </w:p>
        </w:tc>
      </w:tr>
      <w:tr>
        <w:trPr>
          <w:trHeight w:val="100"/>
        </w:trPr>
        <w:tc>
          <w:tcPr>
            <w:tcW w:w="320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auto"/>
            </w:tcBorders>
            <w:shd w:val="clear" w:color="auto" w:fill="CCEEFF"/>
          </w:tcPr>
          <w:p>
            <w:pPr>
              <w:spacing w:after="0"/>
              <w:rPr>
                <w:sz w:val="8"/>
                <w:szCs w:val="8"/>
                <w:color w:val="auto"/>
              </w:rPr>
            </w:pPr>
          </w:p>
        </w:tc>
        <w:tc>
          <w:tcPr>
            <w:tcW w:w="700" w:type="dxa"/>
            <w:vAlign w:val="bottom"/>
            <w:tcBorders>
              <w:top w:val="single" w:sz="8" w:color="auto"/>
            </w:tcBorders>
            <w:shd w:val="clear" w:color="auto" w:fill="CCEEFF"/>
          </w:tcPr>
          <w:p>
            <w:pPr>
              <w:spacing w:after="0"/>
              <w:rPr>
                <w:sz w:val="8"/>
                <w:szCs w:val="8"/>
                <w:color w:val="auto"/>
              </w:rPr>
            </w:pPr>
          </w:p>
        </w:tc>
        <w:tc>
          <w:tcPr>
            <w:tcW w:w="20" w:type="dxa"/>
            <w:vAlign w:val="bottom"/>
            <w:tcBorders>
              <w:top w:val="single" w:sz="8" w:color="auto"/>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160" w:type="dxa"/>
            <w:vAlign w:val="bottom"/>
            <w:tcBorders>
              <w:top w:val="single" w:sz="8" w:color="auto"/>
            </w:tcBorders>
            <w:shd w:val="clear" w:color="auto" w:fill="CCEEFF"/>
          </w:tcPr>
          <w:p>
            <w:pPr>
              <w:spacing w:after="0"/>
              <w:rPr>
                <w:sz w:val="8"/>
                <w:szCs w:val="8"/>
                <w:color w:val="auto"/>
              </w:rPr>
            </w:pPr>
          </w:p>
        </w:tc>
        <w:tc>
          <w:tcPr>
            <w:tcW w:w="680" w:type="dxa"/>
            <w:vAlign w:val="bottom"/>
            <w:tcBorders>
              <w:top w:val="single" w:sz="8" w:color="auto"/>
            </w:tcBorders>
            <w:shd w:val="clear" w:color="auto" w:fill="CCEEFF"/>
          </w:tcPr>
          <w:p>
            <w:pPr>
              <w:spacing w:after="0"/>
              <w:rPr>
                <w:sz w:val="8"/>
                <w:szCs w:val="8"/>
                <w:color w:val="auto"/>
              </w:rPr>
            </w:pPr>
          </w:p>
        </w:tc>
        <w:tc>
          <w:tcPr>
            <w:tcW w:w="20" w:type="dxa"/>
            <w:vAlign w:val="bottom"/>
            <w:tcBorders>
              <w:top w:val="single" w:sz="8" w:color="auto"/>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auto"/>
            </w:tcBorders>
            <w:shd w:val="clear" w:color="auto" w:fill="CCEEFF"/>
          </w:tcPr>
          <w:p>
            <w:pPr>
              <w:spacing w:after="0"/>
              <w:rPr>
                <w:sz w:val="8"/>
                <w:szCs w:val="8"/>
                <w:color w:val="auto"/>
              </w:rPr>
            </w:pPr>
          </w:p>
        </w:tc>
        <w:tc>
          <w:tcPr>
            <w:tcW w:w="680" w:type="dxa"/>
            <w:vAlign w:val="bottom"/>
            <w:tcBorders>
              <w:top w:val="single" w:sz="8" w:color="auto"/>
            </w:tcBorders>
            <w:shd w:val="clear" w:color="auto" w:fill="CCEEFF"/>
          </w:tcPr>
          <w:p>
            <w:pPr>
              <w:spacing w:after="0"/>
              <w:rPr>
                <w:sz w:val="8"/>
                <w:szCs w:val="8"/>
                <w:color w:val="auto"/>
              </w:rPr>
            </w:pPr>
          </w:p>
        </w:tc>
        <w:tc>
          <w:tcPr>
            <w:tcW w:w="20" w:type="dxa"/>
            <w:vAlign w:val="bottom"/>
            <w:tcBorders>
              <w:top w:val="single" w:sz="8" w:color="auto"/>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auto"/>
            </w:tcBorders>
            <w:shd w:val="clear" w:color="auto" w:fill="CCEEFF"/>
          </w:tcPr>
          <w:p>
            <w:pPr>
              <w:spacing w:after="0"/>
              <w:rPr>
                <w:sz w:val="8"/>
                <w:szCs w:val="8"/>
                <w:color w:val="auto"/>
              </w:rPr>
            </w:pPr>
          </w:p>
        </w:tc>
        <w:tc>
          <w:tcPr>
            <w:tcW w:w="700" w:type="dxa"/>
            <w:vAlign w:val="bottom"/>
            <w:tcBorders>
              <w:top w:val="single" w:sz="8" w:color="auto"/>
            </w:tcBorders>
            <w:shd w:val="clear" w:color="auto" w:fill="CCEEFF"/>
          </w:tcPr>
          <w:p>
            <w:pPr>
              <w:spacing w:after="0"/>
              <w:rPr>
                <w:sz w:val="8"/>
                <w:szCs w:val="8"/>
                <w:color w:val="auto"/>
              </w:rPr>
            </w:pPr>
          </w:p>
        </w:tc>
        <w:tc>
          <w:tcPr>
            <w:tcW w:w="20" w:type="dxa"/>
            <w:vAlign w:val="bottom"/>
            <w:tcBorders>
              <w:top w:val="single" w:sz="8" w:color="auto"/>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160" w:type="dxa"/>
            <w:vAlign w:val="bottom"/>
            <w:tcBorders>
              <w:top w:val="single" w:sz="8" w:color="auto"/>
            </w:tcBorders>
            <w:shd w:val="clear" w:color="auto" w:fill="CCEEFF"/>
          </w:tcPr>
          <w:p>
            <w:pPr>
              <w:spacing w:after="0"/>
              <w:rPr>
                <w:sz w:val="8"/>
                <w:szCs w:val="8"/>
                <w:color w:val="auto"/>
              </w:rPr>
            </w:pPr>
          </w:p>
        </w:tc>
        <w:tc>
          <w:tcPr>
            <w:tcW w:w="680" w:type="dxa"/>
            <w:vAlign w:val="bottom"/>
            <w:tcBorders>
              <w:top w:val="single" w:sz="8" w:color="auto"/>
            </w:tcBorders>
            <w:shd w:val="clear" w:color="auto" w:fill="CCEEFF"/>
          </w:tcPr>
          <w:p>
            <w:pPr>
              <w:spacing w:after="0"/>
              <w:rPr>
                <w:sz w:val="8"/>
                <w:szCs w:val="8"/>
                <w:color w:val="auto"/>
              </w:rPr>
            </w:pPr>
          </w:p>
        </w:tc>
        <w:tc>
          <w:tcPr>
            <w:tcW w:w="20" w:type="dxa"/>
            <w:vAlign w:val="bottom"/>
            <w:tcBorders>
              <w:top w:val="single" w:sz="8" w:color="auto"/>
            </w:tcBorders>
            <w:shd w:val="clear" w:color="auto" w:fill="CCEEFF"/>
          </w:tcPr>
          <w:p>
            <w:pPr>
              <w:spacing w:after="0"/>
              <w:rPr>
                <w:sz w:val="8"/>
                <w:szCs w:val="8"/>
                <w:color w:val="auto"/>
              </w:rPr>
            </w:pPr>
          </w:p>
        </w:tc>
      </w:tr>
      <w:tr>
        <w:trPr>
          <w:trHeight w:val="160"/>
        </w:trPr>
        <w:tc>
          <w:tcPr>
            <w:tcW w:w="3200" w:type="dxa"/>
            <w:vAlign w:val="bottom"/>
          </w:tcPr>
          <w:p>
            <w:pPr>
              <w:spacing w:after="0"/>
              <w:rPr>
                <w:sz w:val="20"/>
                <w:szCs w:val="20"/>
                <w:color w:val="auto"/>
              </w:rPr>
            </w:pPr>
            <w:r>
              <w:rPr>
                <w:rFonts w:ascii="Arial" w:cs="Arial" w:eastAsia="Arial" w:hAnsi="Arial"/>
                <w:sz w:val="11"/>
                <w:szCs w:val="11"/>
                <w:b w:val="1"/>
                <w:bCs w:val="1"/>
                <w:color w:val="auto"/>
              </w:rPr>
              <w:t>Operating PTPP Income:</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71"/>
        </w:trPr>
        <w:tc>
          <w:tcPr>
            <w:tcW w:w="3200" w:type="dxa"/>
            <w:vAlign w:val="bottom"/>
            <w:shd w:val="clear" w:color="auto" w:fill="CCEEFF"/>
          </w:tcPr>
          <w:p>
            <w:pPr>
              <w:ind w:left="100"/>
              <w:spacing w:after="0"/>
              <w:rPr>
                <w:sz w:val="20"/>
                <w:szCs w:val="20"/>
                <w:color w:val="auto"/>
              </w:rPr>
            </w:pPr>
            <w:r>
              <w:rPr>
                <w:rFonts w:ascii="Arial" w:cs="Arial" w:eastAsia="Arial" w:hAnsi="Arial"/>
                <w:sz w:val="11"/>
                <w:szCs w:val="11"/>
                <w:color w:val="auto"/>
              </w:rPr>
              <w:t>PTPP income</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7,708</w:t>
            </w:r>
          </w:p>
        </w:tc>
        <w:tc>
          <w:tcPr>
            <w:tcW w:w="20" w:type="dxa"/>
            <w:vAlign w:val="bottom"/>
            <w:shd w:val="clear" w:color="auto" w:fill="CCEEFF"/>
          </w:tcPr>
          <w:p>
            <w:pPr>
              <w:spacing w:after="0"/>
              <w:rPr>
                <w:sz w:val="14"/>
                <w:szCs w:val="14"/>
                <w:color w:val="auto"/>
              </w:rPr>
            </w:pPr>
          </w:p>
        </w:tc>
        <w:tc>
          <w:tcPr>
            <w:tcW w:w="200" w:type="dxa"/>
            <w:vAlign w:val="bottom"/>
            <w:gridSpan w:val="3"/>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6,712</w:t>
            </w:r>
          </w:p>
        </w:tc>
        <w:tc>
          <w:tcPr>
            <w:tcW w:w="20" w:type="dxa"/>
            <w:vAlign w:val="bottom"/>
            <w:shd w:val="clear" w:color="auto" w:fill="CCEEFF"/>
          </w:tcPr>
          <w:p>
            <w:pPr>
              <w:spacing w:after="0"/>
              <w:rPr>
                <w:sz w:val="14"/>
                <w:szCs w:val="14"/>
                <w:color w:val="auto"/>
              </w:rPr>
            </w:pPr>
          </w:p>
        </w:tc>
        <w:tc>
          <w:tcPr>
            <w:tcW w:w="200" w:type="dxa"/>
            <w:vAlign w:val="bottom"/>
            <w:gridSpan w:val="3"/>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7,401</w:t>
            </w:r>
          </w:p>
        </w:tc>
        <w:tc>
          <w:tcPr>
            <w:tcW w:w="20" w:type="dxa"/>
            <w:vAlign w:val="bottom"/>
            <w:shd w:val="clear" w:color="auto" w:fill="CCEEFF"/>
          </w:tcPr>
          <w:p>
            <w:pPr>
              <w:spacing w:after="0"/>
              <w:rPr>
                <w:sz w:val="14"/>
                <w:szCs w:val="14"/>
                <w:color w:val="auto"/>
              </w:rPr>
            </w:pPr>
          </w:p>
        </w:tc>
        <w:tc>
          <w:tcPr>
            <w:tcW w:w="200" w:type="dxa"/>
            <w:vAlign w:val="bottom"/>
            <w:gridSpan w:val="3"/>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8,681</w:t>
            </w:r>
          </w:p>
        </w:tc>
        <w:tc>
          <w:tcPr>
            <w:tcW w:w="20" w:type="dxa"/>
            <w:vAlign w:val="bottom"/>
            <w:shd w:val="clear" w:color="auto" w:fill="CCEEFF"/>
          </w:tcPr>
          <w:p>
            <w:pPr>
              <w:spacing w:after="0"/>
              <w:rPr>
                <w:sz w:val="14"/>
                <w:szCs w:val="14"/>
                <w:color w:val="auto"/>
              </w:rPr>
            </w:pPr>
          </w:p>
        </w:tc>
        <w:tc>
          <w:tcPr>
            <w:tcW w:w="200" w:type="dxa"/>
            <w:vAlign w:val="bottom"/>
            <w:gridSpan w:val="3"/>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5,316</w:t>
            </w:r>
          </w:p>
        </w:tc>
        <w:tc>
          <w:tcPr>
            <w:tcW w:w="20" w:type="dxa"/>
            <w:vAlign w:val="bottom"/>
            <w:shd w:val="clear" w:color="auto" w:fill="CCEEFF"/>
          </w:tcPr>
          <w:p>
            <w:pPr>
              <w:spacing w:after="0"/>
              <w:rPr>
                <w:sz w:val="14"/>
                <w:szCs w:val="14"/>
                <w:color w:val="auto"/>
              </w:rPr>
            </w:pPr>
          </w:p>
        </w:tc>
      </w:tr>
      <w:tr>
        <w:trPr>
          <w:trHeight w:val="160"/>
        </w:trPr>
        <w:tc>
          <w:tcPr>
            <w:tcW w:w="3200" w:type="dxa"/>
            <w:vAlign w:val="bottom"/>
            <w:tcBorders>
              <w:bottom w:val="single" w:sz="8" w:color="CCEEFF"/>
            </w:tcBorders>
          </w:tcPr>
          <w:p>
            <w:pPr>
              <w:ind w:left="100"/>
              <w:spacing w:after="0"/>
              <w:rPr>
                <w:sz w:val="20"/>
                <w:szCs w:val="20"/>
                <w:color w:val="auto"/>
              </w:rPr>
            </w:pPr>
            <w:r>
              <w:rPr>
                <w:rFonts w:ascii="Arial" w:cs="Arial" w:eastAsia="Arial" w:hAnsi="Arial"/>
                <w:sz w:val="11"/>
                <w:szCs w:val="11"/>
                <w:color w:val="auto"/>
              </w:rPr>
              <w:t>Less: Net gains (losses) on sale of securities</w:t>
            </w:r>
          </w:p>
        </w:tc>
        <w:tc>
          <w:tcPr>
            <w:tcW w:w="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w:t>
            </w:r>
          </w:p>
        </w:tc>
        <w:tc>
          <w:tcPr>
            <w:tcW w:w="20" w:type="dxa"/>
            <w:vAlign w:val="bottom"/>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21</w:t>
            </w:r>
          </w:p>
        </w:tc>
        <w:tc>
          <w:tcPr>
            <w:tcW w:w="20" w:type="dxa"/>
            <w:vAlign w:val="bottom"/>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35</w:t>
            </w:r>
          </w:p>
        </w:tc>
        <w:tc>
          <w:tcPr>
            <w:tcW w:w="20" w:type="dxa"/>
            <w:vAlign w:val="bottom"/>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(70)</w:t>
            </w:r>
          </w:p>
        </w:tc>
        <w:tc>
          <w:tcPr>
            <w:tcW w:w="20" w:type="dxa"/>
            <w:vAlign w:val="bottom"/>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187</w:t>
            </w:r>
          </w:p>
        </w:tc>
        <w:tc>
          <w:tcPr>
            <w:tcW w:w="20" w:type="dxa"/>
            <w:vAlign w:val="bottom"/>
          </w:tcPr>
          <w:p>
            <w:pPr>
              <w:spacing w:after="0"/>
              <w:rPr>
                <w:sz w:val="13"/>
                <w:szCs w:val="13"/>
                <w:color w:val="auto"/>
              </w:rPr>
            </w:pPr>
          </w:p>
        </w:tc>
      </w:tr>
      <w:tr>
        <w:trPr>
          <w:trHeight w:val="151"/>
        </w:trPr>
        <w:tc>
          <w:tcPr>
            <w:tcW w:w="3200" w:type="dxa"/>
            <w:vAlign w:val="bottom"/>
            <w:shd w:val="clear" w:color="auto" w:fill="CCEEFF"/>
          </w:tcPr>
          <w:p>
            <w:pPr>
              <w:ind w:left="200"/>
              <w:spacing w:after="0"/>
              <w:rPr>
                <w:sz w:val="20"/>
                <w:szCs w:val="20"/>
                <w:color w:val="auto"/>
              </w:rPr>
            </w:pPr>
            <w:r>
              <w:rPr>
                <w:rFonts w:ascii="Arial" w:cs="Arial" w:eastAsia="Arial" w:hAnsi="Arial"/>
                <w:sz w:val="11"/>
                <w:szCs w:val="11"/>
                <w:color w:val="auto"/>
              </w:rPr>
              <w:t>Operating PTPP income</w:t>
            </w:r>
          </w:p>
        </w:tc>
        <w:tc>
          <w:tcPr>
            <w:tcW w:w="2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7,711</w:t>
            </w:r>
          </w:p>
        </w:tc>
        <w:tc>
          <w:tcPr>
            <w:tcW w:w="20" w:type="dxa"/>
            <w:vAlign w:val="bottom"/>
            <w:tcBorders>
              <w:bottom w:val="single" w:sz="8" w:color="auto"/>
            </w:tcBorders>
            <w:shd w:val="clear" w:color="auto" w:fill="CCEEFF"/>
          </w:tcPr>
          <w:p>
            <w:pPr>
              <w:spacing w:after="0"/>
              <w:rPr>
                <w:sz w:val="13"/>
                <w:szCs w:val="13"/>
                <w:color w:val="auto"/>
              </w:rPr>
            </w:pPr>
          </w:p>
        </w:tc>
        <w:tc>
          <w:tcPr>
            <w:tcW w:w="40" w:type="dxa"/>
            <w:vAlign w:val="bottom"/>
            <w:gridSpan w:val="2"/>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6,691</w:t>
            </w:r>
          </w:p>
        </w:tc>
        <w:tc>
          <w:tcPr>
            <w:tcW w:w="20" w:type="dxa"/>
            <w:vAlign w:val="bottom"/>
            <w:tcBorders>
              <w:bottom w:val="single" w:sz="8" w:color="auto"/>
            </w:tcBorders>
            <w:shd w:val="clear" w:color="auto" w:fill="CCEEFF"/>
          </w:tcPr>
          <w:p>
            <w:pPr>
              <w:spacing w:after="0"/>
              <w:rPr>
                <w:sz w:val="13"/>
                <w:szCs w:val="13"/>
                <w:color w:val="auto"/>
              </w:rPr>
            </w:pPr>
          </w:p>
        </w:tc>
        <w:tc>
          <w:tcPr>
            <w:tcW w:w="60" w:type="dxa"/>
            <w:vAlign w:val="bottom"/>
            <w:gridSpan w:val="2"/>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7,366</w:t>
            </w:r>
          </w:p>
        </w:tc>
        <w:tc>
          <w:tcPr>
            <w:tcW w:w="20" w:type="dxa"/>
            <w:vAlign w:val="bottom"/>
            <w:tcBorders>
              <w:bottom w:val="single" w:sz="8" w:color="auto"/>
            </w:tcBorders>
            <w:shd w:val="clear" w:color="auto" w:fill="CCEEFF"/>
          </w:tcPr>
          <w:p>
            <w:pPr>
              <w:spacing w:after="0"/>
              <w:rPr>
                <w:sz w:val="13"/>
                <w:szCs w:val="13"/>
                <w:color w:val="auto"/>
              </w:rPr>
            </w:pPr>
          </w:p>
        </w:tc>
        <w:tc>
          <w:tcPr>
            <w:tcW w:w="60" w:type="dxa"/>
            <w:vAlign w:val="bottom"/>
            <w:gridSpan w:val="2"/>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8,751</w:t>
            </w:r>
          </w:p>
        </w:tc>
        <w:tc>
          <w:tcPr>
            <w:tcW w:w="20" w:type="dxa"/>
            <w:vAlign w:val="bottom"/>
            <w:tcBorders>
              <w:bottom w:val="single" w:sz="8" w:color="auto"/>
            </w:tcBorders>
            <w:shd w:val="clear" w:color="auto" w:fill="CCEEFF"/>
          </w:tcPr>
          <w:p>
            <w:pPr>
              <w:spacing w:after="0"/>
              <w:rPr>
                <w:sz w:val="13"/>
                <w:szCs w:val="13"/>
                <w:color w:val="auto"/>
              </w:rPr>
            </w:pPr>
          </w:p>
        </w:tc>
        <w:tc>
          <w:tcPr>
            <w:tcW w:w="40" w:type="dxa"/>
            <w:vAlign w:val="bottom"/>
            <w:gridSpan w:val="2"/>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5,129</w:t>
            </w:r>
          </w:p>
        </w:tc>
        <w:tc>
          <w:tcPr>
            <w:tcW w:w="20" w:type="dxa"/>
            <w:vAlign w:val="bottom"/>
            <w:tcBorders>
              <w:bottom w:val="single" w:sz="8" w:color="auto"/>
            </w:tcBorders>
            <w:shd w:val="clear" w:color="auto" w:fill="CCEEFF"/>
          </w:tcPr>
          <w:p>
            <w:pPr>
              <w:spacing w:after="0"/>
              <w:rPr>
                <w:sz w:val="13"/>
                <w:szCs w:val="13"/>
                <w:color w:val="auto"/>
              </w:rPr>
            </w:pPr>
          </w:p>
        </w:tc>
      </w:tr>
      <w:tr>
        <w:trPr>
          <w:trHeight w:val="20"/>
        </w:trPr>
        <w:tc>
          <w:tcPr>
            <w:tcW w:w="3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100"/>
        </w:trPr>
        <w:tc>
          <w:tcPr>
            <w:tcW w:w="32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160"/>
        </w:trPr>
        <w:tc>
          <w:tcPr>
            <w:tcW w:w="320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Operating PTPP return on average assets:</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r>
      <w:tr>
        <w:trPr>
          <w:trHeight w:val="171"/>
        </w:trPr>
        <w:tc>
          <w:tcPr>
            <w:tcW w:w="3200" w:type="dxa"/>
            <w:vAlign w:val="bottom"/>
          </w:tcPr>
          <w:p>
            <w:pPr>
              <w:ind w:left="100"/>
              <w:spacing w:after="0"/>
              <w:rPr>
                <w:sz w:val="20"/>
                <w:szCs w:val="20"/>
                <w:color w:val="auto"/>
              </w:rPr>
            </w:pPr>
            <w:r>
              <w:rPr>
                <w:rFonts w:ascii="Arial" w:cs="Arial" w:eastAsia="Arial" w:hAnsi="Arial"/>
                <w:sz w:val="11"/>
                <w:szCs w:val="11"/>
                <w:color w:val="auto"/>
              </w:rPr>
              <w:t>Operating PTPP income</w:t>
            </w:r>
          </w:p>
        </w:tc>
        <w:tc>
          <w:tcPr>
            <w:tcW w:w="16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700" w:type="dxa"/>
            <w:vAlign w:val="bottom"/>
          </w:tcPr>
          <w:p>
            <w:pPr>
              <w:jc w:val="right"/>
              <w:spacing w:after="0"/>
              <w:rPr>
                <w:sz w:val="20"/>
                <w:szCs w:val="20"/>
                <w:color w:val="auto"/>
              </w:rPr>
            </w:pPr>
            <w:r>
              <w:rPr>
                <w:rFonts w:ascii="Arial" w:cs="Arial" w:eastAsia="Arial" w:hAnsi="Arial"/>
                <w:sz w:val="11"/>
                <w:szCs w:val="11"/>
                <w:color w:val="auto"/>
              </w:rPr>
              <w:t>7,711</w:t>
            </w:r>
          </w:p>
        </w:tc>
        <w:tc>
          <w:tcPr>
            <w:tcW w:w="20" w:type="dxa"/>
            <w:vAlign w:val="bottom"/>
          </w:tcPr>
          <w:p>
            <w:pPr>
              <w:spacing w:after="0"/>
              <w:rPr>
                <w:sz w:val="14"/>
                <w:szCs w:val="14"/>
                <w:color w:val="auto"/>
              </w:rPr>
            </w:pPr>
          </w:p>
        </w:tc>
        <w:tc>
          <w:tcPr>
            <w:tcW w:w="200" w:type="dxa"/>
            <w:vAlign w:val="bottom"/>
            <w:gridSpan w:val="3"/>
          </w:tcPr>
          <w:p>
            <w:pPr>
              <w:jc w:val="right"/>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6,691</w:t>
            </w:r>
          </w:p>
        </w:tc>
        <w:tc>
          <w:tcPr>
            <w:tcW w:w="20" w:type="dxa"/>
            <w:vAlign w:val="bottom"/>
          </w:tcPr>
          <w:p>
            <w:pPr>
              <w:spacing w:after="0"/>
              <w:rPr>
                <w:sz w:val="14"/>
                <w:szCs w:val="14"/>
                <w:color w:val="auto"/>
              </w:rPr>
            </w:pPr>
          </w:p>
        </w:tc>
        <w:tc>
          <w:tcPr>
            <w:tcW w:w="200" w:type="dxa"/>
            <w:vAlign w:val="bottom"/>
            <w:gridSpan w:val="3"/>
          </w:tcPr>
          <w:p>
            <w:pPr>
              <w:jc w:val="right"/>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7,366</w:t>
            </w:r>
          </w:p>
        </w:tc>
        <w:tc>
          <w:tcPr>
            <w:tcW w:w="20" w:type="dxa"/>
            <w:vAlign w:val="bottom"/>
          </w:tcPr>
          <w:p>
            <w:pPr>
              <w:spacing w:after="0"/>
              <w:rPr>
                <w:sz w:val="14"/>
                <w:szCs w:val="14"/>
                <w:color w:val="auto"/>
              </w:rPr>
            </w:pPr>
          </w:p>
        </w:tc>
        <w:tc>
          <w:tcPr>
            <w:tcW w:w="200" w:type="dxa"/>
            <w:vAlign w:val="bottom"/>
            <w:gridSpan w:val="3"/>
          </w:tcPr>
          <w:p>
            <w:pPr>
              <w:jc w:val="right"/>
              <w:spacing w:after="0"/>
              <w:rPr>
                <w:sz w:val="20"/>
                <w:szCs w:val="20"/>
                <w:color w:val="auto"/>
              </w:rPr>
            </w:pPr>
            <w:r>
              <w:rPr>
                <w:rFonts w:ascii="Arial" w:cs="Arial" w:eastAsia="Arial" w:hAnsi="Arial"/>
                <w:sz w:val="11"/>
                <w:szCs w:val="11"/>
                <w:color w:val="auto"/>
              </w:rPr>
              <w:t>$</w:t>
            </w:r>
          </w:p>
        </w:tc>
        <w:tc>
          <w:tcPr>
            <w:tcW w:w="700" w:type="dxa"/>
            <w:vAlign w:val="bottom"/>
          </w:tcPr>
          <w:p>
            <w:pPr>
              <w:jc w:val="right"/>
              <w:spacing w:after="0"/>
              <w:rPr>
                <w:sz w:val="20"/>
                <w:szCs w:val="20"/>
                <w:color w:val="auto"/>
              </w:rPr>
            </w:pPr>
            <w:r>
              <w:rPr>
                <w:rFonts w:ascii="Arial" w:cs="Arial" w:eastAsia="Arial" w:hAnsi="Arial"/>
                <w:sz w:val="11"/>
                <w:szCs w:val="11"/>
                <w:color w:val="auto"/>
              </w:rPr>
              <w:t>8,751</w:t>
            </w:r>
          </w:p>
        </w:tc>
        <w:tc>
          <w:tcPr>
            <w:tcW w:w="20" w:type="dxa"/>
            <w:vAlign w:val="bottom"/>
          </w:tcPr>
          <w:p>
            <w:pPr>
              <w:spacing w:after="0"/>
              <w:rPr>
                <w:sz w:val="14"/>
                <w:szCs w:val="14"/>
                <w:color w:val="auto"/>
              </w:rPr>
            </w:pPr>
          </w:p>
        </w:tc>
        <w:tc>
          <w:tcPr>
            <w:tcW w:w="200" w:type="dxa"/>
            <w:vAlign w:val="bottom"/>
            <w:gridSpan w:val="3"/>
          </w:tcPr>
          <w:p>
            <w:pPr>
              <w:jc w:val="right"/>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5,129</w:t>
            </w:r>
          </w:p>
        </w:tc>
        <w:tc>
          <w:tcPr>
            <w:tcW w:w="20" w:type="dxa"/>
            <w:vAlign w:val="bottom"/>
          </w:tcPr>
          <w:p>
            <w:pPr>
              <w:spacing w:after="0"/>
              <w:rPr>
                <w:sz w:val="14"/>
                <w:szCs w:val="14"/>
                <w:color w:val="auto"/>
              </w:rPr>
            </w:pPr>
          </w:p>
        </w:tc>
      </w:tr>
      <w:tr>
        <w:trPr>
          <w:trHeight w:val="160"/>
        </w:trPr>
        <w:tc>
          <w:tcPr>
            <w:tcW w:w="3200" w:type="dxa"/>
            <w:vAlign w:val="bottom"/>
            <w:shd w:val="clear" w:color="auto" w:fill="CCEEFF"/>
          </w:tcPr>
          <w:p>
            <w:pPr>
              <w:ind w:left="100"/>
              <w:spacing w:after="0"/>
              <w:rPr>
                <w:sz w:val="20"/>
                <w:szCs w:val="20"/>
                <w:color w:val="auto"/>
              </w:rPr>
            </w:pPr>
            <w:r>
              <w:rPr>
                <w:rFonts w:ascii="Arial" w:cs="Arial" w:eastAsia="Arial" w:hAnsi="Arial"/>
                <w:sz w:val="11"/>
                <w:szCs w:val="11"/>
                <w:color w:val="auto"/>
              </w:rPr>
              <w:t>Average assets</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1,968,381</w:t>
            </w:r>
          </w:p>
        </w:tc>
        <w:tc>
          <w:tcPr>
            <w:tcW w:w="20" w:type="dxa"/>
            <w:vAlign w:val="bottom"/>
            <w:shd w:val="clear" w:color="auto" w:fill="CCEEFF"/>
          </w:tcPr>
          <w:p>
            <w:pPr>
              <w:spacing w:after="0"/>
              <w:rPr>
                <w:sz w:val="13"/>
                <w:szCs w:val="13"/>
                <w:color w:val="auto"/>
              </w:rPr>
            </w:pPr>
          </w:p>
        </w:tc>
        <w:tc>
          <w:tcPr>
            <w:tcW w:w="200" w:type="dxa"/>
            <w:vAlign w:val="bottom"/>
            <w:gridSpan w:val="3"/>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1,913,484</w:t>
            </w:r>
          </w:p>
        </w:tc>
        <w:tc>
          <w:tcPr>
            <w:tcW w:w="20" w:type="dxa"/>
            <w:vAlign w:val="bottom"/>
            <w:shd w:val="clear" w:color="auto" w:fill="CCEEFF"/>
          </w:tcPr>
          <w:p>
            <w:pPr>
              <w:spacing w:after="0"/>
              <w:rPr>
                <w:sz w:val="13"/>
                <w:szCs w:val="13"/>
                <w:color w:val="auto"/>
              </w:rPr>
            </w:pPr>
          </w:p>
        </w:tc>
        <w:tc>
          <w:tcPr>
            <w:tcW w:w="200" w:type="dxa"/>
            <w:vAlign w:val="bottom"/>
            <w:gridSpan w:val="3"/>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1,828,037</w:t>
            </w:r>
          </w:p>
        </w:tc>
        <w:tc>
          <w:tcPr>
            <w:tcW w:w="20" w:type="dxa"/>
            <w:vAlign w:val="bottom"/>
            <w:shd w:val="clear" w:color="auto" w:fill="CCEEFF"/>
          </w:tcPr>
          <w:p>
            <w:pPr>
              <w:spacing w:after="0"/>
              <w:rPr>
                <w:sz w:val="13"/>
                <w:szCs w:val="13"/>
                <w:color w:val="auto"/>
              </w:rPr>
            </w:pPr>
          </w:p>
        </w:tc>
        <w:tc>
          <w:tcPr>
            <w:tcW w:w="200" w:type="dxa"/>
            <w:vAlign w:val="bottom"/>
            <w:gridSpan w:val="3"/>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1,741,423</w:t>
            </w:r>
          </w:p>
        </w:tc>
        <w:tc>
          <w:tcPr>
            <w:tcW w:w="20" w:type="dxa"/>
            <w:vAlign w:val="bottom"/>
            <w:shd w:val="clear" w:color="auto" w:fill="CCEEFF"/>
          </w:tcPr>
          <w:p>
            <w:pPr>
              <w:spacing w:after="0"/>
              <w:rPr>
                <w:sz w:val="13"/>
                <w:szCs w:val="13"/>
                <w:color w:val="auto"/>
              </w:rPr>
            </w:pPr>
          </w:p>
        </w:tc>
        <w:tc>
          <w:tcPr>
            <w:tcW w:w="200" w:type="dxa"/>
            <w:vAlign w:val="bottom"/>
            <w:gridSpan w:val="3"/>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1,660,060</w:t>
            </w:r>
          </w:p>
        </w:tc>
        <w:tc>
          <w:tcPr>
            <w:tcW w:w="20" w:type="dxa"/>
            <w:vAlign w:val="bottom"/>
            <w:shd w:val="clear" w:color="auto" w:fill="CCEEFF"/>
          </w:tcPr>
          <w:p>
            <w:pPr>
              <w:spacing w:after="0"/>
              <w:rPr>
                <w:sz w:val="13"/>
                <w:szCs w:val="13"/>
                <w:color w:val="auto"/>
              </w:rPr>
            </w:pPr>
          </w:p>
        </w:tc>
      </w:tr>
      <w:tr>
        <w:trPr>
          <w:trHeight w:val="160"/>
        </w:trPr>
        <w:tc>
          <w:tcPr>
            <w:tcW w:w="3200" w:type="dxa"/>
            <w:vAlign w:val="bottom"/>
          </w:tcPr>
          <w:p>
            <w:pPr>
              <w:ind w:left="100"/>
              <w:spacing w:after="0"/>
              <w:rPr>
                <w:sz w:val="20"/>
                <w:szCs w:val="20"/>
                <w:color w:val="auto"/>
              </w:rPr>
            </w:pPr>
            <w:r>
              <w:rPr>
                <w:rFonts w:ascii="Arial" w:cs="Arial" w:eastAsia="Arial" w:hAnsi="Arial"/>
                <w:sz w:val="11"/>
                <w:szCs w:val="11"/>
                <w:color w:val="auto"/>
              </w:rPr>
              <w:t xml:space="preserve">Operating PTPP return on average assets </w:t>
            </w:r>
            <w:r>
              <w:rPr>
                <w:rFonts w:ascii="Arial" w:cs="Arial" w:eastAsia="Arial" w:hAnsi="Arial"/>
                <w:sz w:val="14"/>
                <w:szCs w:val="14"/>
                <w:color w:val="auto"/>
                <w:vertAlign w:val="superscript"/>
              </w:rPr>
              <w:t>(1)</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1.57%</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1"/>
                <w:szCs w:val="11"/>
                <w:color w:val="auto"/>
              </w:rPr>
              <w:t>1.42%</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1.60%</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1.99%</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1.24%</w:t>
            </w:r>
          </w:p>
        </w:tc>
        <w:tc>
          <w:tcPr>
            <w:tcW w:w="20" w:type="dxa"/>
            <w:vAlign w:val="bottom"/>
          </w:tcPr>
          <w:p>
            <w:pPr>
              <w:spacing w:after="0"/>
              <w:rPr>
                <w:sz w:val="13"/>
                <w:szCs w:val="13"/>
                <w:color w:val="auto"/>
              </w:rPr>
            </w:pPr>
          </w:p>
        </w:tc>
      </w:tr>
      <w:tr>
        <w:trPr>
          <w:trHeight w:val="160"/>
        </w:trPr>
        <w:tc>
          <w:tcPr>
            <w:tcW w:w="32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r>
      <w:tr>
        <w:trPr>
          <w:trHeight w:val="171"/>
        </w:trPr>
        <w:tc>
          <w:tcPr>
            <w:tcW w:w="3200" w:type="dxa"/>
            <w:vAlign w:val="bottom"/>
          </w:tcPr>
          <w:p>
            <w:pPr>
              <w:spacing w:after="0"/>
              <w:rPr>
                <w:sz w:val="20"/>
                <w:szCs w:val="20"/>
                <w:color w:val="auto"/>
              </w:rPr>
            </w:pPr>
            <w:r>
              <w:rPr>
                <w:rFonts w:ascii="Arial" w:cs="Arial" w:eastAsia="Arial" w:hAnsi="Arial"/>
                <w:sz w:val="11"/>
                <w:szCs w:val="11"/>
                <w:b w:val="1"/>
                <w:bCs w:val="1"/>
                <w:color w:val="auto"/>
              </w:rPr>
              <w:t>Operating return on average assets:</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0"/>
        </w:trPr>
        <w:tc>
          <w:tcPr>
            <w:tcW w:w="3200" w:type="dxa"/>
            <w:vAlign w:val="bottom"/>
            <w:shd w:val="clear" w:color="auto" w:fill="CCEEFF"/>
          </w:tcPr>
          <w:p>
            <w:pPr>
              <w:ind w:left="100"/>
              <w:spacing w:after="0"/>
              <w:rPr>
                <w:sz w:val="20"/>
                <w:szCs w:val="20"/>
                <w:color w:val="auto"/>
              </w:rPr>
            </w:pPr>
            <w:r>
              <w:rPr>
                <w:rFonts w:ascii="Arial" w:cs="Arial" w:eastAsia="Arial" w:hAnsi="Arial"/>
                <w:sz w:val="11"/>
                <w:szCs w:val="11"/>
                <w:color w:val="auto"/>
              </w:rPr>
              <w:t>Operating net income</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5,297</w:t>
            </w:r>
          </w:p>
        </w:tc>
        <w:tc>
          <w:tcPr>
            <w:tcW w:w="20" w:type="dxa"/>
            <w:vAlign w:val="bottom"/>
            <w:shd w:val="clear" w:color="auto" w:fill="CCEEFF"/>
          </w:tcPr>
          <w:p>
            <w:pPr>
              <w:spacing w:after="0"/>
              <w:rPr>
                <w:sz w:val="13"/>
                <w:szCs w:val="13"/>
                <w:color w:val="auto"/>
              </w:rPr>
            </w:pPr>
          </w:p>
        </w:tc>
        <w:tc>
          <w:tcPr>
            <w:tcW w:w="200" w:type="dxa"/>
            <w:vAlign w:val="bottom"/>
            <w:gridSpan w:val="3"/>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4,838</w:t>
            </w:r>
          </w:p>
        </w:tc>
        <w:tc>
          <w:tcPr>
            <w:tcW w:w="20" w:type="dxa"/>
            <w:vAlign w:val="bottom"/>
            <w:shd w:val="clear" w:color="auto" w:fill="CCEEFF"/>
          </w:tcPr>
          <w:p>
            <w:pPr>
              <w:spacing w:after="0"/>
              <w:rPr>
                <w:sz w:val="13"/>
                <w:szCs w:val="13"/>
                <w:color w:val="auto"/>
              </w:rPr>
            </w:pPr>
          </w:p>
        </w:tc>
        <w:tc>
          <w:tcPr>
            <w:tcW w:w="200" w:type="dxa"/>
            <w:vAlign w:val="bottom"/>
            <w:gridSpan w:val="3"/>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5,624</w:t>
            </w:r>
          </w:p>
        </w:tc>
        <w:tc>
          <w:tcPr>
            <w:tcW w:w="20" w:type="dxa"/>
            <w:vAlign w:val="bottom"/>
            <w:shd w:val="clear" w:color="auto" w:fill="CCEEFF"/>
          </w:tcPr>
          <w:p>
            <w:pPr>
              <w:spacing w:after="0"/>
              <w:rPr>
                <w:sz w:val="13"/>
                <w:szCs w:val="13"/>
                <w:color w:val="auto"/>
              </w:rPr>
            </w:pPr>
          </w:p>
        </w:tc>
        <w:tc>
          <w:tcPr>
            <w:tcW w:w="200" w:type="dxa"/>
            <w:vAlign w:val="bottom"/>
            <w:gridSpan w:val="3"/>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6,646</w:t>
            </w:r>
          </w:p>
        </w:tc>
        <w:tc>
          <w:tcPr>
            <w:tcW w:w="20" w:type="dxa"/>
            <w:vAlign w:val="bottom"/>
            <w:shd w:val="clear" w:color="auto" w:fill="CCEEFF"/>
          </w:tcPr>
          <w:p>
            <w:pPr>
              <w:spacing w:after="0"/>
              <w:rPr>
                <w:sz w:val="13"/>
                <w:szCs w:val="13"/>
                <w:color w:val="auto"/>
              </w:rPr>
            </w:pPr>
          </w:p>
        </w:tc>
        <w:tc>
          <w:tcPr>
            <w:tcW w:w="200" w:type="dxa"/>
            <w:vAlign w:val="bottom"/>
            <w:gridSpan w:val="3"/>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3,912</w:t>
            </w:r>
          </w:p>
        </w:tc>
        <w:tc>
          <w:tcPr>
            <w:tcW w:w="20" w:type="dxa"/>
            <w:vAlign w:val="bottom"/>
            <w:shd w:val="clear" w:color="auto" w:fill="CCEEFF"/>
          </w:tcPr>
          <w:p>
            <w:pPr>
              <w:spacing w:after="0"/>
              <w:rPr>
                <w:sz w:val="13"/>
                <w:szCs w:val="13"/>
                <w:color w:val="auto"/>
              </w:rPr>
            </w:pPr>
          </w:p>
        </w:tc>
      </w:tr>
      <w:tr>
        <w:trPr>
          <w:trHeight w:val="160"/>
        </w:trPr>
        <w:tc>
          <w:tcPr>
            <w:tcW w:w="3200" w:type="dxa"/>
            <w:vAlign w:val="bottom"/>
          </w:tcPr>
          <w:p>
            <w:pPr>
              <w:ind w:left="100"/>
              <w:spacing w:after="0"/>
              <w:rPr>
                <w:sz w:val="20"/>
                <w:szCs w:val="20"/>
                <w:color w:val="auto"/>
              </w:rPr>
            </w:pPr>
            <w:r>
              <w:rPr>
                <w:rFonts w:ascii="Arial" w:cs="Arial" w:eastAsia="Arial" w:hAnsi="Arial"/>
                <w:sz w:val="11"/>
                <w:szCs w:val="11"/>
                <w:color w:val="auto"/>
              </w:rPr>
              <w:t>Average assets</w:t>
            </w:r>
          </w:p>
        </w:tc>
        <w:tc>
          <w:tcPr>
            <w:tcW w:w="16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700" w:type="dxa"/>
            <w:vAlign w:val="bottom"/>
          </w:tcPr>
          <w:p>
            <w:pPr>
              <w:jc w:val="right"/>
              <w:spacing w:after="0"/>
              <w:rPr>
                <w:sz w:val="20"/>
                <w:szCs w:val="20"/>
                <w:color w:val="auto"/>
              </w:rPr>
            </w:pPr>
            <w:r>
              <w:rPr>
                <w:rFonts w:ascii="Arial" w:cs="Arial" w:eastAsia="Arial" w:hAnsi="Arial"/>
                <w:sz w:val="11"/>
                <w:szCs w:val="11"/>
                <w:color w:val="auto"/>
              </w:rPr>
              <w:t>1,968,381</w:t>
            </w:r>
          </w:p>
        </w:tc>
        <w:tc>
          <w:tcPr>
            <w:tcW w:w="20" w:type="dxa"/>
            <w:vAlign w:val="bottom"/>
          </w:tcPr>
          <w:p>
            <w:pPr>
              <w:spacing w:after="0"/>
              <w:rPr>
                <w:sz w:val="13"/>
                <w:szCs w:val="13"/>
                <w:color w:val="auto"/>
              </w:rPr>
            </w:pPr>
          </w:p>
        </w:tc>
        <w:tc>
          <w:tcPr>
            <w:tcW w:w="200" w:type="dxa"/>
            <w:vAlign w:val="bottom"/>
            <w:gridSpan w:val="3"/>
          </w:tcPr>
          <w:p>
            <w:pPr>
              <w:jc w:val="right"/>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1,913,484</w:t>
            </w:r>
          </w:p>
        </w:tc>
        <w:tc>
          <w:tcPr>
            <w:tcW w:w="20" w:type="dxa"/>
            <w:vAlign w:val="bottom"/>
          </w:tcPr>
          <w:p>
            <w:pPr>
              <w:spacing w:after="0"/>
              <w:rPr>
                <w:sz w:val="13"/>
                <w:szCs w:val="13"/>
                <w:color w:val="auto"/>
              </w:rPr>
            </w:pPr>
          </w:p>
        </w:tc>
        <w:tc>
          <w:tcPr>
            <w:tcW w:w="200" w:type="dxa"/>
            <w:vAlign w:val="bottom"/>
            <w:gridSpan w:val="3"/>
          </w:tcPr>
          <w:p>
            <w:pPr>
              <w:jc w:val="right"/>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1,828,037</w:t>
            </w:r>
          </w:p>
        </w:tc>
        <w:tc>
          <w:tcPr>
            <w:tcW w:w="20" w:type="dxa"/>
            <w:vAlign w:val="bottom"/>
          </w:tcPr>
          <w:p>
            <w:pPr>
              <w:spacing w:after="0"/>
              <w:rPr>
                <w:sz w:val="13"/>
                <w:szCs w:val="13"/>
                <w:color w:val="auto"/>
              </w:rPr>
            </w:pPr>
          </w:p>
        </w:tc>
        <w:tc>
          <w:tcPr>
            <w:tcW w:w="200" w:type="dxa"/>
            <w:vAlign w:val="bottom"/>
            <w:gridSpan w:val="3"/>
          </w:tcPr>
          <w:p>
            <w:pPr>
              <w:jc w:val="right"/>
              <w:spacing w:after="0"/>
              <w:rPr>
                <w:sz w:val="20"/>
                <w:szCs w:val="20"/>
                <w:color w:val="auto"/>
              </w:rPr>
            </w:pPr>
            <w:r>
              <w:rPr>
                <w:rFonts w:ascii="Arial" w:cs="Arial" w:eastAsia="Arial" w:hAnsi="Arial"/>
                <w:sz w:val="11"/>
                <w:szCs w:val="11"/>
                <w:color w:val="auto"/>
              </w:rPr>
              <w:t>$</w:t>
            </w:r>
          </w:p>
        </w:tc>
        <w:tc>
          <w:tcPr>
            <w:tcW w:w="700" w:type="dxa"/>
            <w:vAlign w:val="bottom"/>
          </w:tcPr>
          <w:p>
            <w:pPr>
              <w:jc w:val="right"/>
              <w:spacing w:after="0"/>
              <w:rPr>
                <w:sz w:val="20"/>
                <w:szCs w:val="20"/>
                <w:color w:val="auto"/>
              </w:rPr>
            </w:pPr>
            <w:r>
              <w:rPr>
                <w:rFonts w:ascii="Arial" w:cs="Arial" w:eastAsia="Arial" w:hAnsi="Arial"/>
                <w:sz w:val="11"/>
                <w:szCs w:val="11"/>
                <w:color w:val="auto"/>
              </w:rPr>
              <w:t>1,741,423</w:t>
            </w:r>
          </w:p>
        </w:tc>
        <w:tc>
          <w:tcPr>
            <w:tcW w:w="20" w:type="dxa"/>
            <w:vAlign w:val="bottom"/>
          </w:tcPr>
          <w:p>
            <w:pPr>
              <w:spacing w:after="0"/>
              <w:rPr>
                <w:sz w:val="13"/>
                <w:szCs w:val="13"/>
                <w:color w:val="auto"/>
              </w:rPr>
            </w:pPr>
          </w:p>
        </w:tc>
        <w:tc>
          <w:tcPr>
            <w:tcW w:w="200" w:type="dxa"/>
            <w:vAlign w:val="bottom"/>
            <w:gridSpan w:val="3"/>
          </w:tcPr>
          <w:p>
            <w:pPr>
              <w:jc w:val="right"/>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1,660,060</w:t>
            </w:r>
          </w:p>
        </w:tc>
        <w:tc>
          <w:tcPr>
            <w:tcW w:w="20" w:type="dxa"/>
            <w:vAlign w:val="bottom"/>
          </w:tcPr>
          <w:p>
            <w:pPr>
              <w:spacing w:after="0"/>
              <w:rPr>
                <w:sz w:val="13"/>
                <w:szCs w:val="13"/>
                <w:color w:val="auto"/>
              </w:rPr>
            </w:pPr>
          </w:p>
        </w:tc>
      </w:tr>
      <w:tr>
        <w:trPr>
          <w:trHeight w:val="171"/>
        </w:trPr>
        <w:tc>
          <w:tcPr>
            <w:tcW w:w="3200" w:type="dxa"/>
            <w:vAlign w:val="bottom"/>
            <w:shd w:val="clear" w:color="auto" w:fill="CCEEFF"/>
          </w:tcPr>
          <w:p>
            <w:pPr>
              <w:ind w:left="100"/>
              <w:spacing w:after="0"/>
              <w:rPr>
                <w:sz w:val="20"/>
                <w:szCs w:val="20"/>
                <w:color w:val="auto"/>
              </w:rPr>
            </w:pPr>
            <w:r>
              <w:rPr>
                <w:rFonts w:ascii="Arial" w:cs="Arial" w:eastAsia="Arial" w:hAnsi="Arial"/>
                <w:sz w:val="11"/>
                <w:szCs w:val="11"/>
                <w:color w:val="auto"/>
              </w:rPr>
              <w:t xml:space="preserve">Operating return on average assets </w:t>
            </w:r>
            <w:r>
              <w:rPr>
                <w:rFonts w:ascii="Arial" w:cs="Arial" w:eastAsia="Arial" w:hAnsi="Arial"/>
                <w:sz w:val="14"/>
                <w:szCs w:val="14"/>
                <w:color w:val="auto"/>
                <w:vertAlign w:val="superscript"/>
              </w:rPr>
              <w:t>(1)</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1.08%</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1.03%</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1.22%</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1.51%</w:t>
            </w: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0.95%</w:t>
            </w:r>
          </w:p>
        </w:tc>
        <w:tc>
          <w:tcPr>
            <w:tcW w:w="20" w:type="dxa"/>
            <w:vAlign w:val="bottom"/>
            <w:shd w:val="clear" w:color="auto" w:fill="CCEEFF"/>
          </w:tcPr>
          <w:p>
            <w:pPr>
              <w:spacing w:after="0"/>
              <w:rPr>
                <w:sz w:val="14"/>
                <w:szCs w:val="14"/>
                <w:color w:val="auto"/>
              </w:rPr>
            </w:pPr>
          </w:p>
        </w:tc>
      </w:tr>
    </w:tbl>
    <w:p>
      <w:pPr>
        <w:spacing w:after="0" w:line="176" w:lineRule="exact"/>
        <w:rPr>
          <w:sz w:val="20"/>
          <w:szCs w:val="20"/>
          <w:color w:val="auto"/>
        </w:rPr>
      </w:pPr>
    </w:p>
    <w:p>
      <w:pPr>
        <w:ind w:left="660"/>
        <w:spacing w:after="0"/>
        <w:rPr>
          <w:sz w:val="20"/>
          <w:szCs w:val="20"/>
          <w:color w:val="auto"/>
        </w:rPr>
      </w:pPr>
      <w:r>
        <w:rPr>
          <w:rFonts w:ascii="Arial" w:cs="Arial" w:eastAsia="Arial" w:hAnsi="Arial"/>
          <w:sz w:val="11"/>
          <w:szCs w:val="11"/>
          <w:color w:val="auto"/>
        </w:rPr>
        <w:t>(1) Annualized.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9019"/>
          </w:cols>
          <w:pgMar w:left="1440" w:top="762" w:right="1440" w:bottom="1440" w:gutter="0" w:footer="0" w:header="0"/>
        </w:sectPr>
      </w:pPr>
    </w:p>
    <w:bookmarkStart w:id="11" w:name="page12"/>
    <w:bookmarkEnd w:id="11"/>
    <w:p>
      <w:pPr>
        <w:jc w:val="center"/>
        <w:spacing w:after="0"/>
        <w:rPr>
          <w:sz w:val="20"/>
          <w:szCs w:val="20"/>
          <w:color w:val="auto"/>
        </w:rPr>
      </w:pPr>
      <w:r>
        <w:rPr>
          <w:rFonts w:ascii="Arial" w:cs="Arial" w:eastAsia="Arial" w:hAnsi="Arial"/>
          <w:sz w:val="11"/>
          <w:szCs w:val="11"/>
          <w:b w:val="1"/>
          <w:bCs w:val="1"/>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160895" cy="72624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0895" cy="7262495"/>
                    </a:xfrm>
                    <a:prstGeom prst="rect">
                      <a:avLst/>
                    </a:prstGeom>
                    <a:noFill/>
                  </pic:spPr>
                </pic:pic>
              </a:graphicData>
            </a:graphic>
          </wp:anchor>
        </w:drawing>
        <w:t>USCB FINANCIAL HOLDINGS, INC.</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NON-GAAP FINANCIAL MEASURES (UNAUDITED)</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(Dollars in thousands, except per share data)</w:t>
      </w:r>
    </w:p>
    <w:p>
      <w:pPr>
        <w:spacing w:after="0" w:line="202" w:lineRule="exact"/>
        <w:rPr>
          <w:sz w:val="20"/>
          <w:szCs w:val="20"/>
          <w:color w:val="auto"/>
        </w:rPr>
      </w:pPr>
    </w:p>
    <w:tbl>
      <w:tblPr>
        <w:tblLayout w:type="fixed"/>
        <w:tblInd w:w="660" w:type="dxa"/>
        <w:tblCellMar>
          <w:top w:w="0" w:type="dxa"/>
          <w:left w:w="0" w:type="dxa"/>
          <w:bottom w:w="0" w:type="dxa"/>
          <w:right w:w="0" w:type="dxa"/>
        </w:tblCellMar>
      </w:tblPr>
      <w:tr>
        <w:trPr>
          <w:trHeight w:val="135"/>
        </w:trPr>
        <w:tc>
          <w:tcPr>
            <w:tcW w:w="100" w:type="dxa"/>
            <w:vAlign w:val="bottom"/>
          </w:tcPr>
          <w:p>
            <w:pPr>
              <w:spacing w:after="0"/>
              <w:rPr>
                <w:sz w:val="11"/>
                <w:szCs w:val="11"/>
                <w:color w:val="auto"/>
              </w:rPr>
            </w:pPr>
          </w:p>
        </w:tc>
        <w:tc>
          <w:tcPr>
            <w:tcW w:w="32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480" w:type="dxa"/>
            <w:vAlign w:val="bottom"/>
            <w:tcBorders>
              <w:bottom w:val="single" w:sz="8" w:color="auto"/>
            </w:tcBorders>
            <w:gridSpan w:val="10"/>
          </w:tcPr>
          <w:p>
            <w:pPr>
              <w:jc w:val="right"/>
              <w:ind w:right="380"/>
              <w:spacing w:after="0"/>
              <w:rPr>
                <w:sz w:val="20"/>
                <w:szCs w:val="20"/>
                <w:color w:val="auto"/>
              </w:rPr>
            </w:pPr>
            <w:r>
              <w:rPr>
                <w:rFonts w:ascii="Arial" w:cs="Arial" w:eastAsia="Arial" w:hAnsi="Arial"/>
                <w:sz w:val="11"/>
                <w:szCs w:val="11"/>
                <w:b w:val="1"/>
                <w:bCs w:val="1"/>
                <w:color w:val="auto"/>
              </w:rPr>
              <w:t>As of or For the Three Months Ended</w:t>
            </w: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100" w:type="dxa"/>
            <w:vAlign w:val="bottom"/>
            <w:tcBorders>
              <w:bottom w:val="single" w:sz="8" w:color="CCEEFF"/>
            </w:tcBorders>
          </w:tcPr>
          <w:p>
            <w:pPr>
              <w:spacing w:after="0"/>
              <w:rPr>
                <w:sz w:val="11"/>
                <w:szCs w:val="11"/>
                <w:color w:val="auto"/>
              </w:rPr>
            </w:pPr>
          </w:p>
        </w:tc>
        <w:tc>
          <w:tcPr>
            <w:tcW w:w="3220" w:type="dxa"/>
            <w:vAlign w:val="bottom"/>
            <w:tcBorders>
              <w:bottom w:val="single" w:sz="8" w:color="CCEEFF"/>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ind w:right="123"/>
              <w:spacing w:after="0"/>
              <w:rPr>
                <w:sz w:val="20"/>
                <w:szCs w:val="20"/>
                <w:color w:val="auto"/>
              </w:rPr>
            </w:pPr>
            <w:r>
              <w:rPr>
                <w:rFonts w:ascii="Arial" w:cs="Arial" w:eastAsia="Arial" w:hAnsi="Arial"/>
                <w:sz w:val="11"/>
                <w:szCs w:val="11"/>
                <w:b w:val="1"/>
                <w:bCs w:val="1"/>
                <w:color w:val="auto"/>
              </w:rPr>
              <w:t>6/30/2022</w:t>
            </w:r>
          </w:p>
        </w:tc>
        <w:tc>
          <w:tcPr>
            <w:tcW w:w="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ind w:right="143"/>
              <w:spacing w:after="0"/>
              <w:rPr>
                <w:sz w:val="20"/>
                <w:szCs w:val="20"/>
                <w:color w:val="auto"/>
              </w:rPr>
            </w:pPr>
            <w:r>
              <w:rPr>
                <w:rFonts w:ascii="Arial" w:cs="Arial" w:eastAsia="Arial" w:hAnsi="Arial"/>
                <w:sz w:val="11"/>
                <w:szCs w:val="11"/>
                <w:b w:val="1"/>
                <w:bCs w:val="1"/>
                <w:color w:val="auto"/>
              </w:rPr>
              <w:t>3/31/2022</w:t>
            </w:r>
          </w:p>
        </w:tc>
        <w:tc>
          <w:tcPr>
            <w:tcW w:w="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b w:val="1"/>
                <w:bCs w:val="1"/>
                <w:color w:val="auto"/>
                <w:w w:val="98"/>
              </w:rPr>
              <w:t>12/31/2021</w:t>
            </w:r>
          </w:p>
        </w:tc>
        <w:tc>
          <w:tcPr>
            <w:tcW w:w="20" w:type="dxa"/>
            <w:vAlign w:val="bottom"/>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ind w:right="123"/>
              <w:spacing w:after="0"/>
              <w:rPr>
                <w:sz w:val="20"/>
                <w:szCs w:val="20"/>
                <w:color w:val="auto"/>
              </w:rPr>
            </w:pPr>
            <w:r>
              <w:rPr>
                <w:rFonts w:ascii="Arial" w:cs="Arial" w:eastAsia="Arial" w:hAnsi="Arial"/>
                <w:sz w:val="11"/>
                <w:szCs w:val="11"/>
                <w:b w:val="1"/>
                <w:bCs w:val="1"/>
                <w:color w:val="auto"/>
              </w:rPr>
              <w:t>9/30/2021</w:t>
            </w:r>
          </w:p>
        </w:tc>
        <w:tc>
          <w:tcPr>
            <w:tcW w:w="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ind w:right="123"/>
              <w:spacing w:after="0"/>
              <w:rPr>
                <w:sz w:val="20"/>
                <w:szCs w:val="20"/>
                <w:color w:val="auto"/>
              </w:rPr>
            </w:pPr>
            <w:r>
              <w:rPr>
                <w:rFonts w:ascii="Arial" w:cs="Arial" w:eastAsia="Arial" w:hAnsi="Arial"/>
                <w:sz w:val="11"/>
                <w:szCs w:val="11"/>
                <w:b w:val="1"/>
                <w:bCs w:val="1"/>
                <w:color w:val="auto"/>
              </w:rPr>
              <w:t>6/30/2021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32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b w:val="1"/>
                <w:bCs w:val="1"/>
                <w:color w:val="auto"/>
              </w:rPr>
              <w:t>Tangible book value per common share (at period-end):</w:t>
            </w:r>
            <w:r>
              <w:rPr>
                <w:rFonts w:ascii="Arial" w:cs="Arial" w:eastAsia="Arial" w:hAnsi="Arial"/>
                <w:sz w:val="14"/>
                <w:szCs w:val="14"/>
                <w:color w:val="auto"/>
                <w:vertAlign w:val="superscript"/>
              </w:rPr>
              <w:t>(1)</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100" w:type="dxa"/>
            <w:vAlign w:val="bottom"/>
          </w:tcPr>
          <w:p>
            <w:pPr>
              <w:spacing w:after="0"/>
              <w:rPr>
                <w:sz w:val="13"/>
                <w:szCs w:val="13"/>
                <w:color w:val="auto"/>
              </w:rPr>
            </w:pPr>
          </w:p>
        </w:tc>
        <w:tc>
          <w:tcPr>
            <w:tcW w:w="3220" w:type="dxa"/>
            <w:vAlign w:val="bottom"/>
          </w:tcPr>
          <w:p>
            <w:pPr>
              <w:ind w:left="100"/>
              <w:spacing w:after="0"/>
              <w:rPr>
                <w:sz w:val="20"/>
                <w:szCs w:val="20"/>
                <w:color w:val="auto"/>
              </w:rPr>
            </w:pPr>
            <w:r>
              <w:rPr>
                <w:rFonts w:ascii="Arial" w:cs="Arial" w:eastAsia="Arial" w:hAnsi="Arial"/>
                <w:sz w:val="11"/>
                <w:szCs w:val="11"/>
                <w:color w:val="auto"/>
              </w:rPr>
              <w:t>Total stockholders' equity (GAAP)</w:t>
            </w:r>
          </w:p>
        </w:tc>
        <w:tc>
          <w:tcPr>
            <w:tcW w:w="14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180,068</w:t>
            </w:r>
          </w:p>
        </w:tc>
        <w:tc>
          <w:tcPr>
            <w:tcW w:w="160" w:type="dxa"/>
            <w:vAlign w:val="bottom"/>
            <w:gridSpan w:val="3"/>
          </w:tcPr>
          <w:p>
            <w:pPr>
              <w:jc w:val="right"/>
              <w:spacing w:after="0"/>
              <w:rPr>
                <w:sz w:val="20"/>
                <w:szCs w:val="20"/>
                <w:color w:val="auto"/>
              </w:rPr>
            </w:pPr>
            <w:r>
              <w:rPr>
                <w:rFonts w:ascii="Arial" w:cs="Arial" w:eastAsia="Arial" w:hAnsi="Arial"/>
                <w:sz w:val="11"/>
                <w:szCs w:val="11"/>
                <w:color w:val="auto"/>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192,039</w:t>
            </w:r>
          </w:p>
        </w:tc>
        <w:tc>
          <w:tcPr>
            <w:tcW w:w="16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700" w:type="dxa"/>
            <w:vAlign w:val="bottom"/>
          </w:tcPr>
          <w:p>
            <w:pPr>
              <w:jc w:val="right"/>
              <w:spacing w:after="0"/>
              <w:rPr>
                <w:sz w:val="20"/>
                <w:szCs w:val="20"/>
                <w:color w:val="auto"/>
              </w:rPr>
            </w:pPr>
            <w:r>
              <w:rPr>
                <w:rFonts w:ascii="Arial" w:cs="Arial" w:eastAsia="Arial" w:hAnsi="Arial"/>
                <w:sz w:val="11"/>
                <w:szCs w:val="11"/>
                <w:color w:val="auto"/>
              </w:rPr>
              <w:t>203,897</w:t>
            </w:r>
          </w:p>
        </w:tc>
        <w:tc>
          <w:tcPr>
            <w:tcW w:w="160" w:type="dxa"/>
            <w:vAlign w:val="bottom"/>
            <w:gridSpan w:val="4"/>
          </w:tcPr>
          <w:p>
            <w:pPr>
              <w:jc w:val="right"/>
              <w:spacing w:after="0"/>
              <w:rPr>
                <w:sz w:val="20"/>
                <w:szCs w:val="20"/>
                <w:color w:val="auto"/>
              </w:rPr>
            </w:pPr>
            <w:r>
              <w:rPr>
                <w:rFonts w:ascii="Arial" w:cs="Arial" w:eastAsia="Arial" w:hAnsi="Arial"/>
                <w:sz w:val="11"/>
                <w:szCs w:val="11"/>
                <w:color w:val="auto"/>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201,918</w:t>
            </w:r>
          </w:p>
        </w:tc>
        <w:tc>
          <w:tcPr>
            <w:tcW w:w="20" w:type="dxa"/>
            <w:vAlign w:val="bottom"/>
          </w:tcPr>
          <w:p>
            <w:pPr>
              <w:spacing w:after="0"/>
              <w:rPr>
                <w:sz w:val="13"/>
                <w:szCs w:val="13"/>
                <w:color w:val="auto"/>
              </w:rPr>
            </w:pPr>
          </w:p>
        </w:tc>
        <w:tc>
          <w:tcPr>
            <w:tcW w:w="14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166,302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00" w:type="dxa"/>
            <w:vAlign w:val="bottom"/>
            <w:shd w:val="clear" w:color="auto" w:fill="CCEEFF"/>
          </w:tcPr>
          <w:p>
            <w:pPr>
              <w:spacing w:after="0"/>
              <w:rPr>
                <w:sz w:val="13"/>
                <w:szCs w:val="13"/>
                <w:color w:val="auto"/>
              </w:rPr>
            </w:pPr>
          </w:p>
        </w:tc>
        <w:tc>
          <w:tcPr>
            <w:tcW w:w="3220" w:type="dxa"/>
            <w:vAlign w:val="bottom"/>
            <w:shd w:val="clear" w:color="auto" w:fill="CCEEFF"/>
          </w:tcPr>
          <w:p>
            <w:pPr>
              <w:ind w:left="100"/>
              <w:spacing w:after="0"/>
              <w:rPr>
                <w:sz w:val="20"/>
                <w:szCs w:val="20"/>
                <w:color w:val="auto"/>
              </w:rPr>
            </w:pPr>
            <w:r>
              <w:rPr>
                <w:rFonts w:ascii="Arial" w:cs="Arial" w:eastAsia="Arial" w:hAnsi="Arial"/>
                <w:sz w:val="11"/>
                <w:szCs w:val="11"/>
                <w:color w:val="auto"/>
              </w:rPr>
              <w:t>Less: Intangible assets</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00" w:type="dxa"/>
            <w:vAlign w:val="bottom"/>
            <w:tcBorders>
              <w:bottom w:val="single" w:sz="8" w:color="CCEEFF"/>
            </w:tcBorders>
          </w:tcPr>
          <w:p>
            <w:pPr>
              <w:spacing w:after="0"/>
              <w:rPr>
                <w:sz w:val="12"/>
                <w:szCs w:val="12"/>
                <w:color w:val="auto"/>
              </w:rPr>
            </w:pPr>
          </w:p>
        </w:tc>
        <w:tc>
          <w:tcPr>
            <w:tcW w:w="3220" w:type="dxa"/>
            <w:vAlign w:val="bottom"/>
            <w:tcBorders>
              <w:bottom w:val="single" w:sz="8" w:color="CCEEFF"/>
            </w:tcBorders>
          </w:tcPr>
          <w:p>
            <w:pPr>
              <w:ind w:left="100"/>
              <w:spacing w:after="0"/>
              <w:rPr>
                <w:sz w:val="20"/>
                <w:szCs w:val="20"/>
                <w:color w:val="auto"/>
              </w:rPr>
            </w:pPr>
            <w:r>
              <w:rPr>
                <w:rFonts w:ascii="Arial" w:cs="Arial" w:eastAsia="Arial" w:hAnsi="Arial"/>
                <w:sz w:val="11"/>
                <w:szCs w:val="11"/>
                <w:color w:val="auto"/>
              </w:rPr>
              <w:t>Less: Preferred stock</w:t>
            </w: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24,616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100" w:type="dxa"/>
            <w:vAlign w:val="bottom"/>
            <w:shd w:val="clear" w:color="auto" w:fill="CCEEFF"/>
          </w:tcPr>
          <w:p>
            <w:pPr>
              <w:spacing w:after="0"/>
              <w:rPr>
                <w:sz w:val="13"/>
                <w:szCs w:val="13"/>
                <w:color w:val="auto"/>
              </w:rPr>
            </w:pPr>
          </w:p>
        </w:tc>
        <w:tc>
          <w:tcPr>
            <w:tcW w:w="3220" w:type="dxa"/>
            <w:vAlign w:val="bottom"/>
            <w:shd w:val="clear" w:color="auto" w:fill="CCEEFF"/>
          </w:tcPr>
          <w:p>
            <w:pPr>
              <w:ind w:left="200"/>
              <w:spacing w:after="0"/>
              <w:rPr>
                <w:sz w:val="20"/>
                <w:szCs w:val="20"/>
                <w:color w:val="auto"/>
              </w:rPr>
            </w:pPr>
            <w:r>
              <w:rPr>
                <w:rFonts w:ascii="Arial" w:cs="Arial" w:eastAsia="Arial" w:hAnsi="Arial"/>
                <w:sz w:val="11"/>
                <w:szCs w:val="11"/>
                <w:color w:val="auto"/>
              </w:rPr>
              <w:t>Tangible stockholders' equity (non-GAAP)</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180,068</w:t>
            </w:r>
          </w:p>
        </w:tc>
        <w:tc>
          <w:tcPr>
            <w:tcW w:w="20" w:type="dxa"/>
            <w:vAlign w:val="bottom"/>
            <w:shd w:val="clear" w:color="auto" w:fill="CCEEFF"/>
          </w:tcPr>
          <w:p>
            <w:pPr>
              <w:spacing w:after="0"/>
              <w:rPr>
                <w:sz w:val="13"/>
                <w:szCs w:val="13"/>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192,039</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203,897</w:t>
            </w:r>
          </w:p>
        </w:tc>
        <w:tc>
          <w:tcPr>
            <w:tcW w:w="20" w:type="dxa"/>
            <w:vAlign w:val="bottom"/>
            <w:shd w:val="clear" w:color="auto" w:fill="CCEEFF"/>
          </w:tcPr>
          <w:p>
            <w:pPr>
              <w:spacing w:after="0"/>
              <w:rPr>
                <w:sz w:val="13"/>
                <w:szCs w:val="13"/>
                <w:color w:val="auto"/>
              </w:rPr>
            </w:pPr>
          </w:p>
        </w:tc>
        <w:tc>
          <w:tcPr>
            <w:tcW w:w="140" w:type="dxa"/>
            <w:vAlign w:val="bottom"/>
            <w:gridSpan w:val="3"/>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201,918</w:t>
            </w:r>
          </w:p>
        </w:tc>
        <w:tc>
          <w:tcPr>
            <w:tcW w:w="20" w:type="dxa"/>
            <w:vAlign w:val="bottom"/>
            <w:shd w:val="clear" w:color="auto" w:fill="CCEEFF"/>
          </w:tcPr>
          <w:p>
            <w:pPr>
              <w:spacing w:after="0"/>
              <w:rPr>
                <w:sz w:val="13"/>
                <w:szCs w:val="13"/>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141,686</w:t>
            </w: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3320" w:type="dxa"/>
            <w:vAlign w:val="bottom"/>
            <w:gridSpan w:val="2"/>
          </w:tcPr>
          <w:p>
            <w:pPr>
              <w:ind w:left="100"/>
              <w:spacing w:after="0"/>
              <w:rPr>
                <w:sz w:val="20"/>
                <w:szCs w:val="20"/>
                <w:color w:val="auto"/>
              </w:rPr>
            </w:pPr>
            <w:r>
              <w:rPr>
                <w:rFonts w:ascii="Arial" w:cs="Arial" w:eastAsia="Arial" w:hAnsi="Arial"/>
                <w:sz w:val="11"/>
                <w:szCs w:val="11"/>
                <w:b w:val="1"/>
                <w:bCs w:val="1"/>
                <w:color w:val="auto"/>
              </w:rPr>
              <w:t>Total shares issued and outstanding (at period-end):</w:t>
            </w:r>
            <w:r>
              <w:rPr>
                <w:rFonts w:ascii="Arial" w:cs="Arial" w:eastAsia="Arial" w:hAnsi="Arial"/>
                <w:sz w:val="14"/>
                <w:szCs w:val="14"/>
                <w:color w:val="auto"/>
                <w:vertAlign w:val="superscript"/>
              </w:rPr>
              <w:t>(2)</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00" w:type="dxa"/>
            <w:vAlign w:val="bottom"/>
            <w:shd w:val="clear" w:color="auto" w:fill="CCEEFF"/>
          </w:tcPr>
          <w:p>
            <w:pPr>
              <w:spacing w:after="0"/>
              <w:rPr>
                <w:sz w:val="12"/>
                <w:szCs w:val="12"/>
                <w:color w:val="auto"/>
              </w:rPr>
            </w:pPr>
          </w:p>
        </w:tc>
        <w:tc>
          <w:tcPr>
            <w:tcW w:w="3220" w:type="dxa"/>
            <w:vAlign w:val="bottom"/>
            <w:shd w:val="clear" w:color="auto" w:fill="CCEEFF"/>
          </w:tcPr>
          <w:p>
            <w:pPr>
              <w:ind w:left="100"/>
              <w:spacing w:after="0"/>
              <w:rPr>
                <w:sz w:val="20"/>
                <w:szCs w:val="20"/>
                <w:color w:val="auto"/>
              </w:rPr>
            </w:pPr>
            <w:r>
              <w:rPr>
                <w:rFonts w:ascii="Arial" w:cs="Arial" w:eastAsia="Arial" w:hAnsi="Arial"/>
                <w:sz w:val="11"/>
                <w:szCs w:val="11"/>
                <w:color w:val="auto"/>
              </w:rPr>
              <w:t>Class A common shares</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20,000,753</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20,000,753</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19,991,753</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18,767,541</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3,889,469</w:t>
            </w: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100" w:type="dxa"/>
            <w:vAlign w:val="bottom"/>
            <w:tcBorders>
              <w:bottom w:val="single" w:sz="8" w:color="CCEEFF"/>
            </w:tcBorders>
          </w:tcPr>
          <w:p>
            <w:pPr>
              <w:spacing w:after="0"/>
              <w:rPr>
                <w:sz w:val="13"/>
                <w:szCs w:val="13"/>
                <w:color w:val="auto"/>
              </w:rPr>
            </w:pPr>
          </w:p>
        </w:tc>
        <w:tc>
          <w:tcPr>
            <w:tcW w:w="3220" w:type="dxa"/>
            <w:vAlign w:val="bottom"/>
            <w:tcBorders>
              <w:bottom w:val="single" w:sz="8" w:color="CCEEFF"/>
            </w:tcBorders>
          </w:tcPr>
          <w:p>
            <w:pPr>
              <w:ind w:left="100"/>
              <w:spacing w:after="0"/>
              <w:rPr>
                <w:sz w:val="20"/>
                <w:szCs w:val="20"/>
                <w:color w:val="auto"/>
              </w:rPr>
            </w:pPr>
            <w:r>
              <w:rPr>
                <w:rFonts w:ascii="Arial" w:cs="Arial" w:eastAsia="Arial" w:hAnsi="Arial"/>
                <w:sz w:val="11"/>
                <w:szCs w:val="11"/>
                <w:color w:val="auto"/>
              </w:rPr>
              <w:t>Class B common shares</w:t>
            </w: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1,224,212</w:t>
            </w:r>
          </w:p>
        </w:tc>
        <w:tc>
          <w:tcPr>
            <w:tcW w:w="2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1,224,212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100" w:type="dxa"/>
            <w:vAlign w:val="bottom"/>
            <w:tcBorders>
              <w:bottom w:val="single" w:sz="8" w:color="CCEEFF"/>
            </w:tcBorders>
            <w:shd w:val="clear" w:color="auto" w:fill="CCEEFF"/>
          </w:tcPr>
          <w:p>
            <w:pPr>
              <w:spacing w:after="0"/>
              <w:rPr>
                <w:sz w:val="12"/>
                <w:szCs w:val="12"/>
                <w:color w:val="auto"/>
              </w:rPr>
            </w:pPr>
          </w:p>
        </w:tc>
        <w:tc>
          <w:tcPr>
            <w:tcW w:w="32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1"/>
                <w:szCs w:val="11"/>
                <w:color w:val="auto"/>
              </w:rPr>
              <w:t>Total common shares issued and outstanding</w:t>
            </w:r>
          </w:p>
        </w:tc>
        <w:tc>
          <w:tcPr>
            <w:tcW w:w="20" w:type="dxa"/>
            <w:vAlign w:val="bottom"/>
            <w:tcBorders>
              <w:bottom w:val="single" w:sz="8" w:color="auto"/>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20,000,753</w:t>
            </w:r>
          </w:p>
        </w:tc>
        <w:tc>
          <w:tcPr>
            <w:tcW w:w="2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20,000,753</w:t>
            </w:r>
          </w:p>
        </w:tc>
        <w:tc>
          <w:tcPr>
            <w:tcW w:w="20" w:type="dxa"/>
            <w:vAlign w:val="bottom"/>
            <w:tcBorders>
              <w:bottom w:val="single" w:sz="8" w:color="auto"/>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19,991,753</w:t>
            </w:r>
          </w:p>
        </w:tc>
        <w:tc>
          <w:tcPr>
            <w:tcW w:w="2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19,991,753</w:t>
            </w:r>
          </w:p>
        </w:tc>
        <w:tc>
          <w:tcPr>
            <w:tcW w:w="2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5,113,681</w:t>
            </w:r>
          </w:p>
        </w:tc>
        <w:tc>
          <w:tcPr>
            <w:tcW w:w="2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100" w:type="dxa"/>
            <w:vAlign w:val="bottom"/>
          </w:tcPr>
          <w:p>
            <w:pPr>
              <w:spacing w:after="0"/>
              <w:rPr>
                <w:sz w:val="16"/>
                <w:szCs w:val="16"/>
                <w:color w:val="auto"/>
              </w:rPr>
            </w:pPr>
          </w:p>
        </w:tc>
        <w:tc>
          <w:tcPr>
            <w:tcW w:w="3220" w:type="dxa"/>
            <w:vAlign w:val="bottom"/>
          </w:tcPr>
          <w:p>
            <w:pPr>
              <w:ind w:left="100"/>
              <w:spacing w:after="0" w:line="151" w:lineRule="exact"/>
              <w:rPr>
                <w:sz w:val="20"/>
                <w:szCs w:val="20"/>
                <w:color w:val="auto"/>
              </w:rPr>
            </w:pPr>
            <w:r>
              <w:rPr>
                <w:rFonts w:ascii="Arial" w:cs="Arial" w:eastAsia="Arial" w:hAnsi="Arial"/>
                <w:sz w:val="11"/>
                <w:szCs w:val="11"/>
                <w:color w:val="auto"/>
              </w:rPr>
              <w:t>Tangible book value per common share (non-GAAP)</w:t>
            </w:r>
            <w:r>
              <w:rPr>
                <w:rFonts w:ascii="Arial" w:cs="Arial" w:eastAsia="Arial" w:hAnsi="Arial"/>
                <w:sz w:val="14"/>
                <w:szCs w:val="14"/>
                <w:color w:val="auto"/>
                <w:vertAlign w:val="superscript"/>
              </w:rPr>
              <w:t>(3)</w:t>
            </w:r>
          </w:p>
        </w:tc>
        <w:tc>
          <w:tcPr>
            <w:tcW w:w="14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9.00</w:t>
            </w:r>
          </w:p>
        </w:tc>
        <w:tc>
          <w:tcPr>
            <w:tcW w:w="160" w:type="dxa"/>
            <w:vAlign w:val="bottom"/>
            <w:gridSpan w:val="3"/>
          </w:tcPr>
          <w:p>
            <w:pPr>
              <w:jc w:val="right"/>
              <w:spacing w:after="0"/>
              <w:rPr>
                <w:sz w:val="20"/>
                <w:szCs w:val="20"/>
                <w:color w:val="auto"/>
              </w:rPr>
            </w:pPr>
            <w:r>
              <w:rPr>
                <w:rFonts w:ascii="Arial" w:cs="Arial" w:eastAsia="Arial" w:hAnsi="Arial"/>
                <w:sz w:val="11"/>
                <w:szCs w:val="11"/>
                <w:color w:val="auto"/>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9.60</w:t>
            </w:r>
          </w:p>
        </w:tc>
        <w:tc>
          <w:tcPr>
            <w:tcW w:w="16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700" w:type="dxa"/>
            <w:vAlign w:val="bottom"/>
          </w:tcPr>
          <w:p>
            <w:pPr>
              <w:jc w:val="right"/>
              <w:spacing w:after="0"/>
              <w:rPr>
                <w:sz w:val="20"/>
                <w:szCs w:val="20"/>
                <w:color w:val="auto"/>
              </w:rPr>
            </w:pPr>
            <w:r>
              <w:rPr>
                <w:rFonts w:ascii="Arial" w:cs="Arial" w:eastAsia="Arial" w:hAnsi="Arial"/>
                <w:sz w:val="11"/>
                <w:szCs w:val="11"/>
                <w:color w:val="auto"/>
              </w:rPr>
              <w:t>10.20</w:t>
            </w:r>
          </w:p>
        </w:tc>
        <w:tc>
          <w:tcPr>
            <w:tcW w:w="160" w:type="dxa"/>
            <w:vAlign w:val="bottom"/>
            <w:gridSpan w:val="4"/>
          </w:tcPr>
          <w:p>
            <w:pPr>
              <w:jc w:val="right"/>
              <w:spacing w:after="0"/>
              <w:rPr>
                <w:sz w:val="20"/>
                <w:szCs w:val="20"/>
                <w:color w:val="auto"/>
              </w:rPr>
            </w:pPr>
            <w:r>
              <w:rPr>
                <w:rFonts w:ascii="Arial" w:cs="Arial" w:eastAsia="Arial" w:hAnsi="Arial"/>
                <w:sz w:val="11"/>
                <w:szCs w:val="11"/>
                <w:color w:val="auto"/>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10.10</w:t>
            </w:r>
          </w:p>
        </w:tc>
        <w:tc>
          <w:tcPr>
            <w:tcW w:w="20" w:type="dxa"/>
            <w:vAlign w:val="bottom"/>
          </w:tcPr>
          <w:p>
            <w:pPr>
              <w:spacing w:after="0"/>
              <w:rPr>
                <w:sz w:val="16"/>
                <w:szCs w:val="16"/>
                <w:color w:val="auto"/>
              </w:rPr>
            </w:pPr>
          </w:p>
        </w:tc>
        <w:tc>
          <w:tcPr>
            <w:tcW w:w="14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27.71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0"/>
        </w:trPr>
        <w:tc>
          <w:tcPr>
            <w:tcW w:w="100" w:type="dxa"/>
            <w:vAlign w:val="bottom"/>
            <w:tcBorders>
              <w:top w:val="single" w:sz="8" w:color="CCEEFF"/>
            </w:tcBorders>
            <w:shd w:val="clear" w:color="auto" w:fill="CCEEFF"/>
          </w:tcPr>
          <w:p>
            <w:pPr>
              <w:spacing w:after="0"/>
              <w:rPr>
                <w:sz w:val="8"/>
                <w:szCs w:val="8"/>
                <w:color w:val="auto"/>
              </w:rPr>
            </w:pPr>
          </w:p>
        </w:tc>
        <w:tc>
          <w:tcPr>
            <w:tcW w:w="322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auto"/>
            </w:tcBorders>
            <w:shd w:val="clear" w:color="auto" w:fill="CCEEFF"/>
          </w:tcPr>
          <w:p>
            <w:pPr>
              <w:spacing w:after="0"/>
              <w:rPr>
                <w:sz w:val="8"/>
                <w:szCs w:val="8"/>
                <w:color w:val="auto"/>
              </w:rPr>
            </w:pPr>
          </w:p>
        </w:tc>
        <w:tc>
          <w:tcPr>
            <w:tcW w:w="720" w:type="dxa"/>
            <w:vAlign w:val="bottom"/>
            <w:tcBorders>
              <w:top w:val="single" w:sz="8" w:color="auto"/>
            </w:tcBorders>
            <w:shd w:val="clear" w:color="auto" w:fill="CCEEFF"/>
          </w:tcPr>
          <w:p>
            <w:pPr>
              <w:spacing w:after="0"/>
              <w:rPr>
                <w:sz w:val="8"/>
                <w:szCs w:val="8"/>
                <w:color w:val="auto"/>
              </w:rPr>
            </w:pPr>
          </w:p>
        </w:tc>
        <w:tc>
          <w:tcPr>
            <w:tcW w:w="20" w:type="dxa"/>
            <w:vAlign w:val="bottom"/>
            <w:tcBorders>
              <w:top w:val="single" w:sz="8" w:color="auto"/>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auto"/>
            </w:tcBorders>
            <w:shd w:val="clear" w:color="auto" w:fill="CCEEFF"/>
          </w:tcPr>
          <w:p>
            <w:pPr>
              <w:spacing w:after="0"/>
              <w:rPr>
                <w:sz w:val="8"/>
                <w:szCs w:val="8"/>
                <w:color w:val="auto"/>
              </w:rPr>
            </w:pPr>
          </w:p>
        </w:tc>
        <w:tc>
          <w:tcPr>
            <w:tcW w:w="720" w:type="dxa"/>
            <w:vAlign w:val="bottom"/>
            <w:tcBorders>
              <w:top w:val="single" w:sz="8" w:color="auto"/>
            </w:tcBorders>
            <w:shd w:val="clear" w:color="auto" w:fill="CCEEFF"/>
          </w:tcPr>
          <w:p>
            <w:pPr>
              <w:spacing w:after="0"/>
              <w:rPr>
                <w:sz w:val="8"/>
                <w:szCs w:val="8"/>
                <w:color w:val="auto"/>
              </w:rPr>
            </w:pPr>
          </w:p>
        </w:tc>
        <w:tc>
          <w:tcPr>
            <w:tcW w:w="2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auto"/>
            </w:tcBorders>
            <w:shd w:val="clear" w:color="auto" w:fill="CCEEFF"/>
          </w:tcPr>
          <w:p>
            <w:pPr>
              <w:spacing w:after="0"/>
              <w:rPr>
                <w:sz w:val="8"/>
                <w:szCs w:val="8"/>
                <w:color w:val="auto"/>
              </w:rPr>
            </w:pPr>
          </w:p>
        </w:tc>
        <w:tc>
          <w:tcPr>
            <w:tcW w:w="700" w:type="dxa"/>
            <w:vAlign w:val="bottom"/>
            <w:tcBorders>
              <w:top w:val="single" w:sz="8" w:color="auto"/>
            </w:tcBorders>
            <w:shd w:val="clear" w:color="auto" w:fill="CCEEFF"/>
          </w:tcPr>
          <w:p>
            <w:pPr>
              <w:spacing w:after="0"/>
              <w:rPr>
                <w:sz w:val="8"/>
                <w:szCs w:val="8"/>
                <w:color w:val="auto"/>
              </w:rPr>
            </w:pPr>
          </w:p>
        </w:tc>
        <w:tc>
          <w:tcPr>
            <w:tcW w:w="20" w:type="dxa"/>
            <w:vAlign w:val="bottom"/>
            <w:tcBorders>
              <w:top w:val="single" w:sz="8" w:color="auto"/>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spacing w:after="0"/>
              <w:rPr>
                <w:sz w:val="8"/>
                <w:szCs w:val="8"/>
                <w:color w:val="auto"/>
              </w:rPr>
            </w:pPr>
          </w:p>
        </w:tc>
        <w:tc>
          <w:tcPr>
            <w:tcW w:w="720" w:type="dxa"/>
            <w:vAlign w:val="bottom"/>
            <w:tcBorders>
              <w:top w:val="single" w:sz="8" w:color="auto"/>
            </w:tcBorders>
            <w:shd w:val="clear" w:color="auto" w:fill="CCEEFF"/>
          </w:tcPr>
          <w:p>
            <w:pPr>
              <w:spacing w:after="0"/>
              <w:rPr>
                <w:sz w:val="8"/>
                <w:szCs w:val="8"/>
                <w:color w:val="auto"/>
              </w:rPr>
            </w:pPr>
          </w:p>
        </w:tc>
        <w:tc>
          <w:tcPr>
            <w:tcW w:w="20" w:type="dxa"/>
            <w:vAlign w:val="bottom"/>
            <w:tcBorders>
              <w:top w:val="single" w:sz="8" w:color="auto"/>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auto"/>
            </w:tcBorders>
            <w:shd w:val="clear" w:color="auto" w:fill="CCEEFF"/>
          </w:tcPr>
          <w:p>
            <w:pPr>
              <w:spacing w:after="0"/>
              <w:rPr>
                <w:sz w:val="8"/>
                <w:szCs w:val="8"/>
                <w:color w:val="auto"/>
              </w:rPr>
            </w:pPr>
          </w:p>
        </w:tc>
        <w:tc>
          <w:tcPr>
            <w:tcW w:w="720" w:type="dxa"/>
            <w:vAlign w:val="bottom"/>
            <w:tcBorders>
              <w:top w:val="single" w:sz="8" w:color="auto"/>
            </w:tcBorders>
            <w:shd w:val="clear" w:color="auto" w:fill="CCEEFF"/>
          </w:tcPr>
          <w:p>
            <w:pPr>
              <w:spacing w:after="0"/>
              <w:rPr>
                <w:sz w:val="8"/>
                <w:szCs w:val="8"/>
                <w:color w:val="auto"/>
              </w:rPr>
            </w:pPr>
          </w:p>
        </w:tc>
        <w:tc>
          <w:tcPr>
            <w:tcW w:w="20" w:type="dxa"/>
            <w:vAlign w:val="bottom"/>
            <w:tcBorders>
              <w:top w:val="single" w:sz="8" w:color="auto"/>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60"/>
        </w:trPr>
        <w:tc>
          <w:tcPr>
            <w:tcW w:w="3320" w:type="dxa"/>
            <w:vAlign w:val="bottom"/>
            <w:gridSpan w:val="2"/>
          </w:tcPr>
          <w:p>
            <w:pPr>
              <w:spacing w:after="0"/>
              <w:rPr>
                <w:sz w:val="20"/>
                <w:szCs w:val="20"/>
                <w:color w:val="auto"/>
              </w:rPr>
            </w:pPr>
            <w:r>
              <w:rPr>
                <w:rFonts w:ascii="Arial" w:cs="Arial" w:eastAsia="Arial" w:hAnsi="Arial"/>
                <w:sz w:val="11"/>
                <w:szCs w:val="11"/>
                <w:b w:val="1"/>
                <w:bCs w:val="1"/>
                <w:color w:val="auto"/>
              </w:rPr>
              <w:t>Operating net income available to common stockholders:</w:t>
            </w:r>
            <w:r>
              <w:rPr>
                <w:rFonts w:ascii="Arial" w:cs="Arial" w:eastAsia="Arial" w:hAnsi="Arial"/>
                <w:sz w:val="14"/>
                <w:szCs w:val="14"/>
                <w:color w:val="auto"/>
                <w:vertAlign w:val="superscript"/>
              </w:rPr>
              <w:t>(1)</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00" w:type="dxa"/>
            <w:vAlign w:val="bottom"/>
            <w:shd w:val="clear" w:color="auto" w:fill="CCEEFF"/>
          </w:tcPr>
          <w:p>
            <w:pPr>
              <w:spacing w:after="0"/>
              <w:rPr>
                <w:sz w:val="13"/>
                <w:szCs w:val="13"/>
                <w:color w:val="auto"/>
              </w:rPr>
            </w:pPr>
          </w:p>
        </w:tc>
        <w:tc>
          <w:tcPr>
            <w:tcW w:w="3220" w:type="dxa"/>
            <w:vAlign w:val="bottom"/>
            <w:shd w:val="clear" w:color="auto" w:fill="CCEEFF"/>
          </w:tcPr>
          <w:p>
            <w:pPr>
              <w:ind w:left="100"/>
              <w:spacing w:after="0"/>
              <w:rPr>
                <w:sz w:val="20"/>
                <w:szCs w:val="20"/>
                <w:color w:val="auto"/>
              </w:rPr>
            </w:pPr>
            <w:r>
              <w:rPr>
                <w:rFonts w:ascii="Arial" w:cs="Arial" w:eastAsia="Arial" w:hAnsi="Arial"/>
                <w:sz w:val="11"/>
                <w:szCs w:val="11"/>
                <w:color w:val="auto"/>
              </w:rPr>
              <w:t>Net income (GAAP)</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5,295</w:t>
            </w:r>
          </w:p>
        </w:tc>
        <w:tc>
          <w:tcPr>
            <w:tcW w:w="20" w:type="dxa"/>
            <w:vAlign w:val="bottom"/>
            <w:shd w:val="clear" w:color="auto" w:fill="CCEEFF"/>
          </w:tcPr>
          <w:p>
            <w:pPr>
              <w:spacing w:after="0"/>
              <w:rPr>
                <w:sz w:val="13"/>
                <w:szCs w:val="13"/>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4,854</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5,650</w:t>
            </w:r>
          </w:p>
        </w:tc>
        <w:tc>
          <w:tcPr>
            <w:tcW w:w="20" w:type="dxa"/>
            <w:vAlign w:val="bottom"/>
            <w:shd w:val="clear" w:color="auto" w:fill="CCEEFF"/>
          </w:tcPr>
          <w:p>
            <w:pPr>
              <w:spacing w:after="0"/>
              <w:rPr>
                <w:sz w:val="13"/>
                <w:szCs w:val="13"/>
                <w:color w:val="auto"/>
              </w:rPr>
            </w:pPr>
          </w:p>
        </w:tc>
        <w:tc>
          <w:tcPr>
            <w:tcW w:w="140" w:type="dxa"/>
            <w:vAlign w:val="bottom"/>
            <w:gridSpan w:val="3"/>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6,593</w:t>
            </w:r>
          </w:p>
        </w:tc>
        <w:tc>
          <w:tcPr>
            <w:tcW w:w="20" w:type="dxa"/>
            <w:vAlign w:val="bottom"/>
            <w:shd w:val="clear" w:color="auto" w:fill="CCEEFF"/>
          </w:tcPr>
          <w:p>
            <w:pPr>
              <w:spacing w:after="0"/>
              <w:rPr>
                <w:sz w:val="13"/>
                <w:szCs w:val="13"/>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4,053</w:t>
            </w: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00" w:type="dxa"/>
            <w:vAlign w:val="bottom"/>
          </w:tcPr>
          <w:p>
            <w:pPr>
              <w:spacing w:after="0"/>
              <w:rPr>
                <w:sz w:val="13"/>
                <w:szCs w:val="13"/>
                <w:color w:val="auto"/>
              </w:rPr>
            </w:pPr>
          </w:p>
        </w:tc>
        <w:tc>
          <w:tcPr>
            <w:tcW w:w="3220" w:type="dxa"/>
            <w:vAlign w:val="bottom"/>
          </w:tcPr>
          <w:p>
            <w:pPr>
              <w:ind w:left="100"/>
              <w:spacing w:after="0"/>
              <w:rPr>
                <w:sz w:val="20"/>
                <w:szCs w:val="20"/>
                <w:color w:val="auto"/>
              </w:rPr>
            </w:pPr>
            <w:r>
              <w:rPr>
                <w:rFonts w:ascii="Arial" w:cs="Arial" w:eastAsia="Arial" w:hAnsi="Arial"/>
                <w:sz w:val="11"/>
                <w:szCs w:val="11"/>
                <w:color w:val="auto"/>
              </w:rPr>
              <w:t>Less: Preferred dividends</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542</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754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00" w:type="dxa"/>
            <w:vAlign w:val="bottom"/>
            <w:shd w:val="clear" w:color="auto" w:fill="CCEEFF"/>
          </w:tcPr>
          <w:p>
            <w:pPr>
              <w:spacing w:after="0"/>
              <w:rPr>
                <w:sz w:val="12"/>
                <w:szCs w:val="12"/>
                <w:color w:val="auto"/>
              </w:rPr>
            </w:pPr>
          </w:p>
        </w:tc>
        <w:tc>
          <w:tcPr>
            <w:tcW w:w="3220" w:type="dxa"/>
            <w:vAlign w:val="bottom"/>
            <w:shd w:val="clear" w:color="auto" w:fill="CCEEFF"/>
          </w:tcPr>
          <w:p>
            <w:pPr>
              <w:ind w:left="100"/>
              <w:spacing w:after="0"/>
              <w:rPr>
                <w:sz w:val="20"/>
                <w:szCs w:val="20"/>
                <w:color w:val="auto"/>
              </w:rPr>
            </w:pPr>
            <w:r>
              <w:rPr>
                <w:rFonts w:ascii="Arial" w:cs="Arial" w:eastAsia="Arial" w:hAnsi="Arial"/>
                <w:sz w:val="11"/>
                <w:szCs w:val="11"/>
                <w:color w:val="auto"/>
              </w:rPr>
              <w:t>Less: Exchange and redemption of preferred shares</w:t>
            </w:r>
          </w:p>
        </w:tc>
        <w:tc>
          <w:tcPr>
            <w:tcW w:w="20" w:type="dxa"/>
            <w:vAlign w:val="bottom"/>
            <w:tcBorders>
              <w:bottom w:val="single" w:sz="8" w:color="auto"/>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tcBorders>
              <w:bottom w:val="single" w:sz="8" w:color="auto"/>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89,585</w:t>
            </w:r>
          </w:p>
        </w:tc>
        <w:tc>
          <w:tcPr>
            <w:tcW w:w="20" w:type="dxa"/>
            <w:vAlign w:val="bottom"/>
            <w:shd w:val="clear" w:color="auto" w:fill="CCEEFF"/>
          </w:tcPr>
          <w:p>
            <w:pPr>
              <w:spacing w:after="0"/>
              <w:rPr>
                <w:sz w:val="12"/>
                <w:szCs w:val="12"/>
                <w:color w:val="auto"/>
              </w:rPr>
            </w:pPr>
          </w:p>
        </w:tc>
        <w:tc>
          <w:tcPr>
            <w:tcW w:w="20" w:type="dxa"/>
            <w:vAlign w:val="bottom"/>
            <w:tcBorders>
              <w:bottom w:val="single" w:sz="8" w:color="auto"/>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00" w:type="dxa"/>
            <w:vAlign w:val="bottom"/>
          </w:tcPr>
          <w:p>
            <w:pPr>
              <w:spacing w:after="0"/>
              <w:rPr>
                <w:sz w:val="12"/>
                <w:szCs w:val="12"/>
                <w:color w:val="auto"/>
              </w:rPr>
            </w:pPr>
          </w:p>
        </w:tc>
        <w:tc>
          <w:tcPr>
            <w:tcW w:w="3220" w:type="dxa"/>
            <w:vAlign w:val="bottom"/>
          </w:tcPr>
          <w:p>
            <w:pPr>
              <w:ind w:left="200"/>
              <w:spacing w:after="0"/>
              <w:rPr>
                <w:sz w:val="20"/>
                <w:szCs w:val="20"/>
                <w:color w:val="auto"/>
              </w:rPr>
            </w:pPr>
            <w:r>
              <w:rPr>
                <w:rFonts w:ascii="Arial" w:cs="Arial" w:eastAsia="Arial" w:hAnsi="Arial"/>
                <w:sz w:val="11"/>
                <w:szCs w:val="11"/>
                <w:color w:val="auto"/>
              </w:rPr>
              <w:t>Net income (loss) available to common stockholders (GAAP)</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5,295</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4,854</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5,650</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spacing w:after="0"/>
              <w:rPr>
                <w:sz w:val="20"/>
                <w:szCs w:val="20"/>
                <w:color w:val="auto"/>
              </w:rPr>
            </w:pPr>
            <w:r>
              <w:rPr>
                <w:rFonts w:ascii="Arial" w:cs="Arial" w:eastAsia="Arial" w:hAnsi="Arial"/>
                <w:sz w:val="11"/>
                <w:szCs w:val="11"/>
                <w:color w:val="auto"/>
              </w:rPr>
              <w:t>(83,534)</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3,299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100" w:type="dxa"/>
            <w:vAlign w:val="bottom"/>
            <w:shd w:val="clear" w:color="auto" w:fill="CCEEFF"/>
          </w:tcPr>
          <w:p>
            <w:pPr>
              <w:spacing w:after="0"/>
              <w:rPr>
                <w:sz w:val="13"/>
                <w:szCs w:val="13"/>
                <w:color w:val="auto"/>
              </w:rPr>
            </w:pPr>
          </w:p>
        </w:tc>
        <w:tc>
          <w:tcPr>
            <w:tcW w:w="3220" w:type="dxa"/>
            <w:vAlign w:val="bottom"/>
            <w:shd w:val="clear" w:color="auto" w:fill="CCEEFF"/>
          </w:tcPr>
          <w:p>
            <w:pPr>
              <w:ind w:left="100"/>
              <w:spacing w:after="0"/>
              <w:rPr>
                <w:sz w:val="20"/>
                <w:szCs w:val="20"/>
                <w:color w:val="auto"/>
              </w:rPr>
            </w:pPr>
            <w:r>
              <w:rPr>
                <w:rFonts w:ascii="Arial" w:cs="Arial" w:eastAsia="Arial" w:hAnsi="Arial"/>
                <w:sz w:val="11"/>
                <w:szCs w:val="11"/>
                <w:color w:val="auto"/>
              </w:rPr>
              <w:t>Add back: Exchange and redemption of preferred shares</w:t>
            </w:r>
          </w:p>
        </w:tc>
        <w:tc>
          <w:tcPr>
            <w:tcW w:w="20" w:type="dxa"/>
            <w:vAlign w:val="bottom"/>
            <w:tcBorders>
              <w:bottom w:val="single" w:sz="8" w:color="auto"/>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tcBorders>
              <w:bottom w:val="single" w:sz="8" w:color="auto"/>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89,585</w:t>
            </w:r>
          </w:p>
        </w:tc>
        <w:tc>
          <w:tcPr>
            <w:tcW w:w="20" w:type="dxa"/>
            <w:vAlign w:val="bottom"/>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0"/>
        </w:trPr>
        <w:tc>
          <w:tcPr>
            <w:tcW w:w="100" w:type="dxa"/>
            <w:vAlign w:val="bottom"/>
          </w:tcPr>
          <w:p>
            <w:pPr>
              <w:spacing w:after="0"/>
              <w:rPr>
                <w:sz w:val="17"/>
                <w:szCs w:val="17"/>
                <w:color w:val="auto"/>
              </w:rPr>
            </w:pPr>
          </w:p>
        </w:tc>
        <w:tc>
          <w:tcPr>
            <w:tcW w:w="3220" w:type="dxa"/>
            <w:vAlign w:val="bottom"/>
          </w:tcPr>
          <w:p>
            <w:pPr>
              <w:ind w:left="200"/>
              <w:spacing w:after="0"/>
              <w:rPr>
                <w:sz w:val="20"/>
                <w:szCs w:val="20"/>
                <w:color w:val="auto"/>
              </w:rPr>
            </w:pPr>
            <w:r>
              <w:rPr>
                <w:rFonts w:ascii="Arial" w:cs="Arial" w:eastAsia="Arial" w:hAnsi="Arial"/>
                <w:sz w:val="11"/>
                <w:szCs w:val="11"/>
                <w:color w:val="auto"/>
              </w:rPr>
              <w:t>Operating net income avail. to common stock (non-GAAP)</w:t>
            </w:r>
          </w:p>
        </w:tc>
        <w:tc>
          <w:tcPr>
            <w:tcW w:w="14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5,295</w:t>
            </w:r>
          </w:p>
        </w:tc>
        <w:tc>
          <w:tcPr>
            <w:tcW w:w="160" w:type="dxa"/>
            <w:vAlign w:val="bottom"/>
            <w:gridSpan w:val="3"/>
          </w:tcPr>
          <w:p>
            <w:pPr>
              <w:jc w:val="right"/>
              <w:spacing w:after="0"/>
              <w:rPr>
                <w:sz w:val="20"/>
                <w:szCs w:val="20"/>
                <w:color w:val="auto"/>
              </w:rPr>
            </w:pPr>
            <w:r>
              <w:rPr>
                <w:rFonts w:ascii="Arial" w:cs="Arial" w:eastAsia="Arial" w:hAnsi="Arial"/>
                <w:sz w:val="11"/>
                <w:szCs w:val="11"/>
                <w:color w:val="auto"/>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4,854</w:t>
            </w:r>
          </w:p>
        </w:tc>
        <w:tc>
          <w:tcPr>
            <w:tcW w:w="16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700" w:type="dxa"/>
            <w:vAlign w:val="bottom"/>
          </w:tcPr>
          <w:p>
            <w:pPr>
              <w:jc w:val="right"/>
              <w:spacing w:after="0"/>
              <w:rPr>
                <w:sz w:val="20"/>
                <w:szCs w:val="20"/>
                <w:color w:val="auto"/>
              </w:rPr>
            </w:pPr>
            <w:r>
              <w:rPr>
                <w:rFonts w:ascii="Arial" w:cs="Arial" w:eastAsia="Arial" w:hAnsi="Arial"/>
                <w:sz w:val="11"/>
                <w:szCs w:val="11"/>
                <w:color w:val="auto"/>
              </w:rPr>
              <w:t>5,650</w:t>
            </w:r>
          </w:p>
        </w:tc>
        <w:tc>
          <w:tcPr>
            <w:tcW w:w="160" w:type="dxa"/>
            <w:vAlign w:val="bottom"/>
            <w:gridSpan w:val="4"/>
          </w:tcPr>
          <w:p>
            <w:pPr>
              <w:jc w:val="right"/>
              <w:spacing w:after="0"/>
              <w:rPr>
                <w:sz w:val="20"/>
                <w:szCs w:val="20"/>
                <w:color w:val="auto"/>
              </w:rPr>
            </w:pPr>
            <w:r>
              <w:rPr>
                <w:rFonts w:ascii="Arial" w:cs="Arial" w:eastAsia="Arial" w:hAnsi="Arial"/>
                <w:sz w:val="11"/>
                <w:szCs w:val="11"/>
                <w:color w:val="auto"/>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6,051</w:t>
            </w:r>
          </w:p>
        </w:tc>
        <w:tc>
          <w:tcPr>
            <w:tcW w:w="20" w:type="dxa"/>
            <w:vAlign w:val="bottom"/>
          </w:tcPr>
          <w:p>
            <w:pPr>
              <w:spacing w:after="0"/>
              <w:rPr>
                <w:sz w:val="17"/>
                <w:szCs w:val="17"/>
                <w:color w:val="auto"/>
              </w:rPr>
            </w:pPr>
          </w:p>
        </w:tc>
        <w:tc>
          <w:tcPr>
            <w:tcW w:w="14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3,299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2"/>
        </w:trPr>
        <w:tc>
          <w:tcPr>
            <w:tcW w:w="100" w:type="dxa"/>
            <w:vAlign w:val="bottom"/>
            <w:tcBorders>
              <w:top w:val="single" w:sz="8" w:color="CCEEFF"/>
            </w:tcBorders>
            <w:shd w:val="clear" w:color="auto" w:fill="CCEEFF"/>
          </w:tcPr>
          <w:p>
            <w:pPr>
              <w:spacing w:after="0"/>
              <w:rPr>
                <w:sz w:val="9"/>
                <w:szCs w:val="9"/>
                <w:color w:val="auto"/>
              </w:rPr>
            </w:pPr>
          </w:p>
        </w:tc>
        <w:tc>
          <w:tcPr>
            <w:tcW w:w="3220" w:type="dxa"/>
            <w:vAlign w:val="bottom"/>
            <w:tcBorders>
              <w:top w:val="single" w:sz="8" w:color="CCEEFF"/>
            </w:tcBorders>
            <w:shd w:val="clear" w:color="auto" w:fill="CCEEFF"/>
          </w:tcPr>
          <w:p>
            <w:pPr>
              <w:spacing w:after="0" w:line="112" w:lineRule="exact"/>
              <w:rPr>
                <w:sz w:val="20"/>
                <w:szCs w:val="20"/>
                <w:color w:val="auto"/>
              </w:rPr>
            </w:pPr>
            <w:r>
              <w:rPr>
                <w:rFonts w:ascii="Arial" w:cs="Arial" w:eastAsia="Arial" w:hAnsi="Arial"/>
                <w:sz w:val="11"/>
                <w:szCs w:val="11"/>
                <w:b w:val="1"/>
                <w:bCs w:val="1"/>
                <w:color w:val="auto"/>
              </w:rPr>
              <w:t>Allocation of operating net income per common stock class:</w:t>
            </w:r>
          </w:p>
        </w:tc>
        <w:tc>
          <w:tcPr>
            <w:tcW w:w="2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72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72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70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72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72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auto"/>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60"/>
        </w:trPr>
        <w:tc>
          <w:tcPr>
            <w:tcW w:w="100" w:type="dxa"/>
            <w:vAlign w:val="bottom"/>
          </w:tcPr>
          <w:p>
            <w:pPr>
              <w:spacing w:after="0"/>
              <w:rPr>
                <w:sz w:val="13"/>
                <w:szCs w:val="13"/>
                <w:color w:val="auto"/>
              </w:rPr>
            </w:pPr>
          </w:p>
        </w:tc>
        <w:tc>
          <w:tcPr>
            <w:tcW w:w="3220" w:type="dxa"/>
            <w:vAlign w:val="bottom"/>
          </w:tcPr>
          <w:p>
            <w:pPr>
              <w:ind w:left="100"/>
              <w:spacing w:after="0"/>
              <w:rPr>
                <w:sz w:val="20"/>
                <w:szCs w:val="20"/>
                <w:color w:val="auto"/>
              </w:rPr>
            </w:pPr>
            <w:r>
              <w:rPr>
                <w:rFonts w:ascii="Arial" w:cs="Arial" w:eastAsia="Arial" w:hAnsi="Arial"/>
                <w:sz w:val="11"/>
                <w:szCs w:val="11"/>
                <w:color w:val="auto"/>
              </w:rPr>
              <w:t>Class A common stock</w:t>
            </w:r>
          </w:p>
        </w:tc>
        <w:tc>
          <w:tcPr>
            <w:tcW w:w="14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5,295</w:t>
            </w:r>
          </w:p>
        </w:tc>
        <w:tc>
          <w:tcPr>
            <w:tcW w:w="160" w:type="dxa"/>
            <w:vAlign w:val="bottom"/>
            <w:gridSpan w:val="3"/>
          </w:tcPr>
          <w:p>
            <w:pPr>
              <w:jc w:val="right"/>
              <w:spacing w:after="0"/>
              <w:rPr>
                <w:sz w:val="20"/>
                <w:szCs w:val="20"/>
                <w:color w:val="auto"/>
              </w:rPr>
            </w:pPr>
            <w:r>
              <w:rPr>
                <w:rFonts w:ascii="Arial" w:cs="Arial" w:eastAsia="Arial" w:hAnsi="Arial"/>
                <w:sz w:val="11"/>
                <w:szCs w:val="11"/>
                <w:color w:val="auto"/>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4,854</w:t>
            </w:r>
          </w:p>
        </w:tc>
        <w:tc>
          <w:tcPr>
            <w:tcW w:w="16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700" w:type="dxa"/>
            <w:vAlign w:val="bottom"/>
          </w:tcPr>
          <w:p>
            <w:pPr>
              <w:jc w:val="right"/>
              <w:spacing w:after="0"/>
              <w:rPr>
                <w:sz w:val="20"/>
                <w:szCs w:val="20"/>
                <w:color w:val="auto"/>
              </w:rPr>
            </w:pPr>
            <w:r>
              <w:rPr>
                <w:rFonts w:ascii="Arial" w:cs="Arial" w:eastAsia="Arial" w:hAnsi="Arial"/>
                <w:sz w:val="11"/>
                <w:szCs w:val="11"/>
                <w:color w:val="auto"/>
              </w:rPr>
              <w:t>5,650</w:t>
            </w:r>
          </w:p>
        </w:tc>
        <w:tc>
          <w:tcPr>
            <w:tcW w:w="160" w:type="dxa"/>
            <w:vAlign w:val="bottom"/>
            <w:gridSpan w:val="4"/>
          </w:tcPr>
          <w:p>
            <w:pPr>
              <w:jc w:val="right"/>
              <w:spacing w:after="0"/>
              <w:rPr>
                <w:sz w:val="20"/>
                <w:szCs w:val="20"/>
                <w:color w:val="auto"/>
              </w:rPr>
            </w:pPr>
            <w:r>
              <w:rPr>
                <w:rFonts w:ascii="Arial" w:cs="Arial" w:eastAsia="Arial" w:hAnsi="Arial"/>
                <w:sz w:val="11"/>
                <w:szCs w:val="11"/>
                <w:color w:val="auto"/>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5,598</w:t>
            </w:r>
          </w:p>
        </w:tc>
        <w:tc>
          <w:tcPr>
            <w:tcW w:w="20" w:type="dxa"/>
            <w:vAlign w:val="bottom"/>
          </w:tcPr>
          <w:p>
            <w:pPr>
              <w:spacing w:after="0"/>
              <w:rPr>
                <w:sz w:val="13"/>
                <w:szCs w:val="13"/>
                <w:color w:val="auto"/>
              </w:rPr>
            </w:pPr>
          </w:p>
        </w:tc>
        <w:tc>
          <w:tcPr>
            <w:tcW w:w="14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2,509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00" w:type="dxa"/>
            <w:vAlign w:val="bottom"/>
            <w:shd w:val="clear" w:color="auto" w:fill="CCEEFF"/>
          </w:tcPr>
          <w:p>
            <w:pPr>
              <w:spacing w:after="0"/>
              <w:rPr>
                <w:sz w:val="13"/>
                <w:szCs w:val="13"/>
                <w:color w:val="auto"/>
              </w:rPr>
            </w:pPr>
          </w:p>
        </w:tc>
        <w:tc>
          <w:tcPr>
            <w:tcW w:w="3220" w:type="dxa"/>
            <w:vAlign w:val="bottom"/>
            <w:shd w:val="clear" w:color="auto" w:fill="CCEEFF"/>
          </w:tcPr>
          <w:p>
            <w:pPr>
              <w:ind w:left="100"/>
              <w:spacing w:after="0"/>
              <w:rPr>
                <w:sz w:val="20"/>
                <w:szCs w:val="20"/>
                <w:color w:val="auto"/>
              </w:rPr>
            </w:pPr>
            <w:r>
              <w:rPr>
                <w:rFonts w:ascii="Arial" w:cs="Arial" w:eastAsia="Arial" w:hAnsi="Arial"/>
                <w:sz w:val="11"/>
                <w:szCs w:val="11"/>
                <w:color w:val="auto"/>
              </w:rPr>
              <w:t>Class B common stock</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3"/>
                <w:szCs w:val="13"/>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3"/>
                <w:szCs w:val="13"/>
                <w:color w:val="auto"/>
              </w:rPr>
            </w:pPr>
          </w:p>
        </w:tc>
        <w:tc>
          <w:tcPr>
            <w:tcW w:w="140" w:type="dxa"/>
            <w:vAlign w:val="bottom"/>
            <w:gridSpan w:val="3"/>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453</w:t>
            </w:r>
          </w:p>
        </w:tc>
        <w:tc>
          <w:tcPr>
            <w:tcW w:w="20" w:type="dxa"/>
            <w:vAlign w:val="bottom"/>
            <w:shd w:val="clear" w:color="auto" w:fill="CCEEFF"/>
          </w:tcPr>
          <w:p>
            <w:pPr>
              <w:spacing w:after="0"/>
              <w:rPr>
                <w:sz w:val="13"/>
                <w:szCs w:val="13"/>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790</w:t>
            </w: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3320" w:type="dxa"/>
            <w:vAlign w:val="bottom"/>
            <w:gridSpan w:val="2"/>
          </w:tcPr>
          <w:p>
            <w:pPr>
              <w:ind w:left="100"/>
              <w:spacing w:after="0"/>
              <w:rPr>
                <w:sz w:val="20"/>
                <w:szCs w:val="20"/>
                <w:color w:val="auto"/>
              </w:rPr>
            </w:pPr>
            <w:r>
              <w:rPr>
                <w:rFonts w:ascii="Arial" w:cs="Arial" w:eastAsia="Arial" w:hAnsi="Arial"/>
                <w:sz w:val="11"/>
                <w:szCs w:val="11"/>
                <w:b w:val="1"/>
                <w:bCs w:val="1"/>
                <w:color w:val="auto"/>
              </w:rPr>
              <w:t>Weighted average shares outstanding:</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00" w:type="dxa"/>
            <w:vAlign w:val="bottom"/>
            <w:shd w:val="clear" w:color="auto" w:fill="CCEEFF"/>
          </w:tcPr>
          <w:p>
            <w:pPr>
              <w:spacing w:after="0"/>
              <w:rPr>
                <w:sz w:val="12"/>
                <w:szCs w:val="12"/>
                <w:color w:val="auto"/>
              </w:rPr>
            </w:pPr>
          </w:p>
        </w:tc>
        <w:tc>
          <w:tcPr>
            <w:tcW w:w="3220" w:type="dxa"/>
            <w:vAlign w:val="bottom"/>
            <w:shd w:val="clear" w:color="auto" w:fill="CCEEFF"/>
          </w:tcPr>
          <w:p>
            <w:pPr>
              <w:ind w:left="100"/>
              <w:spacing w:after="0"/>
              <w:rPr>
                <w:sz w:val="20"/>
                <w:szCs w:val="20"/>
                <w:color w:val="auto"/>
              </w:rPr>
            </w:pPr>
            <w:r>
              <w:rPr>
                <w:rFonts w:ascii="Arial" w:cs="Arial" w:eastAsia="Arial" w:hAnsi="Arial"/>
                <w:sz w:val="11"/>
                <w:szCs w:val="11"/>
                <w:color w:val="auto"/>
              </w:rPr>
              <w:t>Class A common stock</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100" w:type="dxa"/>
            <w:vAlign w:val="bottom"/>
          </w:tcPr>
          <w:p>
            <w:pPr>
              <w:spacing w:after="0"/>
              <w:rPr>
                <w:sz w:val="13"/>
                <w:szCs w:val="13"/>
                <w:color w:val="auto"/>
              </w:rPr>
            </w:pPr>
          </w:p>
        </w:tc>
        <w:tc>
          <w:tcPr>
            <w:tcW w:w="3220" w:type="dxa"/>
            <w:vAlign w:val="bottom"/>
          </w:tcPr>
          <w:p>
            <w:pPr>
              <w:ind w:left="200"/>
              <w:spacing w:after="0"/>
              <w:rPr>
                <w:sz w:val="20"/>
                <w:szCs w:val="20"/>
                <w:color w:val="auto"/>
              </w:rPr>
            </w:pPr>
            <w:r>
              <w:rPr>
                <w:rFonts w:ascii="Arial" w:cs="Arial" w:eastAsia="Arial" w:hAnsi="Arial"/>
                <w:sz w:val="11"/>
                <w:szCs w:val="11"/>
                <w:color w:val="auto"/>
              </w:rPr>
              <w:t>Basic</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20,000,753</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19,994,953</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18,913,914</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15,121,460</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3,889,469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00" w:type="dxa"/>
            <w:vAlign w:val="bottom"/>
            <w:shd w:val="clear" w:color="auto" w:fill="CCEEFF"/>
          </w:tcPr>
          <w:p>
            <w:pPr>
              <w:spacing w:after="0"/>
              <w:rPr>
                <w:sz w:val="13"/>
                <w:szCs w:val="13"/>
                <w:color w:val="auto"/>
              </w:rPr>
            </w:pPr>
          </w:p>
        </w:tc>
        <w:tc>
          <w:tcPr>
            <w:tcW w:w="3220" w:type="dxa"/>
            <w:vAlign w:val="bottom"/>
            <w:shd w:val="clear" w:color="auto" w:fill="CCEEFF"/>
          </w:tcPr>
          <w:p>
            <w:pPr>
              <w:ind w:left="200"/>
              <w:spacing w:after="0"/>
              <w:rPr>
                <w:sz w:val="20"/>
                <w:szCs w:val="20"/>
                <w:color w:val="auto"/>
              </w:rPr>
            </w:pPr>
            <w:r>
              <w:rPr>
                <w:rFonts w:ascii="Arial" w:cs="Arial" w:eastAsia="Arial" w:hAnsi="Arial"/>
                <w:sz w:val="11"/>
                <w:szCs w:val="11"/>
                <w:color w:val="auto"/>
              </w:rPr>
              <w:t>Diluted</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20,171,261</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20,109,783</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19,023,686</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15,187,729</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3,933,636</w:t>
            </w: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00" w:type="dxa"/>
            <w:vAlign w:val="bottom"/>
          </w:tcPr>
          <w:p>
            <w:pPr>
              <w:spacing w:after="0"/>
              <w:rPr>
                <w:sz w:val="13"/>
                <w:szCs w:val="13"/>
                <w:color w:val="auto"/>
              </w:rPr>
            </w:pPr>
          </w:p>
        </w:tc>
        <w:tc>
          <w:tcPr>
            <w:tcW w:w="3220" w:type="dxa"/>
            <w:vAlign w:val="bottom"/>
          </w:tcPr>
          <w:p>
            <w:pPr>
              <w:ind w:left="100"/>
              <w:spacing w:after="0"/>
              <w:rPr>
                <w:sz w:val="20"/>
                <w:szCs w:val="20"/>
                <w:color w:val="auto"/>
              </w:rPr>
            </w:pPr>
            <w:r>
              <w:rPr>
                <w:rFonts w:ascii="Arial" w:cs="Arial" w:eastAsia="Arial" w:hAnsi="Arial"/>
                <w:sz w:val="11"/>
                <w:szCs w:val="11"/>
                <w:color w:val="auto"/>
              </w:rPr>
              <w:t>Class B common stock</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00" w:type="dxa"/>
            <w:vAlign w:val="bottom"/>
            <w:shd w:val="clear" w:color="auto" w:fill="CCEEFF"/>
          </w:tcPr>
          <w:p>
            <w:pPr>
              <w:spacing w:after="0"/>
              <w:rPr>
                <w:sz w:val="13"/>
                <w:szCs w:val="13"/>
                <w:color w:val="auto"/>
              </w:rPr>
            </w:pPr>
          </w:p>
        </w:tc>
        <w:tc>
          <w:tcPr>
            <w:tcW w:w="3220" w:type="dxa"/>
            <w:vAlign w:val="bottom"/>
            <w:shd w:val="clear" w:color="auto" w:fill="CCEEFF"/>
          </w:tcPr>
          <w:p>
            <w:pPr>
              <w:ind w:left="200"/>
              <w:spacing w:after="0"/>
              <w:rPr>
                <w:sz w:val="20"/>
                <w:szCs w:val="20"/>
                <w:color w:val="auto"/>
              </w:rPr>
            </w:pPr>
            <w:r>
              <w:rPr>
                <w:rFonts w:ascii="Arial" w:cs="Arial" w:eastAsia="Arial" w:hAnsi="Arial"/>
                <w:sz w:val="11"/>
                <w:szCs w:val="11"/>
                <w:color w:val="auto"/>
              </w:rPr>
              <w:t>Basic</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6,121,052</w:t>
            </w: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6,121,052</w:t>
            </w: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00" w:type="dxa"/>
            <w:vAlign w:val="bottom"/>
          </w:tcPr>
          <w:p>
            <w:pPr>
              <w:spacing w:after="0"/>
              <w:rPr>
                <w:sz w:val="12"/>
                <w:szCs w:val="12"/>
                <w:color w:val="auto"/>
              </w:rPr>
            </w:pPr>
          </w:p>
        </w:tc>
        <w:tc>
          <w:tcPr>
            <w:tcW w:w="3220" w:type="dxa"/>
            <w:vAlign w:val="bottom"/>
          </w:tcPr>
          <w:p>
            <w:pPr>
              <w:ind w:left="200"/>
              <w:spacing w:after="0"/>
              <w:rPr>
                <w:sz w:val="20"/>
                <w:szCs w:val="20"/>
                <w:color w:val="auto"/>
              </w:rPr>
            </w:pPr>
            <w:r>
              <w:rPr>
                <w:rFonts w:ascii="Arial" w:cs="Arial" w:eastAsia="Arial" w:hAnsi="Arial"/>
                <w:sz w:val="11"/>
                <w:szCs w:val="11"/>
                <w:color w:val="auto"/>
              </w:rPr>
              <w:t>Diluted</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6,121,052</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6,121,052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100" w:type="dxa"/>
            <w:vAlign w:val="bottom"/>
            <w:shd w:val="clear" w:color="auto" w:fill="CCEEFF"/>
          </w:tcPr>
          <w:p>
            <w:pPr>
              <w:spacing w:after="0"/>
              <w:rPr>
                <w:sz w:val="13"/>
                <w:szCs w:val="13"/>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1"/>
                <w:szCs w:val="11"/>
                <w:b w:val="1"/>
                <w:bCs w:val="1"/>
                <w:color w:val="auto"/>
              </w:rPr>
              <w:t xml:space="preserve">Diluted EPS: </w:t>
            </w:r>
            <w:r>
              <w:rPr>
                <w:rFonts w:ascii="Arial" w:cs="Arial" w:eastAsia="Arial" w:hAnsi="Arial"/>
                <w:sz w:val="14"/>
                <w:szCs w:val="14"/>
                <w:color w:val="auto"/>
                <w:vertAlign w:val="superscript"/>
              </w:rPr>
              <w:t>(4) (5)</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00" w:type="dxa"/>
            <w:vAlign w:val="bottom"/>
          </w:tcPr>
          <w:p>
            <w:pPr>
              <w:spacing w:after="0"/>
              <w:rPr>
                <w:sz w:val="13"/>
                <w:szCs w:val="13"/>
                <w:color w:val="auto"/>
              </w:rPr>
            </w:pPr>
          </w:p>
        </w:tc>
        <w:tc>
          <w:tcPr>
            <w:tcW w:w="3220" w:type="dxa"/>
            <w:vAlign w:val="bottom"/>
          </w:tcPr>
          <w:p>
            <w:pPr>
              <w:ind w:left="100"/>
              <w:spacing w:after="0"/>
              <w:rPr>
                <w:sz w:val="20"/>
                <w:szCs w:val="20"/>
                <w:color w:val="auto"/>
              </w:rPr>
            </w:pPr>
            <w:r>
              <w:rPr>
                <w:rFonts w:ascii="Arial" w:cs="Arial" w:eastAsia="Arial" w:hAnsi="Arial"/>
                <w:sz w:val="11"/>
                <w:szCs w:val="11"/>
                <w:color w:val="auto"/>
              </w:rPr>
              <w:t>Class A common stock</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00" w:type="dxa"/>
            <w:vAlign w:val="bottom"/>
            <w:shd w:val="clear" w:color="auto" w:fill="CCEEFF"/>
          </w:tcPr>
          <w:p>
            <w:pPr>
              <w:spacing w:after="0"/>
              <w:rPr>
                <w:sz w:val="13"/>
                <w:szCs w:val="13"/>
                <w:color w:val="auto"/>
              </w:rPr>
            </w:pPr>
          </w:p>
        </w:tc>
        <w:tc>
          <w:tcPr>
            <w:tcW w:w="3220" w:type="dxa"/>
            <w:vAlign w:val="bottom"/>
            <w:shd w:val="clear" w:color="auto" w:fill="CCEEFF"/>
          </w:tcPr>
          <w:p>
            <w:pPr>
              <w:ind w:left="200"/>
              <w:spacing w:after="0"/>
              <w:rPr>
                <w:sz w:val="20"/>
                <w:szCs w:val="20"/>
                <w:color w:val="auto"/>
              </w:rPr>
            </w:pPr>
            <w:r>
              <w:rPr>
                <w:rFonts w:ascii="Arial" w:cs="Arial" w:eastAsia="Arial" w:hAnsi="Arial"/>
                <w:sz w:val="11"/>
                <w:szCs w:val="11"/>
                <w:color w:val="auto"/>
              </w:rPr>
              <w:t>Net income (loss) per diluted share (GAAP)</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0.26</w:t>
            </w:r>
          </w:p>
        </w:tc>
        <w:tc>
          <w:tcPr>
            <w:tcW w:w="20" w:type="dxa"/>
            <w:vAlign w:val="bottom"/>
            <w:shd w:val="clear" w:color="auto" w:fill="CCEEFF"/>
          </w:tcPr>
          <w:p>
            <w:pPr>
              <w:spacing w:after="0"/>
              <w:rPr>
                <w:sz w:val="13"/>
                <w:szCs w:val="13"/>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0.24</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0.30</w:t>
            </w:r>
          </w:p>
        </w:tc>
        <w:tc>
          <w:tcPr>
            <w:tcW w:w="20" w:type="dxa"/>
            <w:vAlign w:val="bottom"/>
            <w:shd w:val="clear" w:color="auto" w:fill="CCEEFF"/>
          </w:tcPr>
          <w:p>
            <w:pPr>
              <w:spacing w:after="0"/>
              <w:rPr>
                <w:sz w:val="13"/>
                <w:szCs w:val="13"/>
                <w:color w:val="auto"/>
              </w:rPr>
            </w:pPr>
          </w:p>
        </w:tc>
        <w:tc>
          <w:tcPr>
            <w:tcW w:w="140" w:type="dxa"/>
            <w:vAlign w:val="bottom"/>
            <w:gridSpan w:val="3"/>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(5.11)</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0.64</w:t>
            </w: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00" w:type="dxa"/>
            <w:vAlign w:val="bottom"/>
          </w:tcPr>
          <w:p>
            <w:pPr>
              <w:spacing w:after="0"/>
              <w:rPr>
                <w:sz w:val="14"/>
                <w:szCs w:val="14"/>
                <w:color w:val="auto"/>
              </w:rPr>
            </w:pPr>
          </w:p>
        </w:tc>
        <w:tc>
          <w:tcPr>
            <w:tcW w:w="3220" w:type="dxa"/>
            <w:vAlign w:val="bottom"/>
          </w:tcPr>
          <w:p>
            <w:pPr>
              <w:ind w:left="200"/>
              <w:spacing w:after="0"/>
              <w:rPr>
                <w:sz w:val="20"/>
                <w:szCs w:val="20"/>
                <w:color w:val="auto"/>
              </w:rPr>
            </w:pPr>
            <w:r>
              <w:rPr>
                <w:rFonts w:ascii="Arial" w:cs="Arial" w:eastAsia="Arial" w:hAnsi="Arial"/>
                <w:sz w:val="11"/>
                <w:szCs w:val="11"/>
                <w:color w:val="auto"/>
              </w:rPr>
              <w:t>Add back: Exchange and redemption of preferred shares</w:t>
            </w: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5.48</w:t>
            </w:r>
          </w:p>
        </w:tc>
        <w:tc>
          <w:tcPr>
            <w:tcW w:w="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100" w:type="dxa"/>
            <w:vAlign w:val="bottom"/>
            <w:tcBorders>
              <w:top w:val="single" w:sz="8" w:color="CCEEFF"/>
            </w:tcBorders>
            <w:shd w:val="clear" w:color="auto" w:fill="CCEEFF"/>
          </w:tcPr>
          <w:p>
            <w:pPr>
              <w:spacing w:after="0"/>
              <w:rPr>
                <w:sz w:val="11"/>
                <w:szCs w:val="11"/>
                <w:color w:val="auto"/>
              </w:rPr>
            </w:pPr>
          </w:p>
        </w:tc>
        <w:tc>
          <w:tcPr>
            <w:tcW w:w="3220" w:type="dxa"/>
            <w:vAlign w:val="bottom"/>
            <w:tcBorders>
              <w:top w:val="single" w:sz="8" w:color="CCEEFF"/>
            </w:tcBorders>
            <w:shd w:val="clear" w:color="auto" w:fill="CCEEFF"/>
          </w:tcPr>
          <w:p>
            <w:pPr>
              <w:ind w:left="300"/>
              <w:spacing w:after="0"/>
              <w:rPr>
                <w:sz w:val="20"/>
                <w:szCs w:val="20"/>
                <w:color w:val="auto"/>
              </w:rPr>
            </w:pPr>
            <w:r>
              <w:rPr>
                <w:rFonts w:ascii="Arial" w:cs="Arial" w:eastAsia="Arial" w:hAnsi="Arial"/>
                <w:sz w:val="11"/>
                <w:szCs w:val="11"/>
                <w:color w:val="auto"/>
              </w:rPr>
              <w:t>Operating net income per diluted share (non-GAAP)</w:t>
            </w:r>
          </w:p>
        </w:tc>
        <w:tc>
          <w:tcPr>
            <w:tcW w:w="20" w:type="dxa"/>
            <w:vAlign w:val="bottom"/>
            <w:tcBorders>
              <w:top w:val="single" w:sz="8" w:color="CCEEFF"/>
            </w:tcBorders>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0.26</w:t>
            </w:r>
          </w:p>
        </w:tc>
        <w:tc>
          <w:tcPr>
            <w:tcW w:w="20" w:type="dxa"/>
            <w:vAlign w:val="bottom"/>
            <w:tcBorders>
              <w:bottom w:val="single" w:sz="8" w:color="auto"/>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0.24</w:t>
            </w:r>
          </w:p>
        </w:tc>
        <w:tc>
          <w:tcPr>
            <w:tcW w:w="20" w:type="dxa"/>
            <w:vAlign w:val="bottom"/>
            <w:tcBorders>
              <w:top w:val="single" w:sz="8" w:color="CCEEFF"/>
              <w:bottom w:val="single" w:sz="8" w:color="auto"/>
            </w:tcBorders>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0.30</w:t>
            </w:r>
          </w:p>
        </w:tc>
        <w:tc>
          <w:tcPr>
            <w:tcW w:w="20" w:type="dxa"/>
            <w:vAlign w:val="bottom"/>
            <w:tcBorders>
              <w:bottom w:val="single" w:sz="8" w:color="auto"/>
            </w:tcBorders>
            <w:shd w:val="clear" w:color="auto" w:fill="CCEEFF"/>
          </w:tcPr>
          <w:p>
            <w:pPr>
              <w:spacing w:after="0"/>
              <w:rPr>
                <w:sz w:val="11"/>
                <w:szCs w:val="11"/>
                <w:color w:val="auto"/>
              </w:rPr>
            </w:pPr>
          </w:p>
        </w:tc>
        <w:tc>
          <w:tcPr>
            <w:tcW w:w="40" w:type="dxa"/>
            <w:vAlign w:val="bottom"/>
            <w:tcBorders>
              <w:top w:val="single" w:sz="8" w:color="CCEEFF"/>
            </w:tcBorders>
            <w:gridSpan w:val="2"/>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0.37</w:t>
            </w:r>
          </w:p>
        </w:tc>
        <w:tc>
          <w:tcPr>
            <w:tcW w:w="20" w:type="dxa"/>
            <w:vAlign w:val="bottom"/>
            <w:tcBorders>
              <w:bottom w:val="single" w:sz="8" w:color="auto"/>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0.64</w:t>
            </w:r>
          </w:p>
        </w:tc>
        <w:tc>
          <w:tcPr>
            <w:tcW w:w="20" w:type="dxa"/>
            <w:vAlign w:val="bottom"/>
            <w:tcBorders>
              <w:bottom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3220" w:type="dxa"/>
            <w:vAlign w:val="bottom"/>
            <w:vMerge w:val="restart"/>
          </w:tcPr>
          <w:p>
            <w:pPr>
              <w:ind w:left="100"/>
              <w:spacing w:after="0"/>
              <w:rPr>
                <w:sz w:val="20"/>
                <w:szCs w:val="20"/>
                <w:color w:val="auto"/>
              </w:rPr>
            </w:pPr>
            <w:r>
              <w:rPr>
                <w:rFonts w:ascii="Arial" w:cs="Arial" w:eastAsia="Arial" w:hAnsi="Arial"/>
                <w:sz w:val="11"/>
                <w:szCs w:val="11"/>
                <w:color w:val="auto"/>
              </w:rPr>
              <w:t>Class B common stock</w:t>
            </w: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100" w:type="dxa"/>
            <w:vAlign w:val="bottom"/>
          </w:tcPr>
          <w:p>
            <w:pPr>
              <w:spacing w:after="0"/>
              <w:rPr>
                <w:sz w:val="11"/>
                <w:szCs w:val="11"/>
                <w:color w:val="auto"/>
              </w:rPr>
            </w:pPr>
          </w:p>
        </w:tc>
        <w:tc>
          <w:tcPr>
            <w:tcW w:w="322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100" w:type="dxa"/>
            <w:vAlign w:val="bottom"/>
            <w:shd w:val="clear" w:color="auto" w:fill="CCEEFF"/>
          </w:tcPr>
          <w:p>
            <w:pPr>
              <w:spacing w:after="0"/>
              <w:rPr>
                <w:sz w:val="13"/>
                <w:szCs w:val="13"/>
                <w:color w:val="auto"/>
              </w:rPr>
            </w:pPr>
          </w:p>
        </w:tc>
        <w:tc>
          <w:tcPr>
            <w:tcW w:w="3220" w:type="dxa"/>
            <w:vAlign w:val="bottom"/>
            <w:shd w:val="clear" w:color="auto" w:fill="CCEEFF"/>
          </w:tcPr>
          <w:p>
            <w:pPr>
              <w:ind w:left="200"/>
              <w:spacing w:after="0"/>
              <w:rPr>
                <w:sz w:val="20"/>
                <w:szCs w:val="20"/>
                <w:color w:val="auto"/>
              </w:rPr>
            </w:pPr>
            <w:r>
              <w:rPr>
                <w:rFonts w:ascii="Arial" w:cs="Arial" w:eastAsia="Arial" w:hAnsi="Arial"/>
                <w:sz w:val="11"/>
                <w:szCs w:val="11"/>
                <w:color w:val="auto"/>
              </w:rPr>
              <w:t>Net income (loss) per diluted share (GAAP)</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3"/>
                <w:szCs w:val="13"/>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3"/>
                <w:szCs w:val="13"/>
                <w:color w:val="auto"/>
              </w:rPr>
            </w:pPr>
          </w:p>
        </w:tc>
        <w:tc>
          <w:tcPr>
            <w:tcW w:w="140" w:type="dxa"/>
            <w:vAlign w:val="bottom"/>
            <w:gridSpan w:val="3"/>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(1.02)</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0.13</w:t>
            </w: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00" w:type="dxa"/>
            <w:vAlign w:val="bottom"/>
          </w:tcPr>
          <w:p>
            <w:pPr>
              <w:spacing w:after="0"/>
              <w:rPr>
                <w:sz w:val="14"/>
                <w:szCs w:val="14"/>
                <w:color w:val="auto"/>
              </w:rPr>
            </w:pPr>
          </w:p>
        </w:tc>
        <w:tc>
          <w:tcPr>
            <w:tcW w:w="3220" w:type="dxa"/>
            <w:vAlign w:val="bottom"/>
          </w:tcPr>
          <w:p>
            <w:pPr>
              <w:ind w:left="200"/>
              <w:spacing w:after="0"/>
              <w:rPr>
                <w:sz w:val="20"/>
                <w:szCs w:val="20"/>
                <w:color w:val="auto"/>
              </w:rPr>
            </w:pPr>
            <w:r>
              <w:rPr>
                <w:rFonts w:ascii="Arial" w:cs="Arial" w:eastAsia="Arial" w:hAnsi="Arial"/>
                <w:sz w:val="11"/>
                <w:szCs w:val="11"/>
                <w:color w:val="auto"/>
              </w:rPr>
              <w:t>Add back: Exchange and redemption of preferred shares</w:t>
            </w: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1.09</w:t>
            </w:r>
          </w:p>
        </w:tc>
        <w:tc>
          <w:tcPr>
            <w:tcW w:w="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100" w:type="dxa"/>
            <w:vAlign w:val="bottom"/>
            <w:tcBorders>
              <w:top w:val="single" w:sz="8" w:color="CCEEFF"/>
            </w:tcBorders>
            <w:shd w:val="clear" w:color="auto" w:fill="CCEEFF"/>
          </w:tcPr>
          <w:p>
            <w:pPr>
              <w:spacing w:after="0"/>
              <w:rPr>
                <w:sz w:val="11"/>
                <w:szCs w:val="11"/>
                <w:color w:val="auto"/>
              </w:rPr>
            </w:pPr>
          </w:p>
        </w:tc>
        <w:tc>
          <w:tcPr>
            <w:tcW w:w="3220" w:type="dxa"/>
            <w:vAlign w:val="bottom"/>
            <w:tcBorders>
              <w:top w:val="single" w:sz="8" w:color="CCEEFF"/>
            </w:tcBorders>
            <w:shd w:val="clear" w:color="auto" w:fill="CCEEFF"/>
          </w:tcPr>
          <w:p>
            <w:pPr>
              <w:ind w:left="300"/>
              <w:spacing w:after="0"/>
              <w:rPr>
                <w:sz w:val="20"/>
                <w:szCs w:val="20"/>
                <w:color w:val="auto"/>
              </w:rPr>
            </w:pPr>
            <w:r>
              <w:rPr>
                <w:rFonts w:ascii="Arial" w:cs="Arial" w:eastAsia="Arial" w:hAnsi="Arial"/>
                <w:sz w:val="11"/>
                <w:szCs w:val="11"/>
                <w:color w:val="auto"/>
              </w:rPr>
              <w:t>Operating net income per diluted share (non-GAAP)</w:t>
            </w:r>
          </w:p>
        </w:tc>
        <w:tc>
          <w:tcPr>
            <w:tcW w:w="20" w:type="dxa"/>
            <w:vAlign w:val="bottom"/>
            <w:tcBorders>
              <w:top w:val="single" w:sz="8" w:color="CCEEFF"/>
            </w:tcBorders>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tcBorders>
              <w:bottom w:val="single" w:sz="8" w:color="auto"/>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tcBorders>
              <w:top w:val="single" w:sz="8" w:color="CCEEFF"/>
              <w:bottom w:val="single" w:sz="8" w:color="auto"/>
            </w:tcBorders>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 w:type="dxa"/>
            <w:vAlign w:val="bottom"/>
            <w:tcBorders>
              <w:bottom w:val="single" w:sz="8" w:color="auto"/>
            </w:tcBorders>
            <w:shd w:val="clear" w:color="auto" w:fill="CCEEFF"/>
          </w:tcPr>
          <w:p>
            <w:pPr>
              <w:spacing w:after="0"/>
              <w:rPr>
                <w:sz w:val="11"/>
                <w:szCs w:val="11"/>
                <w:color w:val="auto"/>
              </w:rPr>
            </w:pPr>
          </w:p>
        </w:tc>
        <w:tc>
          <w:tcPr>
            <w:tcW w:w="40" w:type="dxa"/>
            <w:vAlign w:val="bottom"/>
            <w:tcBorders>
              <w:top w:val="single" w:sz="8" w:color="CCEEFF"/>
            </w:tcBorders>
            <w:gridSpan w:val="2"/>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0.07</w:t>
            </w:r>
          </w:p>
        </w:tc>
        <w:tc>
          <w:tcPr>
            <w:tcW w:w="20" w:type="dxa"/>
            <w:vAlign w:val="bottom"/>
            <w:tcBorders>
              <w:bottom w:val="single" w:sz="8" w:color="auto"/>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0.13</w:t>
            </w:r>
          </w:p>
        </w:tc>
        <w:tc>
          <w:tcPr>
            <w:tcW w:w="20" w:type="dxa"/>
            <w:vAlign w:val="bottom"/>
            <w:tcBorders>
              <w:bottom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3" w:lineRule="exact"/>
        <w:rPr>
          <w:sz w:val="20"/>
          <w:szCs w:val="20"/>
          <w:color w:val="auto"/>
        </w:rPr>
      </w:pPr>
    </w:p>
    <w:p>
      <w:pPr>
        <w:ind w:left="860" w:hanging="197"/>
        <w:spacing w:after="0"/>
        <w:tabs>
          <w:tab w:leader="none" w:pos="860" w:val="left"/>
        </w:tabs>
        <w:numPr>
          <w:ilvl w:val="0"/>
          <w:numId w:val="13"/>
        </w:numPr>
        <w:rPr>
          <w:rFonts w:ascii="Arial" w:cs="Arial" w:eastAsia="Arial" w:hAnsi="Arial"/>
          <w:sz w:val="11"/>
          <w:szCs w:val="11"/>
          <w:color w:val="auto"/>
        </w:rPr>
      </w:pPr>
      <w:r>
        <w:rPr>
          <w:rFonts w:ascii="Arial" w:cs="Arial" w:eastAsia="Arial" w:hAnsi="Arial"/>
          <w:sz w:val="11"/>
          <w:szCs w:val="11"/>
          <w:color w:val="auto"/>
        </w:rPr>
        <w:t>The Company believes these non-GAAP measurements are key indicators of the ongoing earnings power of the Company.</w:t>
      </w:r>
    </w:p>
    <w:p>
      <w:pPr>
        <w:spacing w:after="0" w:line="22" w:lineRule="exact"/>
        <w:rPr>
          <w:rFonts w:ascii="Arial" w:cs="Arial" w:eastAsia="Arial" w:hAnsi="Arial"/>
          <w:sz w:val="11"/>
          <w:szCs w:val="11"/>
          <w:color w:val="auto"/>
        </w:rPr>
      </w:pPr>
    </w:p>
    <w:p>
      <w:pPr>
        <w:ind w:left="660" w:right="779" w:firstLine="3"/>
        <w:spacing w:after="0" w:line="252" w:lineRule="auto"/>
        <w:tabs>
          <w:tab w:leader="none" w:pos="851" w:val="left"/>
        </w:tabs>
        <w:numPr>
          <w:ilvl w:val="0"/>
          <w:numId w:val="13"/>
        </w:numPr>
        <w:rPr>
          <w:rFonts w:ascii="Arial" w:cs="Arial" w:eastAsia="Arial" w:hAnsi="Arial"/>
          <w:sz w:val="11"/>
          <w:szCs w:val="11"/>
          <w:color w:val="auto"/>
        </w:rPr>
      </w:pPr>
      <w:r>
        <w:rPr>
          <w:rFonts w:ascii="Arial" w:cs="Arial" w:eastAsia="Arial" w:hAnsi="Arial"/>
          <w:sz w:val="11"/>
          <w:szCs w:val="11"/>
          <w:color w:val="auto"/>
        </w:rPr>
        <w:t>During the quarter ended September 30, 2021, 47,473 shares of Class C preferred stock and 11,061,552 shares of Class D preferred stock were converted into 10,278,072 shares of Class A common stock. Additionally, the Bank closed on the initial public offering of its Class A common stock on July 27, 2021, in which it issued 4,600,000 shares of Class A common stock. As such, the total shares issued and outstanding of Class A common stock was 18,767,541 shares at September 30, 2021.</w:t>
      </w:r>
    </w:p>
    <w:p>
      <w:pPr>
        <w:spacing w:after="0" w:line="1" w:lineRule="exact"/>
        <w:rPr>
          <w:rFonts w:ascii="Arial" w:cs="Arial" w:eastAsia="Arial" w:hAnsi="Arial"/>
          <w:sz w:val="11"/>
          <w:szCs w:val="11"/>
          <w:color w:val="auto"/>
        </w:rPr>
      </w:pPr>
    </w:p>
    <w:p>
      <w:pPr>
        <w:ind w:left="860" w:hanging="197"/>
        <w:spacing w:after="0"/>
        <w:tabs>
          <w:tab w:leader="none" w:pos="860" w:val="left"/>
        </w:tabs>
        <w:numPr>
          <w:ilvl w:val="0"/>
          <w:numId w:val="13"/>
        </w:numPr>
        <w:rPr>
          <w:rFonts w:ascii="Arial" w:cs="Arial" w:eastAsia="Arial" w:hAnsi="Arial"/>
          <w:sz w:val="11"/>
          <w:szCs w:val="11"/>
          <w:color w:val="auto"/>
        </w:rPr>
      </w:pPr>
      <w:r>
        <w:rPr>
          <w:rFonts w:ascii="Arial" w:cs="Arial" w:eastAsia="Arial" w:hAnsi="Arial"/>
          <w:sz w:val="11"/>
          <w:szCs w:val="11"/>
          <w:color w:val="auto"/>
        </w:rPr>
        <w:t>Excludes the dilutive effect, if any, of shares of common stock issuable upon exercise of outstanding stock options.</w:t>
      </w:r>
    </w:p>
    <w:p>
      <w:pPr>
        <w:spacing w:after="0" w:line="1" w:lineRule="exact"/>
        <w:rPr>
          <w:rFonts w:ascii="Arial" w:cs="Arial" w:eastAsia="Arial" w:hAnsi="Arial"/>
          <w:sz w:val="11"/>
          <w:szCs w:val="11"/>
          <w:color w:val="auto"/>
        </w:rPr>
      </w:pPr>
    </w:p>
    <w:p>
      <w:pPr>
        <w:ind w:left="660" w:right="979" w:firstLine="3"/>
        <w:spacing w:after="0" w:line="263" w:lineRule="auto"/>
        <w:tabs>
          <w:tab w:leader="none" w:pos="851" w:val="left"/>
        </w:tabs>
        <w:numPr>
          <w:ilvl w:val="0"/>
          <w:numId w:val="13"/>
        </w:numPr>
        <w:rPr>
          <w:rFonts w:ascii="Arial" w:cs="Arial" w:eastAsia="Arial" w:hAnsi="Arial"/>
          <w:sz w:val="11"/>
          <w:szCs w:val="11"/>
          <w:color w:val="auto"/>
        </w:rPr>
      </w:pPr>
      <w:r>
        <w:rPr>
          <w:rFonts w:ascii="Arial" w:cs="Arial" w:eastAsia="Arial" w:hAnsi="Arial"/>
          <w:sz w:val="11"/>
          <w:szCs w:val="11"/>
          <w:color w:val="auto"/>
        </w:rPr>
        <w:t>During the quarter ended September 30, 2021, basic net loss per share is the same as diluted net loss per share as the inclusion of all potential common shares outstanding would have been antidilutive.</w:t>
      </w:r>
    </w:p>
    <w:p>
      <w:pPr>
        <w:ind w:left="660" w:right="799" w:firstLine="3"/>
        <w:spacing w:after="0" w:line="288" w:lineRule="auto"/>
        <w:tabs>
          <w:tab w:leader="none" w:pos="851" w:val="left"/>
        </w:tabs>
        <w:numPr>
          <w:ilvl w:val="0"/>
          <w:numId w:val="13"/>
        </w:numPr>
        <w:rPr>
          <w:rFonts w:ascii="Arial" w:cs="Arial" w:eastAsia="Arial" w:hAnsi="Arial"/>
          <w:sz w:val="10"/>
          <w:szCs w:val="10"/>
          <w:color w:val="auto"/>
        </w:rPr>
      </w:pPr>
      <w:r>
        <w:rPr>
          <w:rFonts w:ascii="Arial" w:cs="Arial" w:eastAsia="Arial" w:hAnsi="Arial"/>
          <w:sz w:val="10"/>
          <w:szCs w:val="10"/>
          <w:color w:val="auto"/>
        </w:rPr>
        <w:t>During the quarter ended December 31, 2021, the Company entered into agreements with the Class B common shareholders to exchange all outstanding Class B non-voting common stock for Class A voting common stock at a ratio of 1 share of Class A common stock for each 5 shares of Class B non-voting common stock. In calculating net income (loss) per diluted share for the prior quarters presented, the allocation of operating net income available to common stockholders was based on the weighted average shares outstanding per common share class to the total weighted average shares outstanding during each period. The operating net income allocation was calculated using the weighted average shares outstanding of Class B common stock on an as-converted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w:t>
      </w:r>
    </w:p>
    <w:p>
      <w:pPr>
        <w:sectPr>
          <w:pgSz w:w="11900" w:h="16838" w:orient="portrait"/>
          <w:cols w:equalWidth="0" w:num="1">
            <w:col w:w="9019"/>
          </w:cols>
          <w:pgMar w:left="1440" w:top="762" w:right="1440" w:bottom="1440" w:gutter="0" w:footer="0" w:header="0"/>
        </w:sectPr>
      </w:pPr>
    </w:p>
    <w:bookmarkStart w:id="12" w:name="page13"/>
    <w:bookmarkEnd w:id="1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105156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10425"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88900</wp:posOffset>
            </wp:positionV>
            <wp:extent cx="7210425" cy="56368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10425" cy="5636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
      <w:numFmt w:val="bullet"/>
      <w:start w:val="1"/>
    </w:lvl>
  </w:abstractNum>
  <w:abstractNum w:abstractNumId="4">
    <w:nsid w:val="5BD062C2"/>
    <w:multiLevelType w:val="hybridMultilevel"/>
    <w:lvl w:ilvl="0">
      <w:lvlJc w:val="left"/>
      <w:lvlText w:val="•"/>
      <w:numFmt w:val="bullet"/>
      <w:start w:val="1"/>
    </w:lvl>
  </w:abstractNum>
  <w:abstractNum w:abstractNumId="5">
    <w:nsid w:val="12200854"/>
    <w:multiLevelType w:val="hybridMultilevel"/>
    <w:lvl w:ilvl="0">
      <w:lvlJc w:val="left"/>
      <w:lvlText w:val="•"/>
      <w:numFmt w:val="bullet"/>
      <w:start w:val="1"/>
    </w:lvl>
  </w:abstractNum>
  <w:abstractNum w:abstractNumId="6">
    <w:nsid w:val="4DB127F8"/>
    <w:multiLevelType w:val="hybridMultilevel"/>
    <w:lvl w:ilvl="0">
      <w:lvlJc w:val="left"/>
      <w:lvlText w:val="•"/>
      <w:numFmt w:val="bullet"/>
      <w:start w:val="1"/>
    </w:lvl>
  </w:abstractNum>
  <w:abstractNum w:abstractNumId="7">
    <w:nsid w:val="216231B"/>
    <w:multiLevelType w:val="hybridMultilevel"/>
    <w:lvl w:ilvl="0">
      <w:lvlJc w:val="left"/>
      <w:lvlText w:val="•"/>
      <w:numFmt w:val="bullet"/>
      <w:start w:val="1"/>
    </w:lvl>
  </w:abstractNum>
  <w:abstractNum w:abstractNumId="8">
    <w:nsid w:val="1F16E9E8"/>
    <w:multiLevelType w:val="hybridMultilevel"/>
    <w:lvl w:ilvl="0">
      <w:lvlJc w:val="left"/>
      <w:lvlText w:val="(%1)"/>
      <w:numFmt w:val="decimal"/>
      <w:start w:val="1"/>
    </w:lvl>
  </w:abstractNum>
  <w:abstractNum w:abstractNumId="9">
    <w:nsid w:val="1190CDE7"/>
    <w:multiLevelType w:val="hybridMultilevel"/>
    <w:lvl w:ilvl="0">
      <w:lvlJc w:val="left"/>
      <w:lvlText w:val="(%1)"/>
      <w:numFmt w:val="decimal"/>
      <w:start w:val="1"/>
    </w:lvl>
  </w:abstractNum>
  <w:abstractNum w:abstractNumId="10">
    <w:nsid w:val="66EF438D"/>
    <w:multiLevelType w:val="hybridMultilevel"/>
    <w:lvl w:ilvl="0">
      <w:lvlJc w:val="left"/>
      <w:lvlText w:val="(%1)"/>
      <w:numFmt w:val="decimal"/>
      <w:start w:val="1"/>
    </w:lvl>
  </w:abstractNum>
  <w:abstractNum w:abstractNumId="11">
    <w:nsid w:val="140E0F76"/>
    <w:multiLevelType w:val="hybridMultilevel"/>
    <w:lvl w:ilvl="0">
      <w:lvlJc w:val="left"/>
      <w:lvlText w:val="(%1)"/>
      <w:numFmt w:val="decimal"/>
      <w:start w:val="1"/>
    </w:lvl>
  </w:abstractNum>
  <w:abstractNum w:abstractNumId="12">
    <w:nsid w:val="335225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2022-07-28T15:20:20Z</dcterms:created>
  <dcterms:modified xsi:type="dcterms:W3CDTF">2022-07-28T15:20:20Z</dcterms:modified>
</cp:coreProperties>
</file>