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938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93872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Howard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321"/>
        </w:trPr>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745 FIFTH AVENUE, SUITE 1702</w:t>
            </w:r>
          </w:p>
        </w:tc>
        <w:tc>
          <w:tcPr>
            <w:tcW w:w="1200" w:type="dxa"/>
            <w:vAlign w:val="bottom"/>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10151</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4"/>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3340" w:type="dxa"/>
            <w:vAlign w:val="bottom"/>
            <w:gridSpan w:val="2"/>
            <w:shd w:val="clear" w:color="auto" w:fill="0000EE"/>
          </w:tcPr>
          <w:p>
            <w:pPr>
              <w:spacing w:after="0" w:line="27" w:lineRule="exact"/>
              <w:rPr>
                <w:rFonts w:ascii="Times New Roman" w:cs="Times New Roman" w:eastAsia="Times New Roman" w:hAnsi="Times New Roman"/>
                <w:sz w:val="3"/>
                <w:szCs w:val="3"/>
                <w:color w:val="0000FF"/>
              </w:rPr>
            </w:pPr>
            <w:hyperlink r:id="rId13">
              <w:r>
                <w:rPr>
                  <w:rFonts w:ascii="Times New Roman" w:cs="Times New Roman" w:eastAsia="Times New Roman" w:hAnsi="Times New Roman"/>
                  <w:sz w:val="3"/>
                  <w:szCs w:val="3"/>
                  <w:color w:val="0000FF"/>
                </w:rPr>
                <w:t xml:space="preserve">USCB </w:t>
              </w:r>
              <w:r>
                <w:rPr>
                  <w:rFonts w:ascii="Times New Roman" w:cs="Times New Roman" w:eastAsia="Times New Roman" w:hAnsi="Times New Roman"/>
                  <w:sz w:val="3"/>
                  <w:szCs w:val="3"/>
                  <w:color w:val="000000"/>
                </w:rPr>
                <w:t>]</w:t>
              </w:r>
            </w:hyperlink>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ind w:left="6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4"/>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0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8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8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8"/>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8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03/08/2023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6,314</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296"/>
              <w:spacing w:after="0"/>
              <w:rPr>
                <w:sz w:val="20"/>
                <w:szCs w:val="20"/>
                <w:color w:val="auto"/>
              </w:rPr>
            </w:pPr>
            <w:r>
              <w:rPr>
                <w:rFonts w:ascii="Times New Roman" w:cs="Times New Roman" w:eastAsia="Times New Roman" w:hAnsi="Times New Roman"/>
                <w:sz w:val="17"/>
                <w:szCs w:val="17"/>
                <w:color w:val="0000FF"/>
              </w:rPr>
              <w:t>6,314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Priam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0000FF"/>
              </w:rPr>
              <w:t>4,485,909</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line="272"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9"/>
              </w:rPr>
              <w:t>Voting</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8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03/01/2016</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7,500</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9"/>
              </w:rPr>
              <w:t>Voting</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2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5"/>
          </w:tcPr>
          <w:p>
            <w:pPr>
              <w:spacing w:after="0" w:line="223"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Feinglass Howard</w:t>
              </w:r>
            </w:hyperlink>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3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10151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3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5"/>
          </w:tcPr>
          <w:p>
            <w:pPr>
              <w:spacing w:after="0" w:line="22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Priam Capital Fund II, L.P.</w:t>
              </w:r>
            </w:hyperlink>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3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33"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MIAMI</w:t>
      </w:r>
      <w:r>
        <w:rPr>
          <w:sz w:val="20"/>
          <w:szCs w:val="20"/>
          <w:color w:val="auto"/>
        </w:rPr>
        <w:tab/>
      </w:r>
      <w:r>
        <w:rPr>
          <w:rFonts w:ascii="Times New Roman" w:cs="Times New Roman" w:eastAsia="Times New Roman" w:hAnsi="Times New Roman"/>
          <w:sz w:val="17"/>
          <w:szCs w:val="17"/>
          <w:color w:val="0000FF"/>
        </w:rPr>
        <w:t>FL</w:t>
      </w:r>
      <w:r>
        <w:rPr>
          <w:sz w:val="20"/>
          <w:szCs w:val="20"/>
          <w:color w:val="auto"/>
        </w:rPr>
        <w:tab/>
      </w:r>
      <w:r>
        <w:rPr>
          <w:rFonts w:ascii="Times New Roman" w:cs="Times New Roman" w:eastAsia="Times New Roman" w:hAnsi="Times New Roman"/>
          <w:sz w:val="16"/>
          <w:szCs w:val="16"/>
          <w:color w:val="0000FF"/>
        </w:rPr>
        <w:t>33172</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Priam Capital Associates II LLC</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15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32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10151</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1899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5430" cy="18992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6,314 shares of restricted stock which vest on December 31, 2023.</w:t>
      </w:r>
    </w:p>
    <w:p>
      <w:pPr>
        <w:spacing w:after="0" w:line="45" w:lineRule="exact"/>
        <w:rPr>
          <w:rFonts w:ascii="Times New Roman" w:cs="Times New Roman" w:eastAsia="Times New Roman" w:hAnsi="Times New Roman"/>
          <w:sz w:val="13"/>
          <w:szCs w:val="13"/>
          <w:color w:val="008000"/>
        </w:rPr>
      </w:pPr>
    </w:p>
    <w:p>
      <w:pPr>
        <w:ind w:left="20" w:firstLine="3"/>
        <w:spacing w:after="0" w:line="23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Priam Capital Fund II, L.P. ("Priam Capital II") directly holds 4,485,909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p>
      <w:pPr>
        <w:spacing w:after="0" w:line="27" w:lineRule="exact"/>
        <w:rPr>
          <w:rFonts w:ascii="Times New Roman" w:cs="Times New Roman" w:eastAsia="Times New Roman" w:hAnsi="Times New Roman"/>
          <w:sz w:val="13"/>
          <w:szCs w:val="13"/>
          <w:color w:val="008000"/>
        </w:rPr>
      </w:pPr>
    </w:p>
    <w:p>
      <w:pPr>
        <w:ind w:left="20" w:right="12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Class A Voting Common Stock remains exercisable until the earlier of (a) 10 years after its date of grant or (b) three months after the date Mr. Feinglass ceases to serve as a non-employee director of the Issuer.</w:t>
      </w:r>
    </w:p>
    <w:p>
      <w:pPr>
        <w:sectPr>
          <w:pgSz w:w="11900" w:h="16838" w:orient="portrait"/>
          <w:cols w:equalWidth="0" w:num="1">
            <w:col w:w="10740"/>
          </w:cols>
          <w:pgMar w:left="480" w:top="296" w:right="679" w:bottom="1440" w:gutter="0" w:footer="0" w:header="0"/>
        </w:sectPr>
      </w:pP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Jalal Shehadeh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1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33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Priam Capital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308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LLC Jalal Shehadeh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-6985</wp:posOffset>
            </wp:positionV>
            <wp:extent cx="1317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19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3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25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2585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Priam 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90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Jalal Shehadeh by P.O.A.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395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66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3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311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48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878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60" w:space="120"/>
            <w:col w:w="1960"/>
          </w:cols>
          <w:pgMar w:left="480" w:top="296"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200" w:firstLine="3"/>
        <w:spacing w:after="0" w:line="313" w:lineRule="auto"/>
        <w:tabs>
          <w:tab w:leader="none" w:pos="15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40"/>
          </w:cols>
          <w:pgMar w:left="480" w:top="296" w:right="67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30"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47" w:lineRule="exact"/>
        <w:rPr>
          <w:sz w:val="20"/>
          <w:szCs w:val="20"/>
          <w:color w:val="auto"/>
        </w:rPr>
      </w:pPr>
    </w:p>
    <w:p>
      <w:pPr>
        <w:jc w:val="both"/>
        <w:ind w:firstLine="630"/>
        <w:spacing w:after="0" w:line="275" w:lineRule="auto"/>
        <w:tabs>
          <w:tab w:leader="none" w:pos="8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and in his capacity as managing member of Priam Capital Associates II, LLC, on its own behalf and as the general partner of Priam Capital Fund II, LP, Forms 3, 4, and 5 in accordance with Section 16(a) of the Securities Exchange Act of 1934, and the rules and regulations promulgated thereunder (the “Exchange Act”);</w:t>
      </w:r>
    </w:p>
    <w:p>
      <w:pPr>
        <w:spacing w:after="0" w:line="161" w:lineRule="exact"/>
        <w:rPr>
          <w:rFonts w:ascii="Times New Roman" w:cs="Times New Roman" w:eastAsia="Times New Roman" w:hAnsi="Times New Roman"/>
          <w:sz w:val="17"/>
          <w:szCs w:val="17"/>
          <w:color w:val="auto"/>
        </w:rPr>
      </w:pPr>
    </w:p>
    <w:p>
      <w:pPr>
        <w:jc w:val="both"/>
        <w:ind w:firstLine="630"/>
        <w:spacing w:after="0" w:line="275" w:lineRule="auto"/>
        <w:tabs>
          <w:tab w:leader="none" w:pos="87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1" w:lineRule="exact"/>
        <w:rPr>
          <w:rFonts w:ascii="Times New Roman" w:cs="Times New Roman" w:eastAsia="Times New Roman" w:hAnsi="Times New Roman"/>
          <w:sz w:val="17"/>
          <w:szCs w:val="17"/>
          <w:color w:val="auto"/>
        </w:rPr>
      </w:pPr>
    </w:p>
    <w:p>
      <w:pPr>
        <w:jc w:val="both"/>
        <w:ind w:firstLine="630"/>
        <w:spacing w:after="0" w:line="268" w:lineRule="auto"/>
        <w:tabs>
          <w:tab w:leader="none" w:pos="87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4"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10th day of March 2023.</w:t>
      </w:r>
    </w:p>
    <w:p>
      <w:pPr>
        <w:spacing w:after="0" w:line="200" w:lineRule="exact"/>
        <w:rPr>
          <w:sz w:val="20"/>
          <w:szCs w:val="20"/>
          <w:color w:val="auto"/>
        </w:rPr>
      </w:pPr>
    </w:p>
    <w:p>
      <w:pPr>
        <w:spacing w:after="0" w:line="2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By:/s/ Howard P. Feinglass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-123190</wp:posOffset>
            </wp:positionV>
            <wp:extent cx="26809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732866" TargetMode="External"/><Relationship Id="rId13" Type="http://schemas.openxmlformats.org/officeDocument/2006/relationships/hyperlink" Target="http://www.sec.gov/cgi-bin/browse-edgar?action=getcompany&amp;CIK=0001901637" TargetMode="External"/><Relationship Id="rId14" Type="http://schemas.openxmlformats.org/officeDocument/2006/relationships/hyperlink" Target="http://www.sec.gov/cgi-bin/browse-edgar?action=getcompany&amp;CIK=0001874961" TargetMode="External"/><Relationship Id="rId15" Type="http://schemas.openxmlformats.org/officeDocument/2006/relationships/hyperlink" Target="http://www.sec.gov/cgi-bin/browse-edgar?action=getcompany&amp;CIK=00018751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2023-03-10T13:23:48Z</dcterms:created>
  <dcterms:modified xsi:type="dcterms:W3CDTF">2023-03-10T13:23:48Z</dcterms:modified>
</cp:coreProperties>
</file>