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of  Report  (Date  of  earliest</w:t>
            </w:r>
          </w:p>
        </w:tc>
        <w:tc>
          <w:tcPr>
            <w:tcW w:w="4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eventDecember 27, 2023</w:t>
            </w:r>
          </w:p>
        </w:tc>
        <w:tc>
          <w:tcPr>
            <w:tcW w:w="3080" w:type="dxa"/>
            <w:vAlign w:val="bottom"/>
          </w:tcPr>
          <w:p>
            <w:pPr>
              <w:spacing w:after="0"/>
              <w:rPr>
                <w:sz w:val="18"/>
                <w:szCs w:val="18"/>
                <w:color w:val="auto"/>
              </w:rPr>
            </w:pPr>
          </w:p>
        </w:tc>
      </w:tr>
      <w:tr>
        <w:trPr>
          <w:trHeight w:val="221"/>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reported)</w:t>
            </w:r>
          </w:p>
        </w:tc>
        <w:tc>
          <w:tcPr>
            <w:tcW w:w="460" w:type="dxa"/>
            <w:vAlign w:val="bottom"/>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spacing w:after="0"/>
              <w:rPr>
                <w:sz w:val="19"/>
                <w:szCs w:val="19"/>
                <w:color w:val="auto"/>
              </w:rPr>
            </w:pPr>
          </w:p>
        </w:tc>
      </w:tr>
      <w:tr>
        <w:trPr>
          <w:trHeight w:val="426"/>
        </w:trPr>
        <w:tc>
          <w:tcPr>
            <w:tcW w:w="29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USCB Financial Holdings, Inc.</w:t>
            </w:r>
          </w:p>
        </w:tc>
        <w:tc>
          <w:tcPr>
            <w:tcW w:w="3080" w:type="dxa"/>
            <w:vAlign w:val="bottom"/>
            <w:tcBorders>
              <w:bottom w:val="single" w:sz="8" w:color="auto"/>
            </w:tcBorders>
          </w:tcPr>
          <w:p>
            <w:pPr>
              <w:spacing w:after="0"/>
              <w:rPr>
                <w:sz w:val="24"/>
                <w:szCs w:val="24"/>
                <w:color w:val="auto"/>
              </w:rPr>
            </w:pPr>
          </w:p>
        </w:tc>
      </w:tr>
      <w:tr>
        <w:trPr>
          <w:trHeight w:val="228"/>
        </w:trPr>
        <w:tc>
          <w:tcPr>
            <w:tcW w:w="2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5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080" w:type="dxa"/>
            <w:vAlign w:val="bottom"/>
          </w:tcPr>
          <w:p>
            <w:pPr>
              <w:spacing w:after="0"/>
              <w:rPr>
                <w:sz w:val="19"/>
                <w:szCs w:val="19"/>
                <w:color w:val="auto"/>
              </w:rPr>
            </w:pPr>
          </w:p>
        </w:tc>
      </w:tr>
      <w:tr>
        <w:trPr>
          <w:trHeight w:val="414"/>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Florida</w:t>
            </w:r>
          </w:p>
        </w:tc>
        <w:tc>
          <w:tcPr>
            <w:tcW w:w="498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001-41196</w:t>
            </w:r>
          </w:p>
        </w:tc>
        <w:tc>
          <w:tcPr>
            <w:tcW w:w="308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w w:val="98"/>
              </w:rPr>
              <w:t>87-4070846</w:t>
            </w:r>
          </w:p>
        </w:tc>
      </w:tr>
      <w:tr>
        <w:trPr>
          <w:trHeight w:val="191"/>
        </w:trPr>
        <w:tc>
          <w:tcPr>
            <w:tcW w:w="2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60" w:type="dxa"/>
            <w:vAlign w:val="bottom"/>
          </w:tcPr>
          <w:p>
            <w:pPr>
              <w:spacing w:after="0"/>
              <w:rPr>
                <w:sz w:val="16"/>
                <w:szCs w:val="16"/>
                <w:color w:val="auto"/>
              </w:rPr>
            </w:pPr>
          </w:p>
        </w:tc>
        <w:tc>
          <w:tcPr>
            <w:tcW w:w="4520" w:type="dxa"/>
            <w:vAlign w:val="bottom"/>
          </w:tcPr>
          <w:p>
            <w:pPr>
              <w:jc w:val="center"/>
              <w:ind w:right="250"/>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3080" w:type="dxa"/>
            <w:vAlign w:val="bottom"/>
          </w:tcPr>
          <w:p>
            <w:pPr>
              <w:jc w:val="center"/>
              <w:ind w:right="49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of incorporation)</w:t>
            </w:r>
          </w:p>
        </w:tc>
        <w:tc>
          <w:tcPr>
            <w:tcW w:w="4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0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2301 N.W. 87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Doral, Florida</w:t>
            </w:r>
          </w:p>
        </w:tc>
        <w:tc>
          <w:tcPr>
            <w:tcW w:w="4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33172</w:t>
            </w:r>
          </w:p>
        </w:tc>
      </w:tr>
      <w:tr>
        <w:trPr>
          <w:trHeight w:val="22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6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3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Registrant’s  telephone  number,  including  area(305) 715-5200</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2286000</wp:posOffset>
            </wp:positionH>
            <wp:positionV relativeFrom="paragraph">
              <wp:posOffset>-1905</wp:posOffset>
            </wp:positionV>
            <wp:extent cx="46977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97730"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862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40"/>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40"/>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40"/>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40"/>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4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233"/>
        </w:trPr>
        <w:tc>
          <w:tcPr>
            <w:tcW w:w="1280" w:type="dxa"/>
            <w:vAlign w:val="bottom"/>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r>
      <w:tr>
        <w:trPr>
          <w:trHeight w:val="174"/>
        </w:trPr>
        <w:tc>
          <w:tcPr>
            <w:tcW w:w="1280" w:type="dxa"/>
            <w:vAlign w:val="bottom"/>
            <w:tcBorders>
              <w:right w:val="single" w:sz="8" w:color="auto"/>
            </w:tcBorders>
          </w:tcPr>
          <w:p>
            <w:pPr>
              <w:spacing w:after="0"/>
              <w:rPr>
                <w:sz w:val="15"/>
                <w:szCs w:val="15"/>
                <w:color w:val="auto"/>
              </w:rPr>
            </w:pPr>
          </w:p>
        </w:tc>
        <w:tc>
          <w:tcPr>
            <w:tcW w:w="3060" w:type="dxa"/>
            <w:vAlign w:val="bottom"/>
            <w:tcBorders>
              <w:right w:val="single" w:sz="8" w:color="auto"/>
            </w:tcBorders>
          </w:tcPr>
          <w:p>
            <w:pPr>
              <w:spacing w:after="0"/>
              <w:rPr>
                <w:sz w:val="15"/>
                <w:szCs w:val="15"/>
                <w:color w:val="auto"/>
              </w:rPr>
            </w:pPr>
          </w:p>
        </w:tc>
        <w:tc>
          <w:tcPr>
            <w:tcW w:w="27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Trading</w:t>
            </w:r>
          </w:p>
        </w:tc>
        <w:tc>
          <w:tcPr>
            <w:tcW w:w="26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51"/>
        </w:trPr>
        <w:tc>
          <w:tcPr>
            <w:tcW w:w="1280" w:type="dxa"/>
            <w:vAlign w:val="bottom"/>
            <w:tcBorders>
              <w:right w:val="single" w:sz="8" w:color="auto"/>
            </w:tcBorders>
          </w:tcPr>
          <w:p>
            <w:pPr>
              <w:spacing w:after="0"/>
              <w:rPr>
                <w:sz w:val="21"/>
                <w:szCs w:val="21"/>
                <w:color w:val="auto"/>
              </w:rPr>
            </w:pPr>
          </w:p>
        </w:tc>
        <w:tc>
          <w:tcPr>
            <w:tcW w:w="3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Symbol(s)</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193"/>
        </w:trPr>
        <w:tc>
          <w:tcPr>
            <w:tcW w:w="1280" w:type="dxa"/>
            <w:vAlign w:val="bottom"/>
            <w:tcBorders>
              <w:right w:val="single" w:sz="8" w:color="auto"/>
            </w:tcBorders>
          </w:tcPr>
          <w:p>
            <w:pPr>
              <w:spacing w:after="0"/>
              <w:rPr>
                <w:sz w:val="16"/>
                <w:szCs w:val="16"/>
                <w:color w:val="auto"/>
              </w:rPr>
            </w:pPr>
          </w:p>
        </w:tc>
        <w:tc>
          <w:tcPr>
            <w:tcW w:w="30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2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USCB</w:t>
            </w:r>
          </w:p>
        </w:tc>
        <w:tc>
          <w:tcPr>
            <w:tcW w:w="26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7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120"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617220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441"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Item 8.01  </w:t>
      </w:r>
      <w:r>
        <w:rPr>
          <w:rFonts w:ascii="Times New Roman" w:cs="Times New Roman" w:eastAsia="Times New Roman" w:hAnsi="Times New Roman"/>
          <w:sz w:val="18"/>
          <w:szCs w:val="18"/>
          <w:b w:val="1"/>
          <w:bCs w:val="1"/>
          <w:u w:val="single" w:color="auto"/>
          <w:color w:val="auto"/>
        </w:rPr>
        <w:t>Other Events.</w:t>
      </w:r>
    </w:p>
    <w:p>
      <w:pPr>
        <w:spacing w:after="0" w:line="229" w:lineRule="exact"/>
        <w:rPr>
          <w:sz w:val="20"/>
          <w:szCs w:val="20"/>
          <w:color w:val="auto"/>
        </w:rPr>
      </w:pPr>
    </w:p>
    <w:p>
      <w:pPr>
        <w:jc w:val="both"/>
        <w:ind w:left="900"/>
        <w:spacing w:after="0" w:line="253" w:lineRule="auto"/>
        <w:rPr>
          <w:sz w:val="20"/>
          <w:szCs w:val="20"/>
          <w:color w:val="auto"/>
        </w:rPr>
      </w:pPr>
      <w:r>
        <w:rPr>
          <w:rFonts w:ascii="Times New Roman" w:cs="Times New Roman" w:eastAsia="Times New Roman" w:hAnsi="Times New Roman"/>
          <w:sz w:val="18"/>
          <w:szCs w:val="18"/>
          <w:color w:val="auto"/>
        </w:rPr>
        <w:t>USCB Financial Holdings, Inc. (the “Company”) previously disclosed that litigation (the “Litigation”) had been commenced on July 13, 2023 by three individuals who were shareholders of U.S. Century Bank (the “Bank”) prior to the Bank’s reorganization into the holding company form of organization (the “Plaintiffs”) against six persons, all of whom were directors of the Bank at the relevant time (the “Defendants”), in the Circuit Court, Eleventh Judicial Circuit for Miami-Dade County, Florida (the “Court”) (Benes et al. v. de la Aguilera et al.) alleging the Defendants (i) caused the Bank, as directors thereof, to engage in ultra vires conduct by devising and approving the exchange transaction effected in July 2021 pursuant to which the Bank’s then outstanding Class C and Class D preferred stock was exchanged for Class A voting common stock in the Bank (the “Exchange Transaction”), which action the Plaintiffs allege was not permitted by the Bank’s Articles of Incorporation, and (ii) breached their fiduciary duty as directors of the Bank by approving and engaging in the Exchange Transaction. The Plaintiffs sought the Court to certify the action as a class action and to award damages in an amount to be proven at trial. Plaintiffs sought damages exceeding $750,000 plus attorney’s fees and costs as well as such other relief as the Court determined to award.</w:t>
      </w:r>
    </w:p>
    <w:p>
      <w:pPr>
        <w:spacing w:after="0" w:line="194" w:lineRule="exact"/>
        <w:rPr>
          <w:sz w:val="20"/>
          <w:szCs w:val="20"/>
          <w:color w:val="auto"/>
        </w:rPr>
      </w:pPr>
    </w:p>
    <w:p>
      <w:pPr>
        <w:jc w:val="both"/>
        <w:ind w:left="900"/>
        <w:spacing w:after="0" w:line="261" w:lineRule="auto"/>
        <w:rPr>
          <w:sz w:val="20"/>
          <w:szCs w:val="20"/>
          <w:color w:val="auto"/>
        </w:rPr>
      </w:pPr>
      <w:r>
        <w:rPr>
          <w:rFonts w:ascii="Times New Roman" w:cs="Times New Roman" w:eastAsia="Times New Roman" w:hAnsi="Times New Roman"/>
          <w:sz w:val="18"/>
          <w:szCs w:val="18"/>
          <w:color w:val="auto"/>
        </w:rPr>
        <w:t>The Defendants filed a motion to dismiss the Litigation with prejudice (the “Motion”). On December 27, 2023, the Court, after reviewing the Motion, the Plaintiff’s response thereto and the Defendant’s reply as well as the oral arguments presented by the parties on December 14, 2023, granted the Motion, dismissing the Litigation with prejudice and rendering final judgment in favor of the Defendants. The Court reserved jurisdiction to award costs or grant any post-judgment relief.</w:t>
      </w:r>
    </w:p>
    <w:p>
      <w:pPr>
        <w:spacing w:after="0" w:line="392" w:lineRule="exact"/>
        <w:rPr>
          <w:sz w:val="20"/>
          <w:szCs w:val="20"/>
          <w:color w:val="auto"/>
        </w:rPr>
      </w:pPr>
    </w:p>
    <w:p>
      <w:pPr>
        <w:ind w:left="2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19685</wp:posOffset>
            </wp:positionV>
            <wp:extent cx="34201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23" w:lineRule="exact"/>
        <w:rPr>
          <w:sz w:val="20"/>
          <w:szCs w:val="20"/>
          <w:color w:val="auto"/>
        </w:rPr>
      </w:pPr>
    </w:p>
    <w:p>
      <w:pPr>
        <w:ind w:left="1320" w:hanging="65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320" w:hanging="65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320" w:hanging="65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320" w:hanging="65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p>
      <w:pPr>
        <w:ind w:left="74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19685</wp:posOffset>
            </wp:positionV>
            <wp:extent cx="3789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11" w:lineRule="exact"/>
        <w:rPr>
          <w:sz w:val="20"/>
          <w:szCs w:val="20"/>
          <w:color w:val="auto"/>
        </w:rPr>
      </w:pPr>
    </w:p>
    <w:p>
      <w:pPr>
        <w:ind w:left="740"/>
        <w:spacing w:after="0"/>
        <w:tabs>
          <w:tab w:leader="none" w:pos="1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(embedded within the Inline XBRL document)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USCB FINANCIAL HOLDINGS, INC.</w:t>
      </w:r>
    </w:p>
    <w:p>
      <w:pPr>
        <w:spacing w:after="0" w:line="200" w:lineRule="exact"/>
        <w:rPr>
          <w:sz w:val="20"/>
          <w:szCs w:val="20"/>
          <w:color w:val="auto"/>
        </w:rPr>
      </w:pPr>
    </w:p>
    <w:p>
      <w:pPr>
        <w:spacing w:after="0" w:line="241" w:lineRule="exact"/>
        <w:rPr>
          <w:sz w:val="20"/>
          <w:szCs w:val="20"/>
          <w:color w:val="auto"/>
        </w:rPr>
      </w:pPr>
    </w:p>
    <w:tbl>
      <w:tblPr>
        <w:tblLayout w:type="fixed"/>
        <w:tblInd w:w="360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Anderson</w:t>
            </w:r>
          </w:p>
        </w:tc>
      </w:tr>
      <w:tr>
        <w:trPr>
          <w:trHeight w:val="191"/>
        </w:trPr>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Anderson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 2024</w:t>
      </w:r>
    </w:p>
    <w:sectPr>
      <w:pgSz w:w="11900" w:h="16838" w:orient="portrait"/>
      <w:cols w:equalWidth="0" w:num="1">
        <w:col w:w="10120"/>
      </w:cols>
      <w:pgMar w:left="880" w:top="576"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2024-01-02T15:47:59Z</dcterms:created>
  <dcterms:modified xsi:type="dcterms:W3CDTF">2024-01-02T15:47:59Z</dcterms:modified>
</cp:coreProperties>
</file>