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306"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Filed Pursuant to Rule 424(b)(3)</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333-291367</w:t>
      </w:r>
    </w:p>
    <w:p>
      <w:pPr>
        <w:spacing w:after="0" w:line="13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1616710</wp:posOffset>
            </wp:positionH>
            <wp:positionV relativeFrom="paragraph">
              <wp:posOffset>97155</wp:posOffset>
            </wp:positionV>
            <wp:extent cx="3909060" cy="5054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909060" cy="50546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4"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40"/>
          <w:szCs w:val="40"/>
          <w:b w:val="1"/>
          <w:bCs w:val="1"/>
          <w:color w:val="auto"/>
        </w:rPr>
        <w:t>USCB FINANCIAL HOLDINGS, INC.</w:t>
      </w:r>
    </w:p>
    <w:p>
      <w:pPr>
        <w:spacing w:after="0" w:line="116"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Offer to Exchange</w:t>
      </w:r>
    </w:p>
    <w:p>
      <w:pPr>
        <w:spacing w:after="0" w:line="9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Up to $40,000,000 aggregate principal amount of</w:t>
      </w:r>
    </w:p>
    <w:p>
      <w:pPr>
        <w:spacing w:after="0" w:line="18" w:lineRule="exact"/>
        <w:rPr>
          <w:sz w:val="24"/>
          <w:szCs w:val="24"/>
          <w:color w:val="auto"/>
        </w:rPr>
      </w:pPr>
    </w:p>
    <w:p>
      <w:pPr>
        <w:jc w:val="center"/>
        <w:ind w:left="420" w:right="2720"/>
        <w:spacing w:after="0" w:line="230" w:lineRule="auto"/>
        <w:rPr>
          <w:sz w:val="20"/>
          <w:szCs w:val="20"/>
          <w:color w:val="auto"/>
        </w:rPr>
      </w:pPr>
      <w:r>
        <w:rPr>
          <w:rFonts w:ascii="Times New Roman" w:cs="Times New Roman" w:eastAsia="Times New Roman" w:hAnsi="Times New Roman"/>
          <w:sz w:val="22"/>
          <w:szCs w:val="22"/>
          <w:b w:val="1"/>
          <w:bCs w:val="1"/>
          <w:color w:val="auto"/>
        </w:rPr>
        <w:t>7.625% Fixed-to-Floating Rate Subordinated Notes due 2035 that have been registered under the Securities Act of 1933 for any and all outstanding unregistered</w:t>
      </w:r>
    </w:p>
    <w:p>
      <w:pPr>
        <w:spacing w:after="0" w:line="2" w:lineRule="exact"/>
        <w:rPr>
          <w:sz w:val="24"/>
          <w:szCs w:val="24"/>
          <w:color w:val="auto"/>
        </w:rPr>
      </w:pPr>
    </w:p>
    <w:p>
      <w:pPr>
        <w:ind w:left="2820"/>
        <w:spacing w:after="0"/>
        <w:rPr>
          <w:sz w:val="20"/>
          <w:szCs w:val="20"/>
          <w:color w:val="auto"/>
        </w:rPr>
      </w:pPr>
      <w:r>
        <w:rPr>
          <w:rFonts w:ascii="Times New Roman" w:cs="Times New Roman" w:eastAsia="Times New Roman" w:hAnsi="Times New Roman"/>
          <w:sz w:val="22"/>
          <w:szCs w:val="22"/>
          <w:b w:val="1"/>
          <w:bCs w:val="1"/>
          <w:color w:val="auto"/>
        </w:rPr>
        <w:t>7.625% Fixed-to-Floating Rate Subordinated Notes due 2035</w:t>
      </w:r>
    </w:p>
    <w:p>
      <w:pPr>
        <w:spacing w:after="0" w:line="3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 exchange offer will expire at 11:59 p.m., New York City time, on February 11, 2026, unless extended.</w:t>
      </w:r>
    </w:p>
    <w:p>
      <w:pPr>
        <w:spacing w:after="0" w:line="85" w:lineRule="exact"/>
        <w:rPr>
          <w:sz w:val="24"/>
          <w:szCs w:val="24"/>
          <w:color w:val="auto"/>
        </w:rPr>
      </w:pPr>
    </w:p>
    <w:p>
      <w:pPr>
        <w:jc w:val="both"/>
        <w:ind w:left="120" w:right="80" w:firstLine="440"/>
        <w:spacing w:after="0" w:line="272" w:lineRule="auto"/>
        <w:rPr>
          <w:sz w:val="20"/>
          <w:szCs w:val="20"/>
          <w:color w:val="auto"/>
        </w:rPr>
      </w:pPr>
      <w:r>
        <w:rPr>
          <w:rFonts w:ascii="Times New Roman" w:cs="Times New Roman" w:eastAsia="Times New Roman" w:hAnsi="Times New Roman"/>
          <w:sz w:val="16"/>
          <w:szCs w:val="16"/>
          <w:color w:val="auto"/>
        </w:rPr>
        <w:t>We are offering to exchange 7.625% Fixed-to-Floating Rate Subordinated Notes due 2035 that have been registered under the Securities Act of 1933, as amended (“Securities Act”), which we refer to in this prospectus as the “New Notes,” for any and all of our outstanding unregistered 7.625% Fixed-to-Floating Rate Subordinated Notes due 2035 that we issued in a private placement on August 14, 2025, which we refer to in this prospectus as the “Old Notes.” We are making this offer to exchange the New Notes for the Old Notes to satisfy our obligations under a registration rights agreement that we entered into with the purchasers of the Old Notes in connection with our issuance of the Old Notes to those purchasers.</w:t>
      </w:r>
    </w:p>
    <w:p>
      <w:pPr>
        <w:spacing w:after="0" w:line="51" w:lineRule="exact"/>
        <w:rPr>
          <w:sz w:val="24"/>
          <w:szCs w:val="24"/>
          <w:color w:val="auto"/>
        </w:rPr>
      </w:pPr>
    </w:p>
    <w:p>
      <w:pPr>
        <w:ind w:left="120" w:right="20" w:firstLine="440"/>
        <w:spacing w:after="0" w:line="281" w:lineRule="auto"/>
        <w:rPr>
          <w:sz w:val="20"/>
          <w:szCs w:val="20"/>
          <w:color w:val="auto"/>
        </w:rPr>
      </w:pPr>
      <w:r>
        <w:rPr>
          <w:rFonts w:ascii="Times New Roman" w:cs="Times New Roman" w:eastAsia="Times New Roman" w:hAnsi="Times New Roman"/>
          <w:sz w:val="16"/>
          <w:szCs w:val="16"/>
          <w:color w:val="auto"/>
        </w:rPr>
        <w:t>We will not receive any cash proceeds from this exchange offer. The issuance of the New Notes in exchange for the Old Notes will not result in any increase in our outstanding indebtedness. Old Notes that are not exchanged for New Notes in this exchange offer will remain outstanding. The exchange offer is not subject to any minimum tender condition, but is subject to certain customary conditions.</w:t>
      </w:r>
    </w:p>
    <w:p>
      <w:pPr>
        <w:spacing w:after="0" w:line="29" w:lineRule="exact"/>
        <w:rPr>
          <w:sz w:val="24"/>
          <w:szCs w:val="24"/>
          <w:color w:val="auto"/>
        </w:rPr>
      </w:pPr>
    </w:p>
    <w:p>
      <w:pPr>
        <w:ind w:left="120" w:right="160" w:firstLine="440"/>
        <w:spacing w:after="0" w:line="271" w:lineRule="auto"/>
        <w:rPr>
          <w:sz w:val="20"/>
          <w:szCs w:val="20"/>
          <w:color w:val="auto"/>
        </w:rPr>
      </w:pPr>
      <w:r>
        <w:rPr>
          <w:rFonts w:ascii="Times New Roman" w:cs="Times New Roman" w:eastAsia="Times New Roman" w:hAnsi="Times New Roman"/>
          <w:sz w:val="16"/>
          <w:szCs w:val="16"/>
          <w:color w:val="auto"/>
        </w:rPr>
        <w:t>Upon expiration of the exchange offer, all Old Notes that have been validly tendered and not withdrawn will be exchanged for an equal principal amount of New Notes. The terms of the New Notes are identical in all material respects to the terms of the Old Notes, except that the New Notes are registered under the Securities Act and are generally not subject to transfer restrictions, are not entitled to registration rights under the registration rights agreement that we entered into with the initial purchasers of the Old Notes and do not have the right to additional interest under the circumstances described in that registration rights agreement relating to our fulfillment of our registration obligations. The New Notes evidence the same debt as the Old Notes and are governed by the same indenture under which the Old Notes were issued.</w:t>
      </w:r>
    </w:p>
    <w:p>
      <w:pPr>
        <w:spacing w:after="0" w:line="36" w:lineRule="exact"/>
        <w:rPr>
          <w:sz w:val="24"/>
          <w:szCs w:val="24"/>
          <w:color w:val="auto"/>
        </w:rPr>
      </w:pPr>
    </w:p>
    <w:p>
      <w:pPr>
        <w:ind w:left="120" w:right="80" w:firstLine="440"/>
        <w:spacing w:after="0" w:line="281" w:lineRule="auto"/>
        <w:rPr>
          <w:sz w:val="20"/>
          <w:szCs w:val="20"/>
          <w:color w:val="auto"/>
        </w:rPr>
      </w:pPr>
      <w:r>
        <w:rPr>
          <w:rFonts w:ascii="Times New Roman" w:cs="Times New Roman" w:eastAsia="Times New Roman" w:hAnsi="Times New Roman"/>
          <w:sz w:val="16"/>
          <w:szCs w:val="16"/>
          <w:color w:val="auto"/>
        </w:rPr>
        <w:t>There is no existing public market for the Old Notes or the New Notes and we do not expect any public market to develop in the future for either the Old Notes or the New Notes. The Old Notes are not listed on any national securities exchange or quotation system and we do not intend to list the New Notes on any national securities exchange or quotation system.</w:t>
      </w:r>
    </w:p>
    <w:p>
      <w:pPr>
        <w:spacing w:after="0" w:line="42" w:lineRule="exact"/>
        <w:rPr>
          <w:sz w:val="24"/>
          <w:szCs w:val="24"/>
          <w:color w:val="auto"/>
        </w:rPr>
      </w:pPr>
    </w:p>
    <w:p>
      <w:pPr>
        <w:ind w:left="120" w:right="180" w:firstLine="440"/>
        <w:spacing w:after="0" w:line="298" w:lineRule="auto"/>
        <w:rPr>
          <w:sz w:val="20"/>
          <w:szCs w:val="20"/>
          <w:color w:val="auto"/>
        </w:rPr>
      </w:pPr>
      <w:r>
        <w:rPr>
          <w:rFonts w:ascii="Times New Roman" w:cs="Times New Roman" w:eastAsia="Times New Roman" w:hAnsi="Times New Roman"/>
          <w:sz w:val="16"/>
          <w:szCs w:val="16"/>
          <w:color w:val="auto"/>
        </w:rPr>
        <w:t>You may withdraw your tender of Old Notes at any time prior to the expiration of the exchange offer. We will exchange all of the outstanding Old Notes that are validly tendered and not validly withdrawn prior to the expiration of the exchange offer for an equal principal amount of New Notes.</w:t>
      </w:r>
    </w:p>
    <w:p>
      <w:pPr>
        <w:spacing w:after="0" w:line="16" w:lineRule="exact"/>
        <w:rPr>
          <w:sz w:val="24"/>
          <w:szCs w:val="24"/>
          <w:color w:val="auto"/>
        </w:rPr>
      </w:pPr>
    </w:p>
    <w:p>
      <w:pPr>
        <w:ind w:left="120" w:right="100" w:firstLine="440"/>
        <w:spacing w:after="0" w:line="275" w:lineRule="auto"/>
        <w:rPr>
          <w:sz w:val="20"/>
          <w:szCs w:val="20"/>
          <w:color w:val="auto"/>
        </w:rPr>
      </w:pPr>
      <w:r>
        <w:rPr>
          <w:rFonts w:ascii="Times New Roman" w:cs="Times New Roman" w:eastAsia="Times New Roman" w:hAnsi="Times New Roman"/>
          <w:sz w:val="16"/>
          <w:szCs w:val="16"/>
          <w:color w:val="auto"/>
        </w:rPr>
        <w:t>Each broker-dealer that receives New Notes for its own account pursuant to the exchange offer must acknowledge that it will deliver a prospectus meeting the requirements of the Securities Act in connection with any resale of such New Notes. A broker-dealer that acquired Old Notes because of market-making or other trading activities may use this prospectus, as supplemented or amended from time to time, in connection with resales of the New Notes for a period of 180 days after the completion of the exchange offer. See “Plan of Distribution.”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107950</wp:posOffset>
            </wp:positionV>
            <wp:extent cx="14744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17" w:lineRule="exact"/>
        <w:rPr>
          <w:sz w:val="24"/>
          <w:szCs w:val="24"/>
          <w:color w:val="auto"/>
        </w:rPr>
      </w:pPr>
    </w:p>
    <w:p>
      <w:pPr>
        <w:ind w:left="120" w:right="40" w:firstLine="440"/>
        <w:spacing w:after="0" w:line="250" w:lineRule="auto"/>
        <w:rPr>
          <w:sz w:val="20"/>
          <w:szCs w:val="20"/>
          <w:color w:val="auto"/>
        </w:rPr>
      </w:pPr>
      <w:r>
        <w:rPr>
          <w:rFonts w:ascii="Times New Roman" w:cs="Times New Roman" w:eastAsia="Times New Roman" w:hAnsi="Times New Roman"/>
          <w:sz w:val="20"/>
          <w:szCs w:val="20"/>
          <w:b w:val="1"/>
          <w:bCs w:val="1"/>
          <w:color w:val="auto"/>
        </w:rPr>
        <w:t>Investing in our securities involves certain risks. See “</w:t>
      </w:r>
      <w:r>
        <w:rPr>
          <w:rFonts w:ascii="Times New Roman" w:cs="Times New Roman" w:eastAsia="Times New Roman" w:hAnsi="Times New Roman"/>
          <w:sz w:val="20"/>
          <w:szCs w:val="20"/>
          <w:b w:val="1"/>
          <w:bCs w:val="1"/>
          <w:u w:val="single" w:color="auto"/>
          <w:color w:val="0000EE"/>
        </w:rPr>
        <w:t>Risk Factors</w:t>
      </w:r>
      <w:r>
        <w:rPr>
          <w:rFonts w:ascii="Times New Roman" w:cs="Times New Roman" w:eastAsia="Times New Roman" w:hAnsi="Times New Roman"/>
          <w:sz w:val="20"/>
          <w:szCs w:val="20"/>
          <w:b w:val="1"/>
          <w:bCs w:val="1"/>
          <w:color w:val="auto"/>
        </w:rPr>
        <w:t>” beginning on page 9, as well as the risk factors contained in our Annual Report on Form 10-K for the fiscal year ended December 31, 2024, and our Quarterly Reports on Form 10-Q for the fiscal quarters ended March 31, 2025, June 30, 2025 and September 30, 2025, and in the other reports filed by us with the Securities and Exchange Commission and incorporated by reference into this prospectus.</w:t>
      </w:r>
    </w:p>
    <w:p>
      <w:pPr>
        <w:spacing w:after="0" w:line="38" w:lineRule="exact"/>
        <w:rPr>
          <w:sz w:val="24"/>
          <w:szCs w:val="24"/>
          <w:color w:val="auto"/>
        </w:rPr>
      </w:pPr>
    </w:p>
    <w:p>
      <w:pPr>
        <w:jc w:val="both"/>
        <w:ind w:left="120" w:right="220" w:firstLine="440"/>
        <w:spacing w:after="0" w:line="282" w:lineRule="auto"/>
        <w:rPr>
          <w:sz w:val="20"/>
          <w:szCs w:val="20"/>
          <w:color w:val="auto"/>
        </w:rPr>
      </w:pPr>
      <w:r>
        <w:rPr>
          <w:rFonts w:ascii="Times New Roman" w:cs="Times New Roman" w:eastAsia="Times New Roman" w:hAnsi="Times New Roman"/>
          <w:sz w:val="16"/>
          <w:szCs w:val="16"/>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 These securities are not savings or deposit accounts or other obligations of any bank and are not insured or guaranteed by the Federal Deposit Insurance Corporation or any other governmental agency.</w:t>
      </w:r>
    </w:p>
    <w:p>
      <w:pPr>
        <w:spacing w:after="0" w:line="26"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The date of this prospectus is January 12, 2026.</w:t>
      </w:r>
    </w:p>
    <w:p>
      <w:pPr>
        <w:sectPr>
          <w:pgSz w:w="11900" w:h="16838" w:orient="portrait"/>
          <w:cols w:equalWidth="0" w:num="1">
            <w:col w:w="11140"/>
          </w:cols>
          <w:pgMar w:left="320" w:top="225" w:right="4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8740" w:type="dxa"/>
            <w:vAlign w:val="bottom"/>
            <w:gridSpan w:val="15"/>
          </w:tcPr>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tc>
        <w:tc>
          <w:tcPr>
            <w:tcW w:w="2340" w:type="dxa"/>
            <w:vAlign w:val="bottom"/>
          </w:tcPr>
          <w:p>
            <w:pPr>
              <w:spacing w:after="0"/>
              <w:rPr>
                <w:sz w:val="17"/>
                <w:szCs w:val="17"/>
                <w:color w:val="auto"/>
              </w:rPr>
            </w:pPr>
          </w:p>
        </w:tc>
      </w:tr>
      <w:tr>
        <w:trPr>
          <w:trHeight w:val="547"/>
        </w:trPr>
        <w:tc>
          <w:tcPr>
            <w:tcW w:w="120" w:type="dxa"/>
            <w:vAlign w:val="bottom"/>
            <w:tcBorders>
              <w:top w:val="single" w:sz="8" w:color="0000EE"/>
            </w:tcBorders>
          </w:tcPr>
          <w:p>
            <w:pPr>
              <w:spacing w:after="0"/>
              <w:rPr>
                <w:sz w:val="24"/>
                <w:szCs w:val="24"/>
                <w:color w:val="auto"/>
              </w:rPr>
            </w:pPr>
          </w:p>
        </w:tc>
        <w:tc>
          <w:tcPr>
            <w:tcW w:w="76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0" w:type="dxa"/>
            <w:vAlign w:val="bottom"/>
            <w:gridSpan w:val="3"/>
          </w:tcPr>
          <w:p>
            <w:pPr>
              <w:ind w:left="52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340" w:type="dxa"/>
            <w:vAlign w:val="bottom"/>
          </w:tcPr>
          <w:p>
            <w:pPr>
              <w:spacing w:after="0"/>
              <w:rPr>
                <w:sz w:val="24"/>
                <w:szCs w:val="24"/>
                <w:color w:val="auto"/>
              </w:rPr>
            </w:pPr>
          </w:p>
        </w:tc>
      </w:tr>
      <w:tr>
        <w:trPr>
          <w:trHeight w:val="418"/>
        </w:trPr>
        <w:tc>
          <w:tcPr>
            <w:tcW w:w="120" w:type="dxa"/>
            <w:vAlign w:val="bottom"/>
          </w:tcPr>
          <w:p>
            <w:pPr>
              <w:spacing w:after="0"/>
              <w:rPr>
                <w:sz w:val="24"/>
                <w:szCs w:val="24"/>
                <w:color w:val="auto"/>
              </w:rPr>
            </w:pPr>
          </w:p>
        </w:tc>
        <w:tc>
          <w:tcPr>
            <w:tcW w:w="8620" w:type="dxa"/>
            <w:vAlign w:val="bottom"/>
            <w:gridSpan w:val="14"/>
          </w:tcPr>
          <w:p>
            <w:pPr>
              <w:spacing w:after="0"/>
              <w:rPr>
                <w:sz w:val="20"/>
                <w:szCs w:val="20"/>
                <w:color w:val="auto"/>
              </w:rPr>
            </w:pPr>
            <w:r>
              <w:rPr>
                <w:rFonts w:ascii="Times New Roman" w:cs="Times New Roman" w:eastAsia="Times New Roman" w:hAnsi="Times New Roman"/>
                <w:sz w:val="18"/>
                <w:szCs w:val="18"/>
                <w:color w:val="0000EE"/>
              </w:rPr>
              <w:t>ABOUT THIS PROSPECTUS</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i</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862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2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ii</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4020" w:type="dxa"/>
            <w:vAlign w:val="bottom"/>
            <w:tcBorders>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w w:val="98"/>
              </w:rPr>
              <w:t>INFORMATION INCORPORATED BY REFERENCE</w:t>
            </w:r>
          </w:p>
        </w:tc>
        <w:tc>
          <w:tcPr>
            <w:tcW w:w="4600" w:type="dxa"/>
            <w:vAlign w:val="bottom"/>
            <w:gridSpan w:val="3"/>
          </w:tcPr>
          <w:p>
            <w:pPr>
              <w:spacing w:after="0"/>
              <w:rPr>
                <w:sz w:val="17"/>
                <w:szCs w:val="17"/>
                <w:color w:val="auto"/>
              </w:rPr>
            </w:pPr>
          </w:p>
        </w:tc>
        <w:tc>
          <w:tcPr>
            <w:tcW w:w="2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ii</w:t>
            </w:r>
          </w:p>
        </w:tc>
      </w:tr>
      <w:tr>
        <w:trPr>
          <w:trHeight w:val="196"/>
        </w:trPr>
        <w:tc>
          <w:tcPr>
            <w:tcW w:w="120" w:type="dxa"/>
            <w:vAlign w:val="bottom"/>
          </w:tcPr>
          <w:p>
            <w:pPr>
              <w:spacing w:after="0"/>
              <w:rPr>
                <w:sz w:val="17"/>
                <w:szCs w:val="17"/>
                <w:color w:val="auto"/>
              </w:rPr>
            </w:pPr>
          </w:p>
        </w:tc>
        <w:tc>
          <w:tcPr>
            <w:tcW w:w="862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EE"/>
              </w:rPr>
              <w:t>SPECIAL NOTE REGARDING FORWARD-LOOKING STATEMENTS</w:t>
            </w:r>
          </w:p>
        </w:tc>
        <w:tc>
          <w:tcPr>
            <w:tcW w:w="2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iv</w:t>
            </w:r>
          </w:p>
        </w:tc>
      </w:tr>
      <w:tr>
        <w:trPr>
          <w:trHeight w:val="196"/>
        </w:trPr>
        <w:tc>
          <w:tcPr>
            <w:tcW w:w="120" w:type="dxa"/>
            <w:vAlign w:val="bottom"/>
          </w:tcPr>
          <w:p>
            <w:pPr>
              <w:spacing w:after="0"/>
              <w:rPr>
                <w:sz w:val="17"/>
                <w:szCs w:val="17"/>
                <w:color w:val="auto"/>
              </w:rPr>
            </w:pPr>
          </w:p>
        </w:tc>
        <w:tc>
          <w:tcPr>
            <w:tcW w:w="920" w:type="dxa"/>
            <w:vAlign w:val="bottom"/>
            <w:tcBorders>
              <w:top w:val="single" w:sz="8" w:color="0000EE"/>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6"/>
              </w:rPr>
              <w:t>SUMMARY</w:t>
            </w:r>
          </w:p>
        </w:tc>
        <w:tc>
          <w:tcPr>
            <w:tcW w:w="4400" w:type="dxa"/>
            <w:vAlign w:val="bottom"/>
            <w:tcBorders>
              <w:top w:val="single" w:sz="8" w:color="0000EE"/>
            </w:tcBorders>
            <w:gridSpan w:val="10"/>
          </w:tcPr>
          <w:p>
            <w:pPr>
              <w:spacing w:after="0"/>
              <w:rPr>
                <w:sz w:val="17"/>
                <w:szCs w:val="17"/>
                <w:color w:val="auto"/>
              </w:rPr>
            </w:pPr>
          </w:p>
        </w:tc>
        <w:tc>
          <w:tcPr>
            <w:tcW w:w="3300" w:type="dxa"/>
            <w:vAlign w:val="bottom"/>
            <w:gridSpan w:val="2"/>
          </w:tcPr>
          <w:p>
            <w:pPr>
              <w:spacing w:after="0"/>
              <w:rPr>
                <w:sz w:val="17"/>
                <w:szCs w:val="17"/>
                <w:color w:val="auto"/>
              </w:rPr>
            </w:pPr>
          </w:p>
        </w:tc>
        <w:tc>
          <w:tcPr>
            <w:tcW w:w="2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w:t>
            </w:r>
          </w:p>
        </w:tc>
      </w:tr>
      <w:tr>
        <w:trPr>
          <w:trHeight w:val="196"/>
        </w:trPr>
        <w:tc>
          <w:tcPr>
            <w:tcW w:w="120" w:type="dxa"/>
            <w:vAlign w:val="bottom"/>
          </w:tcPr>
          <w:p>
            <w:pPr>
              <w:spacing w:after="0"/>
              <w:rPr>
                <w:sz w:val="17"/>
                <w:szCs w:val="17"/>
                <w:color w:val="auto"/>
              </w:rPr>
            </w:pPr>
          </w:p>
        </w:tc>
        <w:tc>
          <w:tcPr>
            <w:tcW w:w="862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2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3420" w:type="dxa"/>
            <w:vAlign w:val="bottom"/>
            <w:gridSpan w:val="4"/>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1580" w:type="dxa"/>
            <w:vAlign w:val="bottom"/>
            <w:tcBorders>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8"/>
              </w:rPr>
              <w:t>USE OF PROCEEDS</w:t>
            </w:r>
          </w:p>
        </w:tc>
        <w:tc>
          <w:tcPr>
            <w:tcW w:w="7040" w:type="dxa"/>
            <w:vAlign w:val="bottom"/>
            <w:gridSpan w:val="9"/>
          </w:tcPr>
          <w:p>
            <w:pPr>
              <w:spacing w:after="0"/>
              <w:rPr>
                <w:sz w:val="17"/>
                <w:szCs w:val="17"/>
                <w:color w:val="auto"/>
              </w:rPr>
            </w:pPr>
          </w:p>
        </w:tc>
        <w:tc>
          <w:tcPr>
            <w:tcW w:w="2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19</w:t>
            </w:r>
          </w:p>
        </w:tc>
      </w:tr>
      <w:tr>
        <w:trPr>
          <w:trHeight w:val="196"/>
        </w:trPr>
        <w:tc>
          <w:tcPr>
            <w:tcW w:w="120" w:type="dxa"/>
            <w:vAlign w:val="bottom"/>
          </w:tcPr>
          <w:p>
            <w:pPr>
              <w:spacing w:after="0"/>
              <w:rPr>
                <w:sz w:val="17"/>
                <w:szCs w:val="17"/>
                <w:color w:val="auto"/>
              </w:rPr>
            </w:pPr>
          </w:p>
        </w:tc>
        <w:tc>
          <w:tcPr>
            <w:tcW w:w="862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EE"/>
              </w:rPr>
              <w:t>THE EXCHANGE OFFER</w:t>
            </w:r>
          </w:p>
        </w:tc>
        <w:tc>
          <w:tcPr>
            <w:tcW w:w="2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20</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3420" w:type="dxa"/>
            <w:vAlign w:val="bottom"/>
            <w:gridSpan w:val="4"/>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2460" w:type="dxa"/>
            <w:vAlign w:val="bottom"/>
            <w:tcBorders>
              <w:bottom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w w:val="98"/>
              </w:rPr>
              <w:t>DESCRIPTION OF THE NOTES</w:t>
            </w:r>
          </w:p>
        </w:tc>
        <w:tc>
          <w:tcPr>
            <w:tcW w:w="6160" w:type="dxa"/>
            <w:vAlign w:val="bottom"/>
            <w:gridSpan w:val="5"/>
          </w:tcPr>
          <w:p>
            <w:pPr>
              <w:spacing w:after="0"/>
              <w:rPr>
                <w:sz w:val="17"/>
                <w:szCs w:val="17"/>
                <w:color w:val="auto"/>
              </w:rPr>
            </w:pPr>
          </w:p>
        </w:tc>
        <w:tc>
          <w:tcPr>
            <w:tcW w:w="2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30</w:t>
            </w:r>
          </w:p>
        </w:tc>
      </w:tr>
      <w:tr>
        <w:trPr>
          <w:trHeight w:val="196"/>
        </w:trPr>
        <w:tc>
          <w:tcPr>
            <w:tcW w:w="120" w:type="dxa"/>
            <w:vAlign w:val="bottom"/>
          </w:tcPr>
          <w:p>
            <w:pPr>
              <w:spacing w:after="0"/>
              <w:rPr>
                <w:sz w:val="17"/>
                <w:szCs w:val="17"/>
                <w:color w:val="auto"/>
              </w:rPr>
            </w:pPr>
          </w:p>
        </w:tc>
        <w:tc>
          <w:tcPr>
            <w:tcW w:w="862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EE"/>
              </w:rPr>
              <w:t>MATERIAL UNITED STATES FEDERAL INCOME TAX CONSIDERATIONS</w:t>
            </w:r>
          </w:p>
        </w:tc>
        <w:tc>
          <w:tcPr>
            <w:tcW w:w="2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48</w:t>
            </w:r>
          </w:p>
        </w:tc>
      </w:tr>
      <w:tr>
        <w:trPr>
          <w:trHeight w:val="196"/>
        </w:trPr>
        <w:tc>
          <w:tcPr>
            <w:tcW w:w="120" w:type="dxa"/>
            <w:vAlign w:val="bottom"/>
          </w:tcPr>
          <w:p>
            <w:pPr>
              <w:spacing w:after="0"/>
              <w:rPr>
                <w:sz w:val="17"/>
                <w:szCs w:val="17"/>
                <w:color w:val="auto"/>
              </w:rPr>
            </w:pPr>
          </w:p>
        </w:tc>
        <w:tc>
          <w:tcPr>
            <w:tcW w:w="5880" w:type="dxa"/>
            <w:vAlign w:val="bottom"/>
            <w:tcBorders>
              <w:top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rPr>
              <w:t>PLAN OF DISTRIBUTION</w:t>
            </w:r>
          </w:p>
        </w:tc>
        <w:tc>
          <w:tcPr>
            <w:tcW w:w="2740" w:type="dxa"/>
            <w:vAlign w:val="bottom"/>
          </w:tcPr>
          <w:p>
            <w:pPr>
              <w:spacing w:after="0"/>
              <w:rPr>
                <w:sz w:val="17"/>
                <w:szCs w:val="17"/>
                <w:color w:val="auto"/>
              </w:rPr>
            </w:pPr>
          </w:p>
        </w:tc>
        <w:tc>
          <w:tcPr>
            <w:tcW w:w="2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49</w:t>
            </w:r>
          </w:p>
        </w:tc>
      </w:tr>
      <w:tr>
        <w:trPr>
          <w:trHeight w:val="196"/>
        </w:trPr>
        <w:tc>
          <w:tcPr>
            <w:tcW w:w="120" w:type="dxa"/>
            <w:vAlign w:val="bottom"/>
          </w:tcPr>
          <w:p>
            <w:pPr>
              <w:spacing w:after="0"/>
              <w:rPr>
                <w:sz w:val="17"/>
                <w:szCs w:val="17"/>
                <w:color w:val="auto"/>
              </w:rPr>
            </w:pPr>
          </w:p>
        </w:tc>
        <w:tc>
          <w:tcPr>
            <w:tcW w:w="1460" w:type="dxa"/>
            <w:vAlign w:val="bottom"/>
            <w:tcBorders>
              <w:top w:val="single" w:sz="8" w:color="0000EE"/>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7"/>
              </w:rPr>
              <w:t>LEGAL MATTERS</w:t>
            </w:r>
          </w:p>
        </w:tc>
        <w:tc>
          <w:tcPr>
            <w:tcW w:w="580" w:type="dxa"/>
            <w:vAlign w:val="bottom"/>
            <w:tcBorders>
              <w:top w:val="single" w:sz="8" w:color="0000EE"/>
            </w:tcBorders>
            <w:gridSpan w:val="3"/>
          </w:tcPr>
          <w:p>
            <w:pPr>
              <w:spacing w:after="0"/>
              <w:rPr>
                <w:sz w:val="17"/>
                <w:szCs w:val="17"/>
                <w:color w:val="auto"/>
              </w:rPr>
            </w:pPr>
          </w:p>
        </w:tc>
        <w:tc>
          <w:tcPr>
            <w:tcW w:w="6580" w:type="dxa"/>
            <w:vAlign w:val="bottom"/>
            <w:gridSpan w:val="7"/>
          </w:tcPr>
          <w:p>
            <w:pPr>
              <w:spacing w:after="0"/>
              <w:rPr>
                <w:sz w:val="17"/>
                <w:szCs w:val="17"/>
                <w:color w:val="auto"/>
              </w:rPr>
            </w:pPr>
          </w:p>
        </w:tc>
        <w:tc>
          <w:tcPr>
            <w:tcW w:w="2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50</w:t>
            </w:r>
          </w:p>
        </w:tc>
      </w:tr>
      <w:tr>
        <w:trPr>
          <w:trHeight w:val="196"/>
        </w:trPr>
        <w:tc>
          <w:tcPr>
            <w:tcW w:w="120" w:type="dxa"/>
            <w:vAlign w:val="bottom"/>
          </w:tcPr>
          <w:p>
            <w:pPr>
              <w:spacing w:after="0"/>
              <w:rPr>
                <w:sz w:val="17"/>
                <w:szCs w:val="17"/>
                <w:color w:val="auto"/>
              </w:rPr>
            </w:pPr>
          </w:p>
        </w:tc>
        <w:tc>
          <w:tcPr>
            <w:tcW w:w="862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EE"/>
              </w:rPr>
              <w:t>EXPERTS</w:t>
            </w:r>
          </w:p>
        </w:tc>
        <w:tc>
          <w:tcPr>
            <w:tcW w:w="2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50</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bl>
    <w:p>
      <w:pPr>
        <w:spacing w:after="0" w:line="20" w:lineRule="exact"/>
        <w:rPr>
          <w:sz w:val="20"/>
          <w:szCs w:val="20"/>
          <w:color w:val="auto"/>
        </w:rPr>
        <w:sectPr>
          <w:pgSz w:w="11900" w:h="16838" w:orient="portrait"/>
          <w:cols w:equalWidth="0" w:num="1">
            <w:col w:w="11080"/>
          </w:cols>
          <w:pgMar w:left="320" w:top="446" w:right="49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229" w:lineRule="exact"/>
        <w:rPr>
          <w:sz w:val="20"/>
          <w:szCs w:val="20"/>
          <w:color w:val="auto"/>
        </w:rPr>
      </w:pPr>
    </w:p>
    <w:p>
      <w:pPr>
        <w:ind w:left="120" w:right="300" w:firstLine="440"/>
        <w:spacing w:after="0" w:line="258" w:lineRule="auto"/>
        <w:rPr>
          <w:sz w:val="20"/>
          <w:szCs w:val="20"/>
          <w:color w:val="auto"/>
        </w:rPr>
      </w:pPr>
      <w:r>
        <w:rPr>
          <w:rFonts w:ascii="Times New Roman" w:cs="Times New Roman" w:eastAsia="Times New Roman" w:hAnsi="Times New Roman"/>
          <w:sz w:val="18"/>
          <w:szCs w:val="18"/>
          <w:color w:val="auto"/>
        </w:rPr>
        <w:t>This prospectus is a part of a registration statement that we have filed with the Securities and Exchange Commission (the “SEC”) under the Securities Act. This prospectus does not contain all the information set forth in the registration statement, certain parts of which are omitted in accordance with the rules and regulations of the SEC. For further information with respect to us, the exchange offer and the securities offered by this prospectus, reference is made to the registration statement, including the exhibits to the registration statement and the documents incorporated by reference.</w:t>
      </w:r>
    </w:p>
    <w:p>
      <w:pPr>
        <w:spacing w:after="0" w:line="183"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We are providing this prospectus to holders of Old Notes in connection with our offer to exchange Old Notes for New Notes. We are not making this exchange offer in any jurisdiction where the exchange offer is not permitted.</w:t>
      </w:r>
    </w:p>
    <w:p>
      <w:pPr>
        <w:spacing w:after="0" w:line="162"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You should rely only on the information contained or incorporated by reference in this prospectus and in the accompanying exchange offer transmittal documents filed by us with the SEC. We have not authorized any other person to provide you with any other information. If anyone provides you with different or inconsistent information, you should not rely on it. You should not assume that the information contained or incorporated by reference in this prospectus is accurate as of any date other than the date of the applicable document that contains that information. Our business, financial condition, results of operations and prospects may have changed since that date.</w:t>
      </w:r>
    </w:p>
    <w:p>
      <w:pPr>
        <w:spacing w:after="0" w:line="183"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You should not consider any information in this prospectus to be investment, legal or tax advice. You should consult your own counsel, accountant and other advisors for legal, tax, business, financial and related advice regarding the exchange offer and ownership of these securities.</w:t>
      </w:r>
    </w:p>
    <w:p>
      <w:pPr>
        <w:spacing w:after="0" w:line="162" w:lineRule="exact"/>
        <w:rPr>
          <w:sz w:val="20"/>
          <w:szCs w:val="20"/>
          <w:color w:val="auto"/>
        </w:rPr>
      </w:pPr>
    </w:p>
    <w:p>
      <w:pPr>
        <w:ind w:left="120" w:right="140" w:firstLine="440"/>
        <w:spacing w:after="0" w:line="256" w:lineRule="auto"/>
        <w:rPr>
          <w:sz w:val="20"/>
          <w:szCs w:val="20"/>
          <w:color w:val="auto"/>
        </w:rPr>
      </w:pPr>
      <w:r>
        <w:rPr>
          <w:rFonts w:ascii="Times New Roman" w:cs="Times New Roman" w:eastAsia="Times New Roman" w:hAnsi="Times New Roman"/>
          <w:sz w:val="18"/>
          <w:szCs w:val="18"/>
          <w:color w:val="auto"/>
        </w:rPr>
        <w:t>Each broker-dealer that receives New Notes for its own account in exchange for Old Notes acquired by the broker-dealer as a result of market-making or other trading activities must acknowledge that it will deliver a prospectus meeting the requirements of the Securities Act in connection with any resale of such New Notes. This prospectus, as it may be amended or supplemented from time to time, may be used by a participating broker-dealer in connection with resales of New Notes received in exchange for Old Notes. We have agreed in the letter of transmittal to make this prospectus, as amended or supplemented, available to any such broker-dealer that requests copies of this prospectus for use in connection with any such resale. See “Plan of Distribution.”</w:t>
      </w:r>
    </w:p>
    <w:p>
      <w:pPr>
        <w:spacing w:after="0" w:line="187"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References in this prospectus to the “Corporation,” the “Company,” “we,” “us,” “our,” or similar references refer to USCB Financial Holdings, Inc., a Florida corporation and bank holding company incorporated in 2021, and its subsidiaries on a consolidated basis, except where the context otherwise requires or as otherwise indicated. References in this prospectus to the “Bank” refer to U.S. Century Bank, a Florida state-chartered bank and wholly-owned subsidiary of the Company.</w:t>
      </w:r>
    </w:p>
    <w:p>
      <w:pPr>
        <w:spacing w:after="0" w:line="180"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This prospectus incorporates important business and financial information about us that is not included in or delivered with this prospectus. Such information is available without charge to holders of Old Notes upon written or oral request made to:</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USCB Financial Holdings, Inc.</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Attention: Robert Anderson</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Executive Vice President and Chief Financial Officer</w:t>
      </w:r>
    </w:p>
    <w:p>
      <w:pPr>
        <w:jc w:val="center"/>
        <w:ind w:right="-119"/>
        <w:spacing w:after="0" w:line="181" w:lineRule="auto"/>
        <w:rPr>
          <w:sz w:val="20"/>
          <w:szCs w:val="20"/>
          <w:color w:val="auto"/>
        </w:rPr>
      </w:pPr>
      <w:r>
        <w:rPr>
          <w:rFonts w:ascii="Times New Roman" w:cs="Times New Roman" w:eastAsia="Times New Roman" w:hAnsi="Times New Roman"/>
          <w:sz w:val="18"/>
          <w:szCs w:val="18"/>
          <w:b w:val="1"/>
          <w:bCs w:val="1"/>
          <w:color w:val="auto"/>
        </w:rPr>
        <w:t>2301 NW 87</w:t>
      </w:r>
      <w:r>
        <w:rPr>
          <w:rFonts w:ascii="Times New Roman" w:cs="Times New Roman" w:eastAsia="Times New Roman" w:hAnsi="Times New Roman"/>
          <w:sz w:val="26"/>
          <w:szCs w:val="26"/>
          <w:b w:val="1"/>
          <w:bCs w:val="1"/>
          <w:color w:val="auto"/>
          <w:vertAlign w:val="superscript"/>
        </w:rPr>
        <w:t>th</w:t>
      </w:r>
      <w:r>
        <w:rPr>
          <w:rFonts w:ascii="Times New Roman" w:cs="Times New Roman" w:eastAsia="Times New Roman" w:hAnsi="Times New Roman"/>
          <w:sz w:val="18"/>
          <w:szCs w:val="18"/>
          <w:b w:val="1"/>
          <w:bCs w:val="1"/>
          <w:color w:val="auto"/>
        </w:rPr>
        <w:t xml:space="preserve"> Avenue</w:t>
      </w:r>
    </w:p>
    <w:p>
      <w:pPr>
        <w:spacing w:after="0" w:line="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Doral, FL 33172</w:t>
      </w:r>
    </w:p>
    <w:p>
      <w:pPr>
        <w:spacing w:after="0" w:line="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Telephone: (305) 715-5200</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E-mail: rob.anderson@uscentury.com</w:t>
      </w:r>
    </w:p>
    <w:p>
      <w:pPr>
        <w:spacing w:after="0" w:line="203" w:lineRule="exact"/>
        <w:rPr>
          <w:sz w:val="20"/>
          <w:szCs w:val="20"/>
          <w:color w:val="auto"/>
        </w:rPr>
      </w:pPr>
    </w:p>
    <w:p>
      <w:pPr>
        <w:ind w:left="120" w:right="70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To ensure timely delivery of any requested information, holders of Old Notes must make any request no later than February 4, 2026 which is five (5) business days before the expiration date of the exchange offer, or, if we decide to extend the expiration date of the exchange offer, no later than five (5) business days before such extended expiration date.</w:t>
      </w:r>
    </w:p>
    <w:p>
      <w:pPr>
        <w:spacing w:after="0" w:line="10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120"/>
          </w:cols>
          <w:pgMar w:left="320" w:top="455" w:right="4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ind w:left="120" w:firstLine="440"/>
        <w:spacing w:after="0" w:line="283" w:lineRule="auto"/>
        <w:rPr>
          <w:sz w:val="20"/>
          <w:szCs w:val="20"/>
          <w:color w:val="auto"/>
        </w:rPr>
      </w:pPr>
      <w:r>
        <w:rPr>
          <w:rFonts w:ascii="Times New Roman" w:cs="Times New Roman" w:eastAsia="Times New Roman" w:hAnsi="Times New Roman"/>
          <w:sz w:val="17"/>
          <w:szCs w:val="17"/>
          <w:color w:val="auto"/>
        </w:rPr>
        <w:t>We are subject to the informational requirements of the Securities Exchange Act of 1934, as amended (“Exchange Act”) and file with the SEC Proxy Statements, Annual Reports on Form 10-K, Quarterly Reports on Form 10-Q and Current Reports on Form 8-K, as required of a U.S. listed company. Our SEC filings are available to the public from the SEC’s web site at www.sec.gov or on our website at www.uscentury.com. However, other than our available SEC filings, the information on, or that can be accessible through, our website does not constitute a part of, and is not incorporated by reference in, this prospectus. Written requests for copies of the documents we file with the SEC should be directed to USCB Financial Holdings, Inc., 2301 NW 87</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7"/>
          <w:szCs w:val="17"/>
          <w:color w:val="auto"/>
        </w:rPr>
        <w:t xml:space="preserve"> Avenue, Doral, Florida 33172, Attention: Executive Vice President and Chief Financial Officer, telephone: (305) 715-5200.</w:t>
      </w:r>
    </w:p>
    <w:p>
      <w:pPr>
        <w:spacing w:after="0" w:line="23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INFORMATION INCORPORATED BY REFERENCE</w:t>
      </w:r>
    </w:p>
    <w:p>
      <w:pPr>
        <w:spacing w:after="0" w:line="229" w:lineRule="exact"/>
        <w:rPr>
          <w:sz w:val="20"/>
          <w:szCs w:val="20"/>
          <w:color w:val="auto"/>
        </w:rPr>
      </w:pPr>
    </w:p>
    <w:p>
      <w:pPr>
        <w:ind w:left="120" w:right="100" w:firstLine="440"/>
        <w:spacing w:after="0" w:line="255" w:lineRule="auto"/>
        <w:rPr>
          <w:sz w:val="20"/>
          <w:szCs w:val="20"/>
          <w:color w:val="auto"/>
        </w:rPr>
      </w:pPr>
      <w:r>
        <w:rPr>
          <w:rFonts w:ascii="Times New Roman" w:cs="Times New Roman" w:eastAsia="Times New Roman" w:hAnsi="Times New Roman"/>
          <w:sz w:val="18"/>
          <w:szCs w:val="18"/>
          <w:color w:val="auto"/>
        </w:rPr>
        <w:t>The SEC allows us to “incorporate by reference” information into this prospectus. This means that we can disclose important information to you by referring you to another document filed separately with the SEC. The information incorporated by reference is considered to be a part of this prospectus. These documents may include periodic reports, such as our Annual Report on Form 10-K, Quarterly Reports on Form 10-Q and Current Reports on Form 8-K, as well as definitive Proxy Statements. Any documents that we subsequently file with the SEC will automatically update and replace the information previously filed with the SEC. Therefore, in the case of a conflict or inconsistency between information set forth in this prospectus and information incorporated by reference into this prospectus, you should rely on the information contained in the document that was filed later.</w:t>
      </w:r>
    </w:p>
    <w:p>
      <w:pPr>
        <w:spacing w:after="0" w:line="189" w:lineRule="exact"/>
        <w:rPr>
          <w:sz w:val="20"/>
          <w:szCs w:val="20"/>
          <w:color w:val="auto"/>
        </w:rPr>
      </w:pPr>
    </w:p>
    <w:p>
      <w:pPr>
        <w:ind w:left="120" w:right="260" w:firstLine="440"/>
        <w:spacing w:after="0" w:line="282" w:lineRule="auto"/>
        <w:rPr>
          <w:sz w:val="20"/>
          <w:szCs w:val="20"/>
          <w:color w:val="auto"/>
        </w:rPr>
      </w:pPr>
      <w:r>
        <w:rPr>
          <w:rFonts w:ascii="Times New Roman" w:cs="Times New Roman" w:eastAsia="Times New Roman" w:hAnsi="Times New Roman"/>
          <w:sz w:val="18"/>
          <w:szCs w:val="18"/>
          <w:color w:val="auto"/>
        </w:rPr>
        <w:t>This prospectus incorporates by reference the documents listed below that we have previously filed with the SEC, except to the extent that any information in such filings, including subsequent filings, is deemed “furnished” but not “filed” in accordance with SEC rules:</w:t>
      </w:r>
    </w:p>
    <w:p>
      <w:pPr>
        <w:spacing w:after="0" w:line="67" w:lineRule="exact"/>
        <w:rPr>
          <w:sz w:val="20"/>
          <w:szCs w:val="20"/>
          <w:color w:val="auto"/>
        </w:rPr>
      </w:pPr>
    </w:p>
    <w:p>
      <w:pPr>
        <w:ind w:left="1080" w:right="20" w:hanging="424"/>
        <w:spacing w:after="0" w:line="266" w:lineRule="auto"/>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w:t>
      </w:r>
      <w:hyperlink r:id="rId13">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for the fiscal year ended December 31, 2024, filed with the SEC on March 14, 2025 (including portions of our </w:t>
      </w:r>
      <w:hyperlink r:id="rId14">
        <w:r>
          <w:rPr>
            <w:rFonts w:ascii="Times New Roman" w:cs="Times New Roman" w:eastAsia="Times New Roman" w:hAnsi="Times New Roman"/>
            <w:sz w:val="18"/>
            <w:szCs w:val="18"/>
            <w:u w:val="single" w:color="auto"/>
            <w:color w:val="0000EE"/>
          </w:rPr>
          <w:t>Definitive Proxy Statement</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our 2025 Annual Meeting of Shareholders filed with the SEC on April 22, 2025, to the extent specifically incorporated by reference in such Form 10-K);</w:t>
      </w:r>
    </w:p>
    <w:p>
      <w:pPr>
        <w:spacing w:after="0" w:line="81" w:lineRule="exact"/>
        <w:rPr>
          <w:rFonts w:ascii="Times New Roman" w:cs="Times New Roman" w:eastAsia="Times New Roman" w:hAnsi="Times New Roman"/>
          <w:sz w:val="18"/>
          <w:szCs w:val="18"/>
          <w:color w:val="auto"/>
        </w:rPr>
      </w:pPr>
    </w:p>
    <w:p>
      <w:pPr>
        <w:jc w:val="both"/>
        <w:ind w:left="1080" w:right="240" w:hanging="424"/>
        <w:spacing w:after="0" w:line="266" w:lineRule="auto"/>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Quarterly Report on Form 10-Q for the quarter ended March 31, 2025, filed with the SEC on </w:t>
      </w:r>
      <w:hyperlink r:id="rId15">
        <w:r>
          <w:rPr>
            <w:rFonts w:ascii="Times New Roman" w:cs="Times New Roman" w:eastAsia="Times New Roman" w:hAnsi="Times New Roman"/>
            <w:sz w:val="18"/>
            <w:szCs w:val="18"/>
            <w:u w:val="single" w:color="auto"/>
            <w:color w:val="0000EE"/>
          </w:rPr>
          <w:t>May 9, 2025</w:t>
        </w:r>
      </w:hyperlink>
      <w:r>
        <w:rPr>
          <w:rFonts w:ascii="Times New Roman" w:cs="Times New Roman" w:eastAsia="Times New Roman" w:hAnsi="Times New Roman"/>
          <w:sz w:val="18"/>
          <w:szCs w:val="18"/>
          <w:color w:val="auto"/>
        </w:rPr>
        <w:t xml:space="preserve">, our Quarterly Report on Form 10-Q for the quarter ended June 30, 2025, filed with the SEC on </w:t>
      </w:r>
      <w:hyperlink r:id="rId16">
        <w:r>
          <w:rPr>
            <w:rFonts w:ascii="Times New Roman" w:cs="Times New Roman" w:eastAsia="Times New Roman" w:hAnsi="Times New Roman"/>
            <w:sz w:val="18"/>
            <w:szCs w:val="18"/>
            <w:u w:val="single" w:color="auto"/>
            <w:color w:val="0000EE"/>
          </w:rPr>
          <w:t>August 8, 2025</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our Quarterly Report on Form 10-Q for the quarter ended September 30, 2025, filed with the SEC on </w:t>
      </w:r>
      <w:hyperlink r:id="rId17">
        <w:r>
          <w:rPr>
            <w:rFonts w:ascii="Times New Roman" w:cs="Times New Roman" w:eastAsia="Times New Roman" w:hAnsi="Times New Roman"/>
            <w:sz w:val="18"/>
            <w:szCs w:val="18"/>
            <w:u w:val="single" w:color="auto"/>
            <w:color w:val="0000EE"/>
          </w:rPr>
          <w:t>November 7, 2025</w:t>
        </w:r>
      </w:hyperlink>
      <w:r>
        <w:rPr>
          <w:rFonts w:ascii="Times New Roman" w:cs="Times New Roman" w:eastAsia="Times New Roman" w:hAnsi="Times New Roman"/>
          <w:sz w:val="18"/>
          <w:szCs w:val="18"/>
          <w:color w:val="auto"/>
        </w:rPr>
        <w:t>; and</w:t>
      </w:r>
    </w:p>
    <w:p>
      <w:pPr>
        <w:spacing w:after="0" w:line="81" w:lineRule="exact"/>
        <w:rPr>
          <w:rFonts w:ascii="Times New Roman" w:cs="Times New Roman" w:eastAsia="Times New Roman" w:hAnsi="Times New Roman"/>
          <w:sz w:val="18"/>
          <w:szCs w:val="18"/>
          <w:color w:val="auto"/>
        </w:rPr>
      </w:pPr>
    </w:p>
    <w:p>
      <w:pPr>
        <w:ind w:left="1080" w:right="200" w:hanging="424"/>
        <w:spacing w:after="0" w:line="282" w:lineRule="auto"/>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Current Reports on Form 8-K filed with the SEC on each of </w:t>
      </w:r>
      <w:hyperlink r:id="rId18">
        <w:r>
          <w:rPr>
            <w:rFonts w:ascii="Times New Roman" w:cs="Times New Roman" w:eastAsia="Times New Roman" w:hAnsi="Times New Roman"/>
            <w:sz w:val="18"/>
            <w:szCs w:val="18"/>
            <w:u w:val="single" w:color="auto"/>
            <w:color w:val="0000EE"/>
          </w:rPr>
          <w:t>January 6, 2025</w:t>
        </w:r>
      </w:hyperlink>
      <w:r>
        <w:rPr>
          <w:rFonts w:ascii="Times New Roman" w:cs="Times New Roman" w:eastAsia="Times New Roman" w:hAnsi="Times New Roman"/>
          <w:sz w:val="18"/>
          <w:szCs w:val="18"/>
          <w:color w:val="auto"/>
        </w:rPr>
        <w:t xml:space="preserve">, </w:t>
      </w:r>
      <w:hyperlink r:id="rId19">
        <w:r>
          <w:rPr>
            <w:rFonts w:ascii="Times New Roman" w:cs="Times New Roman" w:eastAsia="Times New Roman" w:hAnsi="Times New Roman"/>
            <w:sz w:val="18"/>
            <w:szCs w:val="18"/>
            <w:u w:val="single" w:color="auto"/>
            <w:color w:val="0000EE"/>
          </w:rPr>
          <w:t>May 27, 2025</w:t>
        </w:r>
      </w:hyperlink>
      <w:r>
        <w:rPr>
          <w:rFonts w:ascii="Times New Roman" w:cs="Times New Roman" w:eastAsia="Times New Roman" w:hAnsi="Times New Roman"/>
          <w:sz w:val="18"/>
          <w:szCs w:val="18"/>
          <w:color w:val="auto"/>
        </w:rPr>
        <w:t xml:space="preserve">, </w:t>
      </w:r>
      <w:hyperlink r:id="rId20">
        <w:r>
          <w:rPr>
            <w:rFonts w:ascii="Times New Roman" w:cs="Times New Roman" w:eastAsia="Times New Roman" w:hAnsi="Times New Roman"/>
            <w:sz w:val="18"/>
            <w:szCs w:val="18"/>
            <w:u w:val="single" w:color="auto"/>
            <w:color w:val="0000EE"/>
          </w:rPr>
          <w:t>August 14, 2025</w:t>
        </w:r>
      </w:hyperlink>
      <w:r>
        <w:rPr>
          <w:rFonts w:ascii="Times New Roman" w:cs="Times New Roman" w:eastAsia="Times New Roman" w:hAnsi="Times New Roman"/>
          <w:sz w:val="18"/>
          <w:szCs w:val="18"/>
          <w:color w:val="auto"/>
        </w:rPr>
        <w:t xml:space="preserve">, </w:t>
      </w:r>
      <w:hyperlink r:id="rId21">
        <w:r>
          <w:rPr>
            <w:rFonts w:ascii="Times New Roman" w:cs="Times New Roman" w:eastAsia="Times New Roman" w:hAnsi="Times New Roman"/>
            <w:sz w:val="18"/>
            <w:szCs w:val="18"/>
            <w:u w:val="single" w:color="auto"/>
            <w:color w:val="0000EE"/>
          </w:rPr>
          <w:t>September 5, 2025</w:t>
        </w:r>
      </w:hyperlink>
      <w:r>
        <w:rPr>
          <w:rFonts w:ascii="Times New Roman" w:cs="Times New Roman" w:eastAsia="Times New Roman" w:hAnsi="Times New Roman"/>
          <w:sz w:val="18"/>
          <w:szCs w:val="18"/>
          <w:color w:val="auto"/>
        </w:rPr>
        <w:t xml:space="preserve">, and </w:t>
      </w:r>
      <w:hyperlink r:id="rId22">
        <w:r>
          <w:rPr>
            <w:rFonts w:ascii="Times New Roman" w:cs="Times New Roman" w:eastAsia="Times New Roman" w:hAnsi="Times New Roman"/>
            <w:sz w:val="18"/>
            <w:szCs w:val="18"/>
            <w:u w:val="single" w:color="auto"/>
            <w:color w:val="0000EE"/>
          </w:rPr>
          <w:t>December 23, 2025</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(except to the extent any such Current Reports on Form 8-K contain any information furnished but not filed).</w:t>
      </w:r>
    </w:p>
    <w:p>
      <w:pPr>
        <w:spacing w:after="0" w:line="162" w:lineRule="exact"/>
        <w:rPr>
          <w:rFonts w:ascii="Times New Roman" w:cs="Times New Roman" w:eastAsia="Times New Roman" w:hAnsi="Times New Roman"/>
          <w:sz w:val="18"/>
          <w:szCs w:val="18"/>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We are also incorporating by reference all other documents that we subsequently file with the SEC pursuant to Section 13(a), 13(c), 14 or 15(d) of the Exchange Act, after the date of the initial registration statement of which this prospectus is a part but prior to the effectiveness of the registration statement and between the date of this prospectus and the later of (i) the termination or completion of the exchange offer and (ii) the termination of the period of time described under “Plan of Distribution” during which we have agreed to make available this prospectus to broker-dealers in connection with certain resales of the New Notes.</w:t>
      </w:r>
    </w:p>
    <w:p>
      <w:pPr>
        <w:spacing w:after="0" w:line="183" w:lineRule="exact"/>
        <w:rPr>
          <w:rFonts w:ascii="Times New Roman" w:cs="Times New Roman" w:eastAsia="Times New Roman" w:hAnsi="Times New Roman"/>
          <w:sz w:val="18"/>
          <w:szCs w:val="18"/>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You may obtain a copy of any or all of the documents incorporated by reference in this prospectus (other than an exhibit to a document unless that exhibit is specifically incorporated by reference into that document) from the SEC through the SEC’s Internet site at www.sec.gov. You also may obtain these documents from us</w:t>
      </w:r>
    </w:p>
    <w:p>
      <w:pPr>
        <w:spacing w:after="0" w:line="108" w:lineRule="exact"/>
        <w:rPr>
          <w:rFonts w:ascii="Times New Roman" w:cs="Times New Roman" w:eastAsia="Times New Roman" w:hAnsi="Times New Roman"/>
          <w:sz w:val="18"/>
          <w:szCs w:val="18"/>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11080"/>
          </w:cols>
          <w:pgMar w:left="320" w:top="455" w:right="49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without charge by visiting our website at www.uscentury.com or by requesting them in writing, by e-mail or by telephone from us at the following address:</w:t>
      </w:r>
    </w:p>
    <w:p>
      <w:pPr>
        <w:spacing w:after="0" w:line="374" w:lineRule="exact"/>
        <w:rPr>
          <w:sz w:val="20"/>
          <w:szCs w:val="20"/>
          <w:color w:val="auto"/>
        </w:rPr>
      </w:pPr>
    </w:p>
    <w:p>
      <w:pPr>
        <w:jc w:val="center"/>
        <w:ind w:right="-599"/>
        <w:spacing w:after="0"/>
        <w:rPr>
          <w:sz w:val="20"/>
          <w:szCs w:val="20"/>
          <w:color w:val="auto"/>
        </w:rPr>
      </w:pPr>
      <w:r>
        <w:rPr>
          <w:rFonts w:ascii="Times New Roman" w:cs="Times New Roman" w:eastAsia="Times New Roman" w:hAnsi="Times New Roman"/>
          <w:sz w:val="18"/>
          <w:szCs w:val="18"/>
          <w:b w:val="1"/>
          <w:bCs w:val="1"/>
          <w:color w:val="auto"/>
        </w:rPr>
        <w:t>USCB Financial Holdings, Inc.</w:t>
      </w:r>
    </w:p>
    <w:p>
      <w:pPr>
        <w:spacing w:after="0" w:line="31" w:lineRule="exact"/>
        <w:rPr>
          <w:sz w:val="20"/>
          <w:szCs w:val="20"/>
          <w:color w:val="auto"/>
        </w:rPr>
      </w:pPr>
    </w:p>
    <w:p>
      <w:pPr>
        <w:jc w:val="center"/>
        <w:ind w:right="-599"/>
        <w:spacing w:after="0"/>
        <w:rPr>
          <w:sz w:val="20"/>
          <w:szCs w:val="20"/>
          <w:color w:val="auto"/>
        </w:rPr>
      </w:pPr>
      <w:r>
        <w:rPr>
          <w:rFonts w:ascii="Times New Roman" w:cs="Times New Roman" w:eastAsia="Times New Roman" w:hAnsi="Times New Roman"/>
          <w:sz w:val="18"/>
          <w:szCs w:val="18"/>
          <w:b w:val="1"/>
          <w:bCs w:val="1"/>
          <w:color w:val="auto"/>
        </w:rPr>
        <w:t>Attention: Robert Anderson</w:t>
      </w:r>
    </w:p>
    <w:p>
      <w:pPr>
        <w:spacing w:after="0" w:line="9" w:lineRule="exact"/>
        <w:rPr>
          <w:sz w:val="20"/>
          <w:szCs w:val="20"/>
          <w:color w:val="auto"/>
        </w:rPr>
      </w:pPr>
    </w:p>
    <w:p>
      <w:pPr>
        <w:jc w:val="center"/>
        <w:ind w:right="-599"/>
        <w:spacing w:after="0"/>
        <w:rPr>
          <w:sz w:val="20"/>
          <w:szCs w:val="20"/>
          <w:color w:val="auto"/>
        </w:rPr>
      </w:pPr>
      <w:r>
        <w:rPr>
          <w:rFonts w:ascii="Times New Roman" w:cs="Times New Roman" w:eastAsia="Times New Roman" w:hAnsi="Times New Roman"/>
          <w:sz w:val="18"/>
          <w:szCs w:val="18"/>
          <w:b w:val="1"/>
          <w:bCs w:val="1"/>
          <w:color w:val="auto"/>
        </w:rPr>
        <w:t>Executive Vice President and Chief Financial Officer</w:t>
      </w:r>
    </w:p>
    <w:p>
      <w:pPr>
        <w:jc w:val="center"/>
        <w:ind w:right="-599"/>
        <w:spacing w:after="0" w:line="181" w:lineRule="auto"/>
        <w:rPr>
          <w:sz w:val="20"/>
          <w:szCs w:val="20"/>
          <w:color w:val="auto"/>
        </w:rPr>
      </w:pPr>
      <w:r>
        <w:rPr>
          <w:rFonts w:ascii="Times New Roman" w:cs="Times New Roman" w:eastAsia="Times New Roman" w:hAnsi="Times New Roman"/>
          <w:sz w:val="18"/>
          <w:szCs w:val="18"/>
          <w:b w:val="1"/>
          <w:bCs w:val="1"/>
          <w:color w:val="auto"/>
        </w:rPr>
        <w:t>2301 NW 87</w:t>
      </w:r>
      <w:r>
        <w:rPr>
          <w:rFonts w:ascii="Times New Roman" w:cs="Times New Roman" w:eastAsia="Times New Roman" w:hAnsi="Times New Roman"/>
          <w:sz w:val="26"/>
          <w:szCs w:val="26"/>
          <w:b w:val="1"/>
          <w:bCs w:val="1"/>
          <w:color w:val="auto"/>
          <w:vertAlign w:val="superscript"/>
        </w:rPr>
        <w:t>th</w:t>
      </w:r>
      <w:r>
        <w:rPr>
          <w:rFonts w:ascii="Times New Roman" w:cs="Times New Roman" w:eastAsia="Times New Roman" w:hAnsi="Times New Roman"/>
          <w:sz w:val="18"/>
          <w:szCs w:val="18"/>
          <w:b w:val="1"/>
          <w:bCs w:val="1"/>
          <w:color w:val="auto"/>
        </w:rPr>
        <w:t xml:space="preserve"> Avenue</w:t>
      </w:r>
    </w:p>
    <w:p>
      <w:pPr>
        <w:spacing w:after="0" w:line="1" w:lineRule="exact"/>
        <w:rPr>
          <w:sz w:val="20"/>
          <w:szCs w:val="20"/>
          <w:color w:val="auto"/>
        </w:rPr>
      </w:pPr>
    </w:p>
    <w:p>
      <w:pPr>
        <w:jc w:val="center"/>
        <w:ind w:right="-599"/>
        <w:spacing w:after="0"/>
        <w:rPr>
          <w:sz w:val="20"/>
          <w:szCs w:val="20"/>
          <w:color w:val="auto"/>
        </w:rPr>
      </w:pPr>
      <w:r>
        <w:rPr>
          <w:rFonts w:ascii="Times New Roman" w:cs="Times New Roman" w:eastAsia="Times New Roman" w:hAnsi="Times New Roman"/>
          <w:sz w:val="18"/>
          <w:szCs w:val="18"/>
          <w:b w:val="1"/>
          <w:bCs w:val="1"/>
          <w:color w:val="auto"/>
        </w:rPr>
        <w:t>Doral, Florida 33172</w:t>
      </w:r>
    </w:p>
    <w:p>
      <w:pPr>
        <w:spacing w:after="0" w:line="7" w:lineRule="exact"/>
        <w:rPr>
          <w:sz w:val="20"/>
          <w:szCs w:val="20"/>
          <w:color w:val="auto"/>
        </w:rPr>
      </w:pPr>
    </w:p>
    <w:p>
      <w:pPr>
        <w:jc w:val="center"/>
        <w:ind w:right="-599"/>
        <w:spacing w:after="0"/>
        <w:rPr>
          <w:sz w:val="20"/>
          <w:szCs w:val="20"/>
          <w:color w:val="auto"/>
        </w:rPr>
      </w:pPr>
      <w:r>
        <w:rPr>
          <w:rFonts w:ascii="Times New Roman" w:cs="Times New Roman" w:eastAsia="Times New Roman" w:hAnsi="Times New Roman"/>
          <w:sz w:val="18"/>
          <w:szCs w:val="18"/>
          <w:b w:val="1"/>
          <w:bCs w:val="1"/>
          <w:color w:val="auto"/>
        </w:rPr>
        <w:t>Telephone: (305) 715-5200</w:t>
      </w:r>
    </w:p>
    <w:p>
      <w:pPr>
        <w:spacing w:after="0" w:line="9" w:lineRule="exact"/>
        <w:rPr>
          <w:sz w:val="20"/>
          <w:szCs w:val="20"/>
          <w:color w:val="auto"/>
        </w:rPr>
      </w:pPr>
    </w:p>
    <w:p>
      <w:pPr>
        <w:jc w:val="center"/>
        <w:ind w:right="-599"/>
        <w:spacing w:after="0"/>
        <w:rPr>
          <w:sz w:val="20"/>
          <w:szCs w:val="20"/>
          <w:color w:val="auto"/>
        </w:rPr>
      </w:pPr>
      <w:r>
        <w:rPr>
          <w:rFonts w:ascii="Times New Roman" w:cs="Times New Roman" w:eastAsia="Times New Roman" w:hAnsi="Times New Roman"/>
          <w:sz w:val="18"/>
          <w:szCs w:val="18"/>
          <w:b w:val="1"/>
          <w:bCs w:val="1"/>
          <w:color w:val="auto"/>
        </w:rPr>
        <w:t>E-mail: rob.anderson@uscentury.com</w:t>
      </w:r>
    </w:p>
    <w:p>
      <w:pPr>
        <w:spacing w:after="0" w:line="139"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iii</w:t>
      </w:r>
    </w:p>
    <w:p>
      <w:pPr>
        <w:sectPr>
          <w:pgSz w:w="11900" w:h="16838" w:orient="portrait"/>
          <w:cols w:equalWidth="0" w:num="1">
            <w:col w:w="10660"/>
          </w:cols>
          <w:pgMar w:left="320" w:top="455" w:right="91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This prospectus, any related prospectus supplement and the documents we incorporate by reference or that are deemed incorporated by reference into this prospectus and any related prospectus supplement, and any other written or oral statements made by us from time to time may contain “forward-looking statements” within the meaning of the safe harbor provisions of the U.S. Private Securities Litigation Reform Act of 1995. Forward-looking statements include, without limitation, statements concerning plans, estimates, calculations, forecasts and projections with respect to the anticipated future performance of the Company. These statements are often, but not always, identified by words such as “may”, “might”, “should”, “could”, “predict”, “potential”, “believe”, “expect”, “continue”, “will”, “anticipate”, “seek”, “estimate”, “intend”, “plan”, “projection”, “would”, “annualized”, “target” and “outlook”, or the negative version of those words or other comparable words of a future or forward-looking nature. Forward-looking statements are neither historical facts nor assurances of future performance. Instead, they are based only on our current beliefs, expectations and assumptions regarding our business, future plans and strategies, projections, anticipated events and trends, the economy and other future conditions. Because forward-looking statements relate to the future, they are subject to inherent uncertainties, risks and changes in circumstances that are difficult to predict and many of which are outside of our control. Our actual results and financial condition may differ materially from those indicated in the forward-looking statements. Therefore, you should not rely on any of these forward-looking statements. Important factors that could cause our actual results and financial condition to differ materially from those indicated in the forward-looking statements include, among others, the following:</w:t>
      </w:r>
    </w:p>
    <w:p>
      <w:pPr>
        <w:spacing w:after="0" w:line="93" w:lineRule="exact"/>
        <w:rPr>
          <w:sz w:val="20"/>
          <w:szCs w:val="20"/>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strength of the United States economy in general and the strength of the local economies in which we conduct operations;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manage interest rate risk, credit risk, liquidity risk, and other risks inherent to our industry;</w:t>
      </w:r>
    </w:p>
    <w:p>
      <w:pPr>
        <w:spacing w:after="0" w:line="130"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accuracy of our financial statement estimates and assumptions, including the estimates used for our credit loss reserve and deferred tax asset valuation allowance;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efficiency and effectiveness of our internal control environment;</w:t>
      </w:r>
    </w:p>
    <w:p>
      <w:pPr>
        <w:spacing w:after="0" w:line="130" w:lineRule="exact"/>
        <w:rPr>
          <w:rFonts w:ascii="Times New Roman" w:cs="Times New Roman" w:eastAsia="Times New Roman" w:hAnsi="Times New Roman"/>
          <w:sz w:val="18"/>
          <w:szCs w:val="18"/>
          <w:color w:val="auto"/>
        </w:rPr>
      </w:pPr>
    </w:p>
    <w:p>
      <w:pPr>
        <w:ind w:left="1080" w:right="260" w:hanging="424"/>
        <w:spacing w:after="0" w:line="282" w:lineRule="auto"/>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comply with the extensive laws and regulations to which we are subject, including the laws for each jurisdiction where we operate;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changes or conditions in the capital and financial markets, including actual or potential stresses in the banking industry;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deposit attrition and the level of our uninsured deposits;</w:t>
      </w:r>
    </w:p>
    <w:p>
      <w:pPr>
        <w:spacing w:after="0" w:line="130" w:lineRule="exact"/>
        <w:rPr>
          <w:rFonts w:ascii="Times New Roman" w:cs="Times New Roman" w:eastAsia="Times New Roman" w:hAnsi="Times New Roman"/>
          <w:sz w:val="18"/>
          <w:szCs w:val="18"/>
          <w:color w:val="auto"/>
        </w:rPr>
      </w:pPr>
    </w:p>
    <w:p>
      <w:pPr>
        <w:ind w:left="1080" w:right="180" w:hanging="424"/>
        <w:spacing w:after="0" w:line="282" w:lineRule="auto"/>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legislative or regulatory changes and changes in accounting principles, policies, practices or guidelines, including the on-going effects of the Current Expected Credit Losses standard;</w:t>
      </w:r>
    </w:p>
    <w:p>
      <w:pPr>
        <w:spacing w:after="0" w:line="67" w:lineRule="exact"/>
        <w:rPr>
          <w:rFonts w:ascii="Times New Roman" w:cs="Times New Roman" w:eastAsia="Times New Roman" w:hAnsi="Times New Roman"/>
          <w:sz w:val="18"/>
          <w:szCs w:val="18"/>
          <w:color w:val="auto"/>
        </w:rPr>
      </w:pPr>
    </w:p>
    <w:p>
      <w:pPr>
        <w:ind w:left="1080" w:right="300" w:hanging="424"/>
        <w:spacing w:after="0" w:line="312" w:lineRule="auto"/>
        <w:tabs>
          <w:tab w:leader="none" w:pos="108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lack of a significantly diversified loan portfolio and concentration in the South Florida market, including the risks of geographic, depositor, and industry concentrations, including our concentration in loans secured by real estate, in particular, commercial real estate;</w:t>
      </w:r>
    </w:p>
    <w:p>
      <w:pPr>
        <w:spacing w:after="0" w:line="45" w:lineRule="exact"/>
        <w:rPr>
          <w:rFonts w:ascii="Times New Roman" w:cs="Times New Roman" w:eastAsia="Times New Roman" w:hAnsi="Times New Roman"/>
          <w:sz w:val="17"/>
          <w:szCs w:val="17"/>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climate change;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concentration of ownership of our common stock;</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the price of our common stock;</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fund or access the capital markets at attractive rates and terms and manage our growth, both organic growth as well as growth through other means, such as future acquisitions;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inflation, interest rate, unemployment rate, market and monetary fluctuations;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impact of international hostilities and geopolitical events;</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iv</w:t>
      </w:r>
    </w:p>
    <w:p>
      <w:pPr>
        <w:sectPr>
          <w:pgSz w:w="11900" w:h="16838" w:orient="portrait"/>
          <w:cols w:equalWidth="0" w:num="1">
            <w:col w:w="11120"/>
          </w:cols>
          <w:pgMar w:left="320" w:top="455" w:right="4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080" w:right="300" w:hanging="424"/>
        <w:spacing w:after="0" w:line="282"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competition and its effect on the pricing of our products and services as well as our net interest rate spread and net interest margin;</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loss of key employees;</w:t>
      </w:r>
    </w:p>
    <w:p>
      <w:pPr>
        <w:spacing w:after="0" w:line="130"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our risk management strategies, including operational risks, including, but not limited to, client, employee, or third-party fraud and cybersecurity breaches; and</w:t>
      </w:r>
    </w:p>
    <w:p>
      <w:pPr>
        <w:spacing w:after="0" w:line="67"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 factors described in the Company’s Annual Report on Form 10-K for the year ended December 31, 2024 and other filings we make with the SEC.</w:t>
      </w:r>
    </w:p>
    <w:p>
      <w:pPr>
        <w:spacing w:after="0" w:line="162"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foregoing factors should not be construed as exhaustive and should be read together with the other cautionary statements included in this prospectus and any related prospectus supplement. In addition, past results of operations are not necessarily indicative of future results. Any forward-looking statement made by the Company in this prospectus is based only on information currently available to the Company and speaks only as of the date on which it is made, and the Company does not undertake any obligation to publicly update or review any forward-looking statements, whether written or oral, that may be made from time to time, whether as a result of new information, future developments or otherwise.</w:t>
      </w:r>
    </w:p>
    <w:p>
      <w:pPr>
        <w:spacing w:after="0" w:line="116"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v</w:t>
      </w:r>
    </w:p>
    <w:p>
      <w:pPr>
        <w:sectPr>
          <w:pgSz w:w="11900" w:h="16838" w:orient="portrait"/>
          <w:cols w:equalWidth="0" w:num="1">
            <w:col w:w="10900"/>
          </w:cols>
          <w:pgMar w:left="320" w:top="455" w:right="67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859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7">
                      <a:extLst>
                        <a:ext uri="{28A0092B-C50C-407E-A947-70E740481C1C}"/>
                      </a:extLst>
                    </a:blip>
                    <a:srcRect/>
                    <a:stretch>
                      <a:fillRect/>
                    </a:stretch>
                  </pic:blipFill>
                  <pic:spPr bwMode="auto">
                    <a:xfrm>
                      <a:off x="0" y="0"/>
                      <a:ext cx="6998970" cy="585914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SUMMARY</w:t>
      </w:r>
    </w:p>
    <w:p>
      <w:pPr>
        <w:spacing w:after="0" w:line="227" w:lineRule="exact"/>
        <w:rPr>
          <w:sz w:val="20"/>
          <w:szCs w:val="20"/>
          <w:color w:val="auto"/>
        </w:rPr>
      </w:pPr>
    </w:p>
    <w:p>
      <w:pPr>
        <w:ind w:left="300" w:firstLine="426"/>
        <w:spacing w:after="0" w:line="254" w:lineRule="auto"/>
        <w:rPr>
          <w:sz w:val="20"/>
          <w:szCs w:val="20"/>
          <w:color w:val="auto"/>
        </w:rPr>
      </w:pPr>
      <w:r>
        <w:rPr>
          <w:rFonts w:ascii="Times New Roman" w:cs="Times New Roman" w:eastAsia="Times New Roman" w:hAnsi="Times New Roman"/>
          <w:sz w:val="18"/>
          <w:szCs w:val="18"/>
          <w:i w:val="1"/>
          <w:iCs w:val="1"/>
          <w:color w:val="auto"/>
        </w:rPr>
        <w:t>This summary highlights information contained elsewhere in this prospectus and in the documents we incorporate by reference into this prospectus. This summary does not contain all of the information that you should consider before deciding to exchange your Old Notes for New Notes. You should read this prospectus carefully, including the “Risk Factors” sections contained in this prospectus, our Annual Report on Form 10-K for the fiscal year ended December 31, 2024, and our Quarterly Report on Form 10-Q for the quarter ended March 31, 2025, our Quarterly Report on Form 10-Q for the quarter ended June 30, 2025 and our Quarterly Report on Form 10-Q for the quarter ended September 30, 2025, each of which is incorporated by reference herein, as updated by our subsequently filed Quarterly Reports on Form 10-Q and Current Reports on Form 8-K, our financial statements and the related notes and the other documents incorporated by reference herein, which are described under the heading “Information Incorporated by Reference” in this prospectus before making a decision about whether to exchange your Old Notes for New Notes.</w:t>
      </w:r>
    </w:p>
    <w:p>
      <w:pPr>
        <w:spacing w:after="0" w:line="29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USCB Financial Holdings, Inc.</w:t>
      </w:r>
    </w:p>
    <w:p>
      <w:pPr>
        <w:spacing w:after="0" w:line="121" w:lineRule="exact"/>
        <w:rPr>
          <w:sz w:val="20"/>
          <w:szCs w:val="20"/>
          <w:color w:val="auto"/>
        </w:rPr>
      </w:pPr>
    </w:p>
    <w:p>
      <w:pPr>
        <w:ind w:left="300" w:right="160" w:firstLine="426"/>
        <w:spacing w:after="0" w:line="258" w:lineRule="auto"/>
        <w:rPr>
          <w:sz w:val="20"/>
          <w:szCs w:val="20"/>
          <w:color w:val="auto"/>
        </w:rPr>
      </w:pPr>
      <w:r>
        <w:rPr>
          <w:rFonts w:ascii="Times New Roman" w:cs="Times New Roman" w:eastAsia="Times New Roman" w:hAnsi="Times New Roman"/>
          <w:sz w:val="18"/>
          <w:szCs w:val="18"/>
          <w:color w:val="auto"/>
        </w:rPr>
        <w:t>The Company was formed on December 17, 2021, to serve as the holding company for the Bank, and is a bank holding company registered with the Board of Governors of the Federal Reserve System (the “Federal Reserve”) under the Bank Holding Company Act of 1956, as amended. The Company is headquartered in Doral, Florida, a municipality that is part of the Miami metropolitan area of South Florida, and, through the Bank, its sole direct subsidiary, operates ten (10) banking centers in South Florida providing a wide range of personal and business banking products and services. As of December 31, 2024, the Company had total consolidated assets of $2.6 billion.</w:t>
      </w:r>
    </w:p>
    <w:p>
      <w:pPr>
        <w:spacing w:after="0" w:line="183" w:lineRule="exact"/>
        <w:rPr>
          <w:sz w:val="20"/>
          <w:szCs w:val="20"/>
          <w:color w:val="auto"/>
        </w:rPr>
      </w:pPr>
    </w:p>
    <w:p>
      <w:pPr>
        <w:ind w:left="300" w:right="20" w:firstLine="426"/>
        <w:spacing w:after="0" w:line="256" w:lineRule="auto"/>
        <w:rPr>
          <w:sz w:val="20"/>
          <w:szCs w:val="20"/>
          <w:color w:val="auto"/>
        </w:rPr>
      </w:pPr>
      <w:r>
        <w:rPr>
          <w:rFonts w:ascii="Times New Roman" w:cs="Times New Roman" w:eastAsia="Times New Roman" w:hAnsi="Times New Roman"/>
          <w:sz w:val="18"/>
          <w:szCs w:val="18"/>
          <w:color w:val="auto"/>
        </w:rPr>
        <w:t>The Bank commenced operations in October 2002 and is a Florida state-chartered, non-Federal Reserve System member bank. Over the course of 2021, the Bank simplified its capitalization structure by exchanging and/or repurchasing all of its issued and outstanding preferred shares, including Class C, Class D, and Class E preferred stock. In December 2021, the Bank reached agreements with holders of its Class B common stock, to exchange all outstanding Class B common stock for Class A common stock in a 1-for-5 stock exchange. On July 27, 2021, the Bank completed an initial public offering of 4,600,000 shares of its Class A common stock. Shares of the Bank’s Class A common stock were sold at a price to the public of $10.00 per share and began trading on the Nasdaq Stock Market under ticker symbol “USCB.”</w:t>
      </w:r>
    </w:p>
    <w:p>
      <w:pPr>
        <w:spacing w:after="0" w:line="187" w:lineRule="exact"/>
        <w:rPr>
          <w:sz w:val="20"/>
          <w:szCs w:val="20"/>
          <w:color w:val="auto"/>
        </w:rPr>
      </w:pPr>
    </w:p>
    <w:p>
      <w:pPr>
        <w:ind w:left="300" w:right="60" w:firstLine="426"/>
        <w:spacing w:after="0" w:line="273" w:lineRule="auto"/>
        <w:rPr>
          <w:sz w:val="20"/>
          <w:szCs w:val="20"/>
          <w:color w:val="auto"/>
        </w:rPr>
      </w:pPr>
      <w:r>
        <w:rPr>
          <w:rFonts w:ascii="Times New Roman" w:cs="Times New Roman" w:eastAsia="Times New Roman" w:hAnsi="Times New Roman"/>
          <w:sz w:val="17"/>
          <w:szCs w:val="17"/>
          <w:color w:val="auto"/>
        </w:rPr>
        <w:t>On December 30, 2021 (the “Effective Date”), the Company acquired all of the issued and outstanding stock of the Bank in a share exchange (the “Reorganization”) effected under the Florida Business Corporation Act and in accordance with the terms of an Agreement and Plan of Share Exchange dated December 27, 2021 between the Bank and the Company (the “Share Exchange Agreement”). The Reorganization and the Share Exchange Agreement were approved by the Bank’s stockholders at a special meeting of the Bank’s stockholders held on December 20, 2021. Pursuant to the Share Exchange Agreement, on the Effective Date each issued and outstanding share of the Bank’s Class A common stock was converted into and exchanged for one share of the Company’s Class A Common Stock. As a result, the Bank became the wholly owned subsidiary of the Company, the Company became the holding company for the Bank and the stockholders of the Bank became stockholders of the Company.</w:t>
      </w:r>
    </w:p>
    <w:p>
      <w:pPr>
        <w:spacing w:after="0" w:line="171" w:lineRule="exact"/>
        <w:rPr>
          <w:sz w:val="20"/>
          <w:szCs w:val="20"/>
          <w:color w:val="auto"/>
        </w:rPr>
      </w:pPr>
    </w:p>
    <w:p>
      <w:pPr>
        <w:ind w:left="300" w:right="20" w:firstLine="426"/>
        <w:spacing w:after="0" w:line="256" w:lineRule="auto"/>
        <w:rPr>
          <w:sz w:val="20"/>
          <w:szCs w:val="20"/>
          <w:color w:val="auto"/>
        </w:rPr>
      </w:pPr>
      <w:r>
        <w:rPr>
          <w:rFonts w:ascii="Times New Roman" w:cs="Times New Roman" w:eastAsia="Times New Roman" w:hAnsi="Times New Roman"/>
          <w:sz w:val="18"/>
          <w:szCs w:val="18"/>
          <w:color w:val="auto"/>
        </w:rPr>
        <w:t>Prior to the Effective Date, the Bank’s Class A common stock was registered under Section 12(b) of the Exchange Act, and the Bank was subject to the information requirements of the Exchange Act and, in accordance with Section 12(i) thereof, filed quarterly reports, proxy statements and other information with the FDIC. As a result of the Reorganization, pursuant to Rule 12g-3(a) under the Exchange Act, the Company became the successor registrant to the Bank, the Company’s Class A Common Stock was deemed to be registered under Section 12(b) of the Exchange Act, and the Company became subject to the information requirements of the Exchange Act and is now required to file reports, proxy statements and other information with the SEC.</w:t>
      </w:r>
    </w:p>
    <w:p>
      <w:pPr>
        <w:spacing w:after="0" w:line="309"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0940"/>
          </w:cols>
          <w:pgMar w:left="320" w:top="455" w:right="6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6261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9">
                      <a:extLst>
                        <a:ext uri="{28A0092B-C50C-407E-A947-70E740481C1C}"/>
                      </a:extLst>
                    </a:blip>
                    <a:srcRect/>
                    <a:stretch>
                      <a:fillRect/>
                    </a:stretch>
                  </pic:blipFill>
                  <pic:spPr bwMode="auto">
                    <a:xfrm>
                      <a:off x="0" y="0"/>
                      <a:ext cx="6998970" cy="626173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00" w:right="700" w:firstLine="426"/>
        <w:spacing w:after="0" w:line="282" w:lineRule="auto"/>
        <w:rPr>
          <w:sz w:val="20"/>
          <w:szCs w:val="20"/>
          <w:color w:val="auto"/>
        </w:rPr>
      </w:pPr>
      <w:r>
        <w:rPr>
          <w:rFonts w:ascii="Times New Roman" w:cs="Times New Roman" w:eastAsia="Times New Roman" w:hAnsi="Times New Roman"/>
          <w:sz w:val="18"/>
          <w:szCs w:val="18"/>
          <w:color w:val="auto"/>
        </w:rPr>
        <w:t>Prior to the Reorganization, the Company had no material assets and had not conducted any business or operations except for activities related to its incorporation and the Reorganization.</w:t>
      </w:r>
    </w:p>
    <w:p>
      <w:pPr>
        <w:spacing w:after="0" w:line="26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Summary of the Exchange Offer</w:t>
      </w:r>
    </w:p>
    <w:p>
      <w:pPr>
        <w:spacing w:after="0" w:line="121" w:lineRule="exact"/>
        <w:rPr>
          <w:sz w:val="20"/>
          <w:szCs w:val="20"/>
          <w:color w:val="auto"/>
        </w:rPr>
      </w:pPr>
    </w:p>
    <w:p>
      <w:pPr>
        <w:ind w:left="300" w:right="300" w:firstLine="426"/>
        <w:spacing w:after="0" w:line="266" w:lineRule="auto"/>
        <w:rPr>
          <w:sz w:val="20"/>
          <w:szCs w:val="20"/>
          <w:color w:val="auto"/>
        </w:rPr>
      </w:pPr>
      <w:r>
        <w:rPr>
          <w:rFonts w:ascii="Times New Roman" w:cs="Times New Roman" w:eastAsia="Times New Roman" w:hAnsi="Times New Roman"/>
          <w:sz w:val="18"/>
          <w:szCs w:val="18"/>
          <w:color w:val="auto"/>
        </w:rPr>
        <w:t>The following provides a summary of certain terms of the exchange offer. Please refer to the section “The Exchange Offer” appearing elsewhere in this prospectus for a more complete description of the exchange offer and the section “Description of the Notes” for a more complete description of the terms of the Old Notes and New Notes.</w:t>
      </w:r>
    </w:p>
    <w:p>
      <w:pPr>
        <w:spacing w:after="0" w:line="203"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3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Old Notes</w:t>
            </w:r>
          </w:p>
        </w:tc>
        <w:tc>
          <w:tcPr>
            <w:tcW w:w="75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$40,000,000 in aggregate principal amount of 7.625% Fixed-to-Floating Rate Subordinated</w:t>
            </w:r>
          </w:p>
        </w:tc>
      </w:tr>
      <w:tr>
        <w:trPr>
          <w:trHeight w:val="234"/>
        </w:trPr>
        <w:tc>
          <w:tcPr>
            <w:tcW w:w="3500" w:type="dxa"/>
            <w:vAlign w:val="bottom"/>
          </w:tcPr>
          <w:p>
            <w:pPr>
              <w:spacing w:after="0"/>
              <w:rPr>
                <w:sz w:val="20"/>
                <w:szCs w:val="20"/>
                <w:color w:val="auto"/>
              </w:rPr>
            </w:pPr>
          </w:p>
        </w:tc>
        <w:tc>
          <w:tcPr>
            <w:tcW w:w="75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Notes due 2035.</w:t>
            </w:r>
          </w:p>
        </w:tc>
      </w:tr>
      <w:tr>
        <w:trPr>
          <w:trHeight w:val="441"/>
        </w:trPr>
        <w:tc>
          <w:tcPr>
            <w:tcW w:w="3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New Notes</w:t>
            </w:r>
          </w:p>
        </w:tc>
        <w:tc>
          <w:tcPr>
            <w:tcW w:w="75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Up to $40,000,000 in aggregate principal amount of 7.625% Fixed-to-Floating Rate</w:t>
            </w:r>
          </w:p>
        </w:tc>
      </w:tr>
      <w:tr>
        <w:trPr>
          <w:trHeight w:val="216"/>
        </w:trPr>
        <w:tc>
          <w:tcPr>
            <w:tcW w:w="3500" w:type="dxa"/>
            <w:vAlign w:val="bottom"/>
          </w:tcPr>
          <w:p>
            <w:pPr>
              <w:spacing w:after="0"/>
              <w:rPr>
                <w:sz w:val="18"/>
                <w:szCs w:val="18"/>
                <w:color w:val="auto"/>
              </w:rPr>
            </w:pPr>
          </w:p>
        </w:tc>
        <w:tc>
          <w:tcPr>
            <w:tcW w:w="75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Subordinated Notes due 2035, which have terms that are identical in all material respects to</w:t>
            </w:r>
          </w:p>
        </w:tc>
      </w:tr>
      <w:tr>
        <w:trPr>
          <w:trHeight w:val="216"/>
        </w:trPr>
        <w:tc>
          <w:tcPr>
            <w:tcW w:w="3500" w:type="dxa"/>
            <w:vAlign w:val="bottom"/>
          </w:tcPr>
          <w:p>
            <w:pPr>
              <w:spacing w:after="0"/>
              <w:rPr>
                <w:sz w:val="18"/>
                <w:szCs w:val="18"/>
                <w:color w:val="auto"/>
              </w:rPr>
            </w:pPr>
          </w:p>
        </w:tc>
        <w:tc>
          <w:tcPr>
            <w:tcW w:w="75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the terms of the Old Notes, except that the New Notes are registered under the Securities</w:t>
            </w:r>
          </w:p>
        </w:tc>
      </w:tr>
      <w:tr>
        <w:trPr>
          <w:trHeight w:val="216"/>
        </w:trPr>
        <w:tc>
          <w:tcPr>
            <w:tcW w:w="3500" w:type="dxa"/>
            <w:vAlign w:val="bottom"/>
          </w:tcPr>
          <w:p>
            <w:pPr>
              <w:spacing w:after="0"/>
              <w:rPr>
                <w:sz w:val="18"/>
                <w:szCs w:val="18"/>
                <w:color w:val="auto"/>
              </w:rPr>
            </w:pPr>
          </w:p>
        </w:tc>
        <w:tc>
          <w:tcPr>
            <w:tcW w:w="75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Act and are generally not subject to transfer restrictions, are not entitled to registration</w:t>
            </w:r>
          </w:p>
        </w:tc>
      </w:tr>
      <w:tr>
        <w:trPr>
          <w:trHeight w:val="216"/>
        </w:trPr>
        <w:tc>
          <w:tcPr>
            <w:tcW w:w="3500" w:type="dxa"/>
            <w:vAlign w:val="bottom"/>
          </w:tcPr>
          <w:p>
            <w:pPr>
              <w:spacing w:after="0"/>
              <w:rPr>
                <w:sz w:val="18"/>
                <w:szCs w:val="18"/>
                <w:color w:val="auto"/>
              </w:rPr>
            </w:pPr>
          </w:p>
        </w:tc>
        <w:tc>
          <w:tcPr>
            <w:tcW w:w="75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rights under the registration rights agreement and do not have the right to additional</w:t>
            </w:r>
          </w:p>
        </w:tc>
      </w:tr>
      <w:tr>
        <w:trPr>
          <w:trHeight w:val="216"/>
        </w:trPr>
        <w:tc>
          <w:tcPr>
            <w:tcW w:w="3500" w:type="dxa"/>
            <w:vAlign w:val="bottom"/>
          </w:tcPr>
          <w:p>
            <w:pPr>
              <w:spacing w:after="0"/>
              <w:rPr>
                <w:sz w:val="18"/>
                <w:szCs w:val="18"/>
                <w:color w:val="auto"/>
              </w:rPr>
            </w:pPr>
          </w:p>
        </w:tc>
        <w:tc>
          <w:tcPr>
            <w:tcW w:w="75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interest under the circumstances described in the registration rights agreement relating to</w:t>
            </w:r>
          </w:p>
        </w:tc>
      </w:tr>
      <w:tr>
        <w:trPr>
          <w:trHeight w:val="234"/>
        </w:trPr>
        <w:tc>
          <w:tcPr>
            <w:tcW w:w="3500" w:type="dxa"/>
            <w:vAlign w:val="bottom"/>
          </w:tcPr>
          <w:p>
            <w:pPr>
              <w:spacing w:after="0"/>
              <w:rPr>
                <w:sz w:val="20"/>
                <w:szCs w:val="20"/>
                <w:color w:val="auto"/>
              </w:rPr>
            </w:pPr>
          </w:p>
        </w:tc>
        <w:tc>
          <w:tcPr>
            <w:tcW w:w="75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our fulfillment of our registration obligations.</w:t>
            </w:r>
          </w:p>
        </w:tc>
      </w:tr>
      <w:tr>
        <w:trPr>
          <w:trHeight w:val="441"/>
        </w:trPr>
        <w:tc>
          <w:tcPr>
            <w:tcW w:w="3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Exchange Offer</w:t>
            </w:r>
          </w:p>
        </w:tc>
        <w:tc>
          <w:tcPr>
            <w:tcW w:w="75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We are offering to exchange the New Notes for a like principal amount of Old Notes.</w:t>
            </w:r>
          </w:p>
        </w:tc>
      </w:tr>
      <w:tr>
        <w:trPr>
          <w:trHeight w:val="216"/>
        </w:trPr>
        <w:tc>
          <w:tcPr>
            <w:tcW w:w="3500" w:type="dxa"/>
            <w:vAlign w:val="bottom"/>
          </w:tcPr>
          <w:p>
            <w:pPr>
              <w:spacing w:after="0"/>
              <w:rPr>
                <w:sz w:val="18"/>
                <w:szCs w:val="18"/>
                <w:color w:val="auto"/>
              </w:rPr>
            </w:pPr>
          </w:p>
        </w:tc>
        <w:tc>
          <w:tcPr>
            <w:tcW w:w="75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Subject to the terms of the exchange offer, promptly following the termination of the</w:t>
            </w:r>
          </w:p>
        </w:tc>
      </w:tr>
      <w:tr>
        <w:trPr>
          <w:trHeight w:val="216"/>
        </w:trPr>
        <w:tc>
          <w:tcPr>
            <w:tcW w:w="3500" w:type="dxa"/>
            <w:vAlign w:val="bottom"/>
          </w:tcPr>
          <w:p>
            <w:pPr>
              <w:spacing w:after="0"/>
              <w:rPr>
                <w:sz w:val="18"/>
                <w:szCs w:val="18"/>
                <w:color w:val="auto"/>
              </w:rPr>
            </w:pPr>
          </w:p>
        </w:tc>
        <w:tc>
          <w:tcPr>
            <w:tcW w:w="75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exchange offer, we will exchange New Notes for all Old Notes that have been validly</w:t>
            </w:r>
          </w:p>
        </w:tc>
      </w:tr>
      <w:tr>
        <w:trPr>
          <w:trHeight w:val="234"/>
        </w:trPr>
        <w:tc>
          <w:tcPr>
            <w:tcW w:w="3500" w:type="dxa"/>
            <w:vAlign w:val="bottom"/>
          </w:tcPr>
          <w:p>
            <w:pPr>
              <w:spacing w:after="0"/>
              <w:rPr>
                <w:sz w:val="20"/>
                <w:szCs w:val="20"/>
                <w:color w:val="auto"/>
              </w:rPr>
            </w:pPr>
          </w:p>
        </w:tc>
        <w:tc>
          <w:tcPr>
            <w:tcW w:w="75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tendered and not validly withdrawn prior to the expiration of the exchange offer.</w:t>
            </w:r>
          </w:p>
        </w:tc>
      </w:tr>
      <w:tr>
        <w:trPr>
          <w:trHeight w:val="441"/>
        </w:trPr>
        <w:tc>
          <w:tcPr>
            <w:tcW w:w="3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Expiration Date</w:t>
            </w:r>
          </w:p>
        </w:tc>
        <w:tc>
          <w:tcPr>
            <w:tcW w:w="75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The exchange offer will expire at 11:59 p.m., New York City time, on February 11, 2026,</w:t>
            </w:r>
          </w:p>
        </w:tc>
      </w:tr>
      <w:tr>
        <w:trPr>
          <w:trHeight w:val="234"/>
        </w:trPr>
        <w:tc>
          <w:tcPr>
            <w:tcW w:w="3500" w:type="dxa"/>
            <w:vAlign w:val="bottom"/>
          </w:tcPr>
          <w:p>
            <w:pPr>
              <w:spacing w:after="0"/>
              <w:rPr>
                <w:sz w:val="20"/>
                <w:szCs w:val="20"/>
                <w:color w:val="auto"/>
              </w:rPr>
            </w:pPr>
          </w:p>
        </w:tc>
        <w:tc>
          <w:tcPr>
            <w:tcW w:w="75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unless extended.</w:t>
            </w:r>
          </w:p>
        </w:tc>
      </w:tr>
      <w:tr>
        <w:trPr>
          <w:trHeight w:val="459"/>
        </w:trPr>
        <w:tc>
          <w:tcPr>
            <w:tcW w:w="3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Withdrawal Rights</w:t>
            </w:r>
          </w:p>
        </w:tc>
        <w:tc>
          <w:tcPr>
            <w:tcW w:w="75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You may withdraw the tender of your Old Notes at any time before the expiration date.</w:t>
            </w:r>
          </w:p>
        </w:tc>
      </w:tr>
      <w:tr>
        <w:trPr>
          <w:trHeight w:val="454"/>
        </w:trPr>
        <w:tc>
          <w:tcPr>
            <w:tcW w:w="3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Conditions to Exchange Offer</w:t>
            </w:r>
          </w:p>
        </w:tc>
        <w:tc>
          <w:tcPr>
            <w:tcW w:w="75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This exchange offer is subject to customary conditions, which we may waive. See “The</w:t>
            </w:r>
          </w:p>
        </w:tc>
      </w:tr>
      <w:tr>
        <w:trPr>
          <w:trHeight w:val="234"/>
        </w:trPr>
        <w:tc>
          <w:tcPr>
            <w:tcW w:w="3500" w:type="dxa"/>
            <w:vAlign w:val="bottom"/>
          </w:tcPr>
          <w:p>
            <w:pPr>
              <w:spacing w:after="0"/>
              <w:rPr>
                <w:sz w:val="20"/>
                <w:szCs w:val="20"/>
                <w:color w:val="auto"/>
              </w:rPr>
            </w:pPr>
          </w:p>
        </w:tc>
        <w:tc>
          <w:tcPr>
            <w:tcW w:w="75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Exchange Offer—Conditions.”</w:t>
            </w:r>
          </w:p>
        </w:tc>
      </w:tr>
      <w:tr>
        <w:trPr>
          <w:trHeight w:val="441"/>
        </w:trPr>
        <w:tc>
          <w:tcPr>
            <w:tcW w:w="3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Procedures for Tendering Old Notes</w:t>
            </w:r>
          </w:p>
        </w:tc>
        <w:tc>
          <w:tcPr>
            <w:tcW w:w="75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For Old Notes that are represented by global book-entry notes, The Depository Trust</w:t>
            </w:r>
          </w:p>
        </w:tc>
      </w:tr>
      <w:tr>
        <w:trPr>
          <w:trHeight w:val="216"/>
        </w:trPr>
        <w:tc>
          <w:tcPr>
            <w:tcW w:w="3500" w:type="dxa"/>
            <w:vAlign w:val="bottom"/>
          </w:tcPr>
          <w:p>
            <w:pPr>
              <w:spacing w:after="0"/>
              <w:rPr>
                <w:sz w:val="18"/>
                <w:szCs w:val="18"/>
                <w:color w:val="auto"/>
              </w:rPr>
            </w:pPr>
          </w:p>
        </w:tc>
        <w:tc>
          <w:tcPr>
            <w:tcW w:w="75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Company (“DTC”), as depositary, or its nominee is treated as the registered holder of such</w:t>
            </w:r>
          </w:p>
        </w:tc>
      </w:tr>
      <w:tr>
        <w:trPr>
          <w:trHeight w:val="216"/>
        </w:trPr>
        <w:tc>
          <w:tcPr>
            <w:tcW w:w="3500" w:type="dxa"/>
            <w:vAlign w:val="bottom"/>
          </w:tcPr>
          <w:p>
            <w:pPr>
              <w:spacing w:after="0"/>
              <w:rPr>
                <w:sz w:val="18"/>
                <w:szCs w:val="18"/>
                <w:color w:val="auto"/>
              </w:rPr>
            </w:pPr>
          </w:p>
        </w:tc>
        <w:tc>
          <w:tcPr>
            <w:tcW w:w="75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Old Notes and will be the only entity that can tender such Old Notes for New Notes. In</w:t>
            </w:r>
          </w:p>
        </w:tc>
      </w:tr>
      <w:tr>
        <w:trPr>
          <w:trHeight w:val="216"/>
        </w:trPr>
        <w:tc>
          <w:tcPr>
            <w:tcW w:w="3500" w:type="dxa"/>
            <w:vAlign w:val="bottom"/>
          </w:tcPr>
          <w:p>
            <w:pPr>
              <w:spacing w:after="0"/>
              <w:rPr>
                <w:sz w:val="18"/>
                <w:szCs w:val="18"/>
                <w:color w:val="auto"/>
              </w:rPr>
            </w:pPr>
          </w:p>
        </w:tc>
        <w:tc>
          <w:tcPr>
            <w:tcW w:w="75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order to participate in the exchange offer, you must follow the procedures established by</w:t>
            </w:r>
          </w:p>
        </w:tc>
      </w:tr>
      <w:tr>
        <w:trPr>
          <w:trHeight w:val="216"/>
        </w:trPr>
        <w:tc>
          <w:tcPr>
            <w:tcW w:w="3500" w:type="dxa"/>
            <w:vAlign w:val="bottom"/>
          </w:tcPr>
          <w:p>
            <w:pPr>
              <w:spacing w:after="0"/>
              <w:rPr>
                <w:sz w:val="18"/>
                <w:szCs w:val="18"/>
                <w:color w:val="auto"/>
              </w:rPr>
            </w:pPr>
          </w:p>
        </w:tc>
        <w:tc>
          <w:tcPr>
            <w:tcW w:w="75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DTC for tendering such Old Notes held in book-entry form. These procedures, which we</w:t>
            </w:r>
          </w:p>
        </w:tc>
      </w:tr>
      <w:tr>
        <w:trPr>
          <w:trHeight w:val="216"/>
        </w:trPr>
        <w:tc>
          <w:tcPr>
            <w:tcW w:w="3500" w:type="dxa"/>
            <w:vAlign w:val="bottom"/>
          </w:tcPr>
          <w:p>
            <w:pPr>
              <w:spacing w:after="0"/>
              <w:rPr>
                <w:sz w:val="18"/>
                <w:szCs w:val="18"/>
                <w:color w:val="auto"/>
              </w:rPr>
            </w:pPr>
          </w:p>
        </w:tc>
        <w:tc>
          <w:tcPr>
            <w:tcW w:w="75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call “ATOP” (“Automated Tender Offer Program”) procedures, require that (i) the</w:t>
            </w:r>
          </w:p>
        </w:tc>
      </w:tr>
      <w:tr>
        <w:trPr>
          <w:trHeight w:val="216"/>
        </w:trPr>
        <w:tc>
          <w:tcPr>
            <w:tcW w:w="3500" w:type="dxa"/>
            <w:vAlign w:val="bottom"/>
          </w:tcPr>
          <w:p>
            <w:pPr>
              <w:spacing w:after="0"/>
              <w:rPr>
                <w:sz w:val="18"/>
                <w:szCs w:val="18"/>
                <w:color w:val="auto"/>
              </w:rPr>
            </w:pPr>
          </w:p>
        </w:tc>
        <w:tc>
          <w:tcPr>
            <w:tcW w:w="75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exchange agent receive, prior to the expiration date of the exchange offer, a computer</w:t>
            </w:r>
          </w:p>
        </w:tc>
      </w:tr>
      <w:tr>
        <w:trPr>
          <w:trHeight w:val="216"/>
        </w:trPr>
        <w:tc>
          <w:tcPr>
            <w:tcW w:w="3500" w:type="dxa"/>
            <w:vAlign w:val="bottom"/>
          </w:tcPr>
          <w:p>
            <w:pPr>
              <w:spacing w:after="0"/>
              <w:rPr>
                <w:sz w:val="18"/>
                <w:szCs w:val="18"/>
                <w:color w:val="auto"/>
              </w:rPr>
            </w:pPr>
          </w:p>
        </w:tc>
        <w:tc>
          <w:tcPr>
            <w:tcW w:w="75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generated message known as an “agent’s message” that is transmitted through ATOP, and</w:t>
            </w:r>
          </w:p>
        </w:tc>
      </w:tr>
      <w:tr>
        <w:trPr>
          <w:trHeight w:val="216"/>
        </w:trPr>
        <w:tc>
          <w:tcPr>
            <w:tcW w:w="3500" w:type="dxa"/>
            <w:vAlign w:val="bottom"/>
          </w:tcPr>
          <w:p>
            <w:pPr>
              <w:spacing w:after="0"/>
              <w:rPr>
                <w:sz w:val="18"/>
                <w:szCs w:val="18"/>
                <w:color w:val="auto"/>
              </w:rPr>
            </w:pPr>
          </w:p>
        </w:tc>
        <w:tc>
          <w:tcPr>
            <w:tcW w:w="75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(ii) DTC has received (a) your instructions to exchange your Old Notes, and (b) your</w:t>
            </w:r>
          </w:p>
        </w:tc>
      </w:tr>
      <w:tr>
        <w:trPr>
          <w:trHeight w:val="234"/>
        </w:trPr>
        <w:tc>
          <w:tcPr>
            <w:tcW w:w="3500" w:type="dxa"/>
            <w:vAlign w:val="bottom"/>
          </w:tcPr>
          <w:p>
            <w:pPr>
              <w:spacing w:after="0"/>
              <w:rPr>
                <w:sz w:val="20"/>
                <w:szCs w:val="20"/>
                <w:color w:val="auto"/>
              </w:rPr>
            </w:pPr>
          </w:p>
        </w:tc>
        <w:tc>
          <w:tcPr>
            <w:tcW w:w="75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agreement to be bound by the terms of the accompanying letter of transmittal.</w:t>
            </w:r>
          </w:p>
        </w:tc>
      </w:tr>
      <w:tr>
        <w:trPr>
          <w:trHeight w:val="172"/>
        </w:trPr>
        <w:tc>
          <w:tcPr>
            <w:tcW w:w="3500" w:type="dxa"/>
            <w:vAlign w:val="bottom"/>
            <w:tcBorders>
              <w:bottom w:val="single" w:sz="8" w:color="auto"/>
            </w:tcBorders>
          </w:tcPr>
          <w:p>
            <w:pPr>
              <w:spacing w:after="0"/>
              <w:rPr>
                <w:sz w:val="14"/>
                <w:szCs w:val="14"/>
                <w:color w:val="auto"/>
              </w:rPr>
            </w:pPr>
          </w:p>
        </w:tc>
        <w:tc>
          <w:tcPr>
            <w:tcW w:w="7520" w:type="dxa"/>
            <w:vAlign w:val="bottom"/>
            <w:tcBorders>
              <w:bottom w:val="single" w:sz="8" w:color="auto"/>
            </w:tcBorders>
          </w:tcPr>
          <w:p>
            <w:pPr>
              <w:spacing w:after="0"/>
              <w:rPr>
                <w:sz w:val="14"/>
                <w:szCs w:val="14"/>
                <w:color w:val="auto"/>
              </w:rPr>
            </w:pPr>
          </w:p>
        </w:tc>
      </w:tr>
      <w:tr>
        <w:trPr>
          <w:trHeight w:val="361"/>
        </w:trPr>
        <w:tc>
          <w:tcPr>
            <w:tcW w:w="3500" w:type="dxa"/>
            <w:vAlign w:val="bottom"/>
          </w:tcPr>
          <w:p>
            <w:pPr>
              <w:spacing w:after="0"/>
              <w:rPr>
                <w:sz w:val="24"/>
                <w:szCs w:val="24"/>
                <w:color w:val="auto"/>
              </w:rPr>
            </w:pPr>
          </w:p>
        </w:tc>
        <w:tc>
          <w:tcPr>
            <w:tcW w:w="7520" w:type="dxa"/>
            <w:vAlign w:val="bottom"/>
          </w:tcPr>
          <w:p>
            <w:pPr>
              <w:ind w:left="1960"/>
              <w:spacing w:after="0"/>
              <w:rPr>
                <w:sz w:val="20"/>
                <w:szCs w:val="20"/>
                <w:color w:val="auto"/>
              </w:rPr>
            </w:pPr>
            <w:r>
              <w:rPr>
                <w:rFonts w:ascii="Times New Roman" w:cs="Times New Roman" w:eastAsia="Times New Roman" w:hAnsi="Times New Roman"/>
                <w:sz w:val="18"/>
                <w:szCs w:val="18"/>
                <w:color w:val="auto"/>
              </w:rPr>
              <w:t>2</w:t>
            </w:r>
          </w:p>
        </w:tc>
      </w:tr>
    </w:tbl>
    <w:p>
      <w:pPr>
        <w:sectPr>
          <w:pgSz w:w="11900" w:h="16838" w:orient="portrait"/>
          <w:cols w:equalWidth="0" w:num="1">
            <w:col w:w="11140"/>
          </w:cols>
          <w:pgMar w:left="320" w:top="455" w:right="4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9" w:lineRule="exact"/>
        <w:rPr>
          <w:sz w:val="20"/>
          <w:szCs w:val="20"/>
          <w:color w:val="auto"/>
        </w:rPr>
      </w:pPr>
    </w:p>
    <w:tbl>
      <w:tblPr>
        <w:tblLayout w:type="fixed"/>
        <w:tblInd w:w="130" w:type="dxa"/>
        <w:tblCellMar>
          <w:top w:w="0" w:type="dxa"/>
          <w:left w:w="0" w:type="dxa"/>
          <w:bottom w:w="0" w:type="dxa"/>
          <w:right w:w="0" w:type="dxa"/>
        </w:tblCellMar>
      </w:tblPr>
      <w:tr>
        <w:trPr>
          <w:trHeight w:val="376"/>
        </w:trPr>
        <w:tc>
          <w:tcPr>
            <w:tcW w:w="3740" w:type="dxa"/>
            <w:vAlign w:val="bottom"/>
            <w:tcBorders>
              <w:top w:val="single" w:sz="8" w:color="auto"/>
              <w:left w:val="single" w:sz="8" w:color="auto"/>
            </w:tcBorders>
          </w:tcPr>
          <w:p>
            <w:pPr>
              <w:spacing w:after="0"/>
              <w:rPr>
                <w:sz w:val="24"/>
                <w:szCs w:val="24"/>
                <w:color w:val="auto"/>
              </w:rPr>
            </w:pPr>
          </w:p>
        </w:tc>
        <w:tc>
          <w:tcPr>
            <w:tcW w:w="7280" w:type="dxa"/>
            <w:vAlign w:val="bottom"/>
            <w:tcBorders>
              <w:top w:val="single" w:sz="8" w:color="auto"/>
              <w:right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For Old Notes that are represented by a physical note that is registered in the initial</w:t>
            </w:r>
          </w:p>
        </w:tc>
      </w:tr>
      <w:tr>
        <w:trPr>
          <w:trHeight w:val="216"/>
        </w:trPr>
        <w:tc>
          <w:tcPr>
            <w:tcW w:w="3740" w:type="dxa"/>
            <w:vAlign w:val="bottom"/>
            <w:tcBorders>
              <w:left w:val="single" w:sz="8" w:color="auto"/>
            </w:tcBorders>
          </w:tcPr>
          <w:p>
            <w:pPr>
              <w:spacing w:after="0"/>
              <w:rPr>
                <w:sz w:val="18"/>
                <w:szCs w:val="18"/>
                <w:color w:val="auto"/>
              </w:rPr>
            </w:pPr>
          </w:p>
        </w:tc>
        <w:tc>
          <w:tcPr>
            <w:tcW w:w="7280" w:type="dxa"/>
            <w:vAlign w:val="bottom"/>
            <w:tcBorders>
              <w:right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purchaser’s name, each beneficial holder of such Old Note must transmit a properly</w:t>
            </w:r>
          </w:p>
        </w:tc>
      </w:tr>
      <w:tr>
        <w:trPr>
          <w:trHeight w:val="216"/>
        </w:trPr>
        <w:tc>
          <w:tcPr>
            <w:tcW w:w="3740" w:type="dxa"/>
            <w:vAlign w:val="bottom"/>
            <w:tcBorders>
              <w:left w:val="single" w:sz="8" w:color="auto"/>
            </w:tcBorders>
          </w:tcPr>
          <w:p>
            <w:pPr>
              <w:spacing w:after="0"/>
              <w:rPr>
                <w:sz w:val="18"/>
                <w:szCs w:val="18"/>
                <w:color w:val="auto"/>
              </w:rPr>
            </w:pPr>
          </w:p>
        </w:tc>
        <w:tc>
          <w:tcPr>
            <w:tcW w:w="7280" w:type="dxa"/>
            <w:vAlign w:val="bottom"/>
            <w:tcBorders>
              <w:right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completed and duly executed letter of transmittal, the physical note, and all other</w:t>
            </w:r>
          </w:p>
        </w:tc>
      </w:tr>
      <w:tr>
        <w:trPr>
          <w:trHeight w:val="216"/>
        </w:trPr>
        <w:tc>
          <w:tcPr>
            <w:tcW w:w="3740" w:type="dxa"/>
            <w:vAlign w:val="bottom"/>
            <w:tcBorders>
              <w:left w:val="single" w:sz="8" w:color="auto"/>
            </w:tcBorders>
          </w:tcPr>
          <w:p>
            <w:pPr>
              <w:spacing w:after="0"/>
              <w:rPr>
                <w:sz w:val="18"/>
                <w:szCs w:val="18"/>
                <w:color w:val="auto"/>
              </w:rPr>
            </w:pPr>
          </w:p>
        </w:tc>
        <w:tc>
          <w:tcPr>
            <w:tcW w:w="7280" w:type="dxa"/>
            <w:vAlign w:val="bottom"/>
            <w:tcBorders>
              <w:right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documents required by the letter of transmittal to the exchange agent, at its address listed</w:t>
            </w:r>
          </w:p>
        </w:tc>
      </w:tr>
      <w:tr>
        <w:trPr>
          <w:trHeight w:val="234"/>
        </w:trPr>
        <w:tc>
          <w:tcPr>
            <w:tcW w:w="3740" w:type="dxa"/>
            <w:vAlign w:val="bottom"/>
            <w:tcBorders>
              <w:left w:val="single" w:sz="8" w:color="auto"/>
            </w:tcBorders>
          </w:tcPr>
          <w:p>
            <w:pPr>
              <w:spacing w:after="0"/>
              <w:rPr>
                <w:sz w:val="20"/>
                <w:szCs w:val="20"/>
                <w:color w:val="auto"/>
              </w:rPr>
            </w:pPr>
          </w:p>
        </w:tc>
        <w:tc>
          <w:tcPr>
            <w:tcW w:w="7280" w:type="dxa"/>
            <w:vAlign w:val="bottom"/>
            <w:tcBorders>
              <w:right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under “The Exchange Offer—Exchange Agent.”</w:t>
            </w:r>
          </w:p>
        </w:tc>
      </w:tr>
      <w:tr>
        <w:trPr>
          <w:trHeight w:val="441"/>
        </w:trPr>
        <w:tc>
          <w:tcPr>
            <w:tcW w:w="3740" w:type="dxa"/>
            <w:vAlign w:val="bottom"/>
            <w:tcBorders>
              <w:left w:val="single" w:sz="8" w:color="auto"/>
            </w:tcBorders>
          </w:tcPr>
          <w:p>
            <w:pPr>
              <w:spacing w:after="0"/>
              <w:rPr>
                <w:sz w:val="24"/>
                <w:szCs w:val="24"/>
                <w:color w:val="auto"/>
              </w:rPr>
            </w:pPr>
          </w:p>
        </w:tc>
        <w:tc>
          <w:tcPr>
            <w:tcW w:w="7280" w:type="dxa"/>
            <w:vAlign w:val="bottom"/>
            <w:tcBorders>
              <w:right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Please note that by signing, or agreeing to be bound by, the letter of transmittal, you will be</w:t>
            </w:r>
          </w:p>
        </w:tc>
      </w:tr>
      <w:tr>
        <w:trPr>
          <w:trHeight w:val="216"/>
        </w:trPr>
        <w:tc>
          <w:tcPr>
            <w:tcW w:w="3740" w:type="dxa"/>
            <w:vAlign w:val="bottom"/>
            <w:tcBorders>
              <w:left w:val="single" w:sz="8" w:color="auto"/>
            </w:tcBorders>
          </w:tcPr>
          <w:p>
            <w:pPr>
              <w:spacing w:after="0"/>
              <w:rPr>
                <w:sz w:val="18"/>
                <w:szCs w:val="18"/>
                <w:color w:val="auto"/>
              </w:rPr>
            </w:pPr>
          </w:p>
        </w:tc>
        <w:tc>
          <w:tcPr>
            <w:tcW w:w="7280" w:type="dxa"/>
            <w:vAlign w:val="bottom"/>
            <w:tcBorders>
              <w:right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making a number of important representations to us. See “The Exchange Offer—</w:t>
            </w:r>
          </w:p>
        </w:tc>
      </w:tr>
      <w:tr>
        <w:trPr>
          <w:trHeight w:val="234"/>
        </w:trPr>
        <w:tc>
          <w:tcPr>
            <w:tcW w:w="3740" w:type="dxa"/>
            <w:vAlign w:val="bottom"/>
            <w:tcBorders>
              <w:left w:val="single" w:sz="8" w:color="auto"/>
            </w:tcBorders>
          </w:tcPr>
          <w:p>
            <w:pPr>
              <w:spacing w:after="0"/>
              <w:rPr>
                <w:sz w:val="20"/>
                <w:szCs w:val="20"/>
                <w:color w:val="auto"/>
              </w:rPr>
            </w:pPr>
          </w:p>
        </w:tc>
        <w:tc>
          <w:tcPr>
            <w:tcW w:w="7280" w:type="dxa"/>
            <w:vAlign w:val="bottom"/>
            <w:tcBorders>
              <w:right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Eligibility; Transferability.”</w:t>
            </w:r>
          </w:p>
        </w:tc>
      </w:tr>
      <w:tr>
        <w:trPr>
          <w:trHeight w:val="441"/>
        </w:trPr>
        <w:tc>
          <w:tcPr>
            <w:tcW w:w="374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Material United States Federal Income Tax</w:t>
            </w:r>
          </w:p>
        </w:tc>
        <w:tc>
          <w:tcPr>
            <w:tcW w:w="7280" w:type="dxa"/>
            <w:vAlign w:val="bottom"/>
            <w:tcBorders>
              <w:right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The exchange of Old Notes for New Notes in the exchange offer generally should not</w:t>
            </w:r>
          </w:p>
        </w:tc>
      </w:tr>
      <w:tr>
        <w:trPr>
          <w:trHeight w:val="216"/>
        </w:trPr>
        <w:tc>
          <w:tcPr>
            <w:tcW w:w="3740" w:type="dxa"/>
            <w:vAlign w:val="bottom"/>
            <w:tcBorders>
              <w:left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Considerations</w:t>
            </w:r>
          </w:p>
        </w:tc>
        <w:tc>
          <w:tcPr>
            <w:tcW w:w="7280" w:type="dxa"/>
            <w:vAlign w:val="bottom"/>
            <w:tcBorders>
              <w:right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constitute a taxable event for U.S. federal income tax purposes. See “Material United</w:t>
            </w:r>
          </w:p>
        </w:tc>
      </w:tr>
      <w:tr>
        <w:trPr>
          <w:trHeight w:val="216"/>
        </w:trPr>
        <w:tc>
          <w:tcPr>
            <w:tcW w:w="3740" w:type="dxa"/>
            <w:vAlign w:val="bottom"/>
            <w:tcBorders>
              <w:left w:val="single" w:sz="8" w:color="auto"/>
            </w:tcBorders>
          </w:tcPr>
          <w:p>
            <w:pPr>
              <w:spacing w:after="0"/>
              <w:rPr>
                <w:sz w:val="18"/>
                <w:szCs w:val="18"/>
                <w:color w:val="auto"/>
              </w:rPr>
            </w:pPr>
          </w:p>
        </w:tc>
        <w:tc>
          <w:tcPr>
            <w:tcW w:w="7280" w:type="dxa"/>
            <w:vAlign w:val="bottom"/>
            <w:tcBorders>
              <w:right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States Federal Income Tax Considerations.” You should consult your own tax advisor as to</w:t>
            </w:r>
          </w:p>
        </w:tc>
      </w:tr>
      <w:tr>
        <w:trPr>
          <w:trHeight w:val="234"/>
        </w:trPr>
        <w:tc>
          <w:tcPr>
            <w:tcW w:w="3740" w:type="dxa"/>
            <w:vAlign w:val="bottom"/>
            <w:tcBorders>
              <w:left w:val="single" w:sz="8" w:color="auto"/>
            </w:tcBorders>
          </w:tcPr>
          <w:p>
            <w:pPr>
              <w:spacing w:after="0"/>
              <w:rPr>
                <w:sz w:val="20"/>
                <w:szCs w:val="20"/>
                <w:color w:val="auto"/>
              </w:rPr>
            </w:pPr>
          </w:p>
        </w:tc>
        <w:tc>
          <w:tcPr>
            <w:tcW w:w="7280" w:type="dxa"/>
            <w:vAlign w:val="bottom"/>
            <w:tcBorders>
              <w:right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the tax consequences or implications of exchanging your Old Notes for New Notes.</w:t>
            </w:r>
          </w:p>
        </w:tc>
      </w:tr>
      <w:tr>
        <w:trPr>
          <w:trHeight w:val="441"/>
        </w:trPr>
        <w:tc>
          <w:tcPr>
            <w:tcW w:w="374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Registration Rights</w:t>
            </w:r>
          </w:p>
        </w:tc>
        <w:tc>
          <w:tcPr>
            <w:tcW w:w="7280" w:type="dxa"/>
            <w:vAlign w:val="bottom"/>
            <w:tcBorders>
              <w:right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Under the terms of the registration rights agreement that we entered into with the initial</w:t>
            </w:r>
          </w:p>
        </w:tc>
      </w:tr>
      <w:tr>
        <w:trPr>
          <w:trHeight w:val="216"/>
        </w:trPr>
        <w:tc>
          <w:tcPr>
            <w:tcW w:w="3740" w:type="dxa"/>
            <w:vAlign w:val="bottom"/>
            <w:tcBorders>
              <w:left w:val="single" w:sz="8" w:color="auto"/>
            </w:tcBorders>
          </w:tcPr>
          <w:p>
            <w:pPr>
              <w:spacing w:after="0"/>
              <w:rPr>
                <w:sz w:val="18"/>
                <w:szCs w:val="18"/>
                <w:color w:val="auto"/>
              </w:rPr>
            </w:pPr>
          </w:p>
        </w:tc>
        <w:tc>
          <w:tcPr>
            <w:tcW w:w="7280" w:type="dxa"/>
            <w:vAlign w:val="bottom"/>
            <w:tcBorders>
              <w:right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purchasers of the Old Notes at the time we issued the Old Notes, we agreed to register the</w:t>
            </w:r>
          </w:p>
        </w:tc>
      </w:tr>
      <w:tr>
        <w:trPr>
          <w:trHeight w:val="216"/>
        </w:trPr>
        <w:tc>
          <w:tcPr>
            <w:tcW w:w="3740" w:type="dxa"/>
            <w:vAlign w:val="bottom"/>
            <w:tcBorders>
              <w:left w:val="single" w:sz="8" w:color="auto"/>
            </w:tcBorders>
          </w:tcPr>
          <w:p>
            <w:pPr>
              <w:spacing w:after="0"/>
              <w:rPr>
                <w:sz w:val="18"/>
                <w:szCs w:val="18"/>
                <w:color w:val="auto"/>
              </w:rPr>
            </w:pPr>
          </w:p>
        </w:tc>
        <w:tc>
          <w:tcPr>
            <w:tcW w:w="7280" w:type="dxa"/>
            <w:vAlign w:val="bottom"/>
            <w:tcBorders>
              <w:right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New Notes and undertake this exchange offer. This exchange offer is intended to satisfy the</w:t>
            </w:r>
          </w:p>
        </w:tc>
      </w:tr>
      <w:tr>
        <w:trPr>
          <w:trHeight w:val="216"/>
        </w:trPr>
        <w:tc>
          <w:tcPr>
            <w:tcW w:w="3740" w:type="dxa"/>
            <w:vAlign w:val="bottom"/>
            <w:tcBorders>
              <w:left w:val="single" w:sz="8" w:color="auto"/>
            </w:tcBorders>
          </w:tcPr>
          <w:p>
            <w:pPr>
              <w:spacing w:after="0"/>
              <w:rPr>
                <w:sz w:val="18"/>
                <w:szCs w:val="18"/>
                <w:color w:val="auto"/>
              </w:rPr>
            </w:pPr>
          </w:p>
        </w:tc>
        <w:tc>
          <w:tcPr>
            <w:tcW w:w="7280" w:type="dxa"/>
            <w:vAlign w:val="bottom"/>
            <w:tcBorders>
              <w:right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rights of holders of Old Notes under that registration rights agreement. After the exchange</w:t>
            </w:r>
          </w:p>
        </w:tc>
      </w:tr>
      <w:tr>
        <w:trPr>
          <w:trHeight w:val="216"/>
        </w:trPr>
        <w:tc>
          <w:tcPr>
            <w:tcW w:w="3740" w:type="dxa"/>
            <w:vAlign w:val="bottom"/>
            <w:tcBorders>
              <w:left w:val="single" w:sz="8" w:color="auto"/>
            </w:tcBorders>
          </w:tcPr>
          <w:p>
            <w:pPr>
              <w:spacing w:after="0"/>
              <w:rPr>
                <w:sz w:val="18"/>
                <w:szCs w:val="18"/>
                <w:color w:val="auto"/>
              </w:rPr>
            </w:pPr>
          </w:p>
        </w:tc>
        <w:tc>
          <w:tcPr>
            <w:tcW w:w="7280" w:type="dxa"/>
            <w:vAlign w:val="bottom"/>
            <w:tcBorders>
              <w:right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offer is completed, we will have no further obligations, except under certain limited</w:t>
            </w:r>
          </w:p>
        </w:tc>
      </w:tr>
      <w:tr>
        <w:trPr>
          <w:trHeight w:val="216"/>
        </w:trPr>
        <w:tc>
          <w:tcPr>
            <w:tcW w:w="3740" w:type="dxa"/>
            <w:vAlign w:val="bottom"/>
            <w:tcBorders>
              <w:left w:val="single" w:sz="8" w:color="auto"/>
            </w:tcBorders>
          </w:tcPr>
          <w:p>
            <w:pPr>
              <w:spacing w:after="0"/>
              <w:rPr>
                <w:sz w:val="18"/>
                <w:szCs w:val="18"/>
                <w:color w:val="auto"/>
              </w:rPr>
            </w:pPr>
          </w:p>
        </w:tc>
        <w:tc>
          <w:tcPr>
            <w:tcW w:w="7280" w:type="dxa"/>
            <w:vAlign w:val="bottom"/>
            <w:tcBorders>
              <w:right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circumstances, to provide for any exchange or undertake any further registration with</w:t>
            </w:r>
          </w:p>
        </w:tc>
      </w:tr>
      <w:tr>
        <w:trPr>
          <w:trHeight w:val="234"/>
        </w:trPr>
        <w:tc>
          <w:tcPr>
            <w:tcW w:w="3740" w:type="dxa"/>
            <w:vAlign w:val="bottom"/>
            <w:tcBorders>
              <w:left w:val="single" w:sz="8" w:color="auto"/>
            </w:tcBorders>
          </w:tcPr>
          <w:p>
            <w:pPr>
              <w:spacing w:after="0"/>
              <w:rPr>
                <w:sz w:val="20"/>
                <w:szCs w:val="20"/>
                <w:color w:val="auto"/>
              </w:rPr>
            </w:pPr>
          </w:p>
        </w:tc>
        <w:tc>
          <w:tcPr>
            <w:tcW w:w="7280" w:type="dxa"/>
            <w:vAlign w:val="bottom"/>
            <w:tcBorders>
              <w:right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respect to the Old Notes.</w:t>
            </w:r>
          </w:p>
        </w:tc>
      </w:tr>
      <w:tr>
        <w:trPr>
          <w:trHeight w:val="441"/>
        </w:trPr>
        <w:tc>
          <w:tcPr>
            <w:tcW w:w="374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Transferability</w:t>
            </w:r>
          </w:p>
        </w:tc>
        <w:tc>
          <w:tcPr>
            <w:tcW w:w="7280" w:type="dxa"/>
            <w:vAlign w:val="bottom"/>
            <w:tcBorders>
              <w:right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Based upon existing interpretations of the Securities Act by the staff of the SEC contained</w:t>
            </w:r>
          </w:p>
        </w:tc>
      </w:tr>
      <w:tr>
        <w:trPr>
          <w:trHeight w:val="216"/>
        </w:trPr>
        <w:tc>
          <w:tcPr>
            <w:tcW w:w="3740" w:type="dxa"/>
            <w:vAlign w:val="bottom"/>
            <w:tcBorders>
              <w:left w:val="single" w:sz="8" w:color="auto"/>
            </w:tcBorders>
          </w:tcPr>
          <w:p>
            <w:pPr>
              <w:spacing w:after="0"/>
              <w:rPr>
                <w:sz w:val="18"/>
                <w:szCs w:val="18"/>
                <w:color w:val="auto"/>
              </w:rPr>
            </w:pPr>
          </w:p>
        </w:tc>
        <w:tc>
          <w:tcPr>
            <w:tcW w:w="7280" w:type="dxa"/>
            <w:vAlign w:val="bottom"/>
            <w:tcBorders>
              <w:right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in several no-action letters issued to third parties, we believe that the New Notes may be</w:t>
            </w:r>
          </w:p>
        </w:tc>
      </w:tr>
      <w:tr>
        <w:trPr>
          <w:trHeight w:val="216"/>
        </w:trPr>
        <w:tc>
          <w:tcPr>
            <w:tcW w:w="3740" w:type="dxa"/>
            <w:vAlign w:val="bottom"/>
            <w:tcBorders>
              <w:left w:val="single" w:sz="8" w:color="auto"/>
            </w:tcBorders>
          </w:tcPr>
          <w:p>
            <w:pPr>
              <w:spacing w:after="0"/>
              <w:rPr>
                <w:sz w:val="18"/>
                <w:szCs w:val="18"/>
                <w:color w:val="auto"/>
              </w:rPr>
            </w:pPr>
          </w:p>
        </w:tc>
        <w:tc>
          <w:tcPr>
            <w:tcW w:w="7280" w:type="dxa"/>
            <w:vAlign w:val="bottom"/>
            <w:tcBorders>
              <w:right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offered for resale, resold or otherwise transferred by you without compliance with the</w:t>
            </w:r>
          </w:p>
        </w:tc>
      </w:tr>
      <w:tr>
        <w:trPr>
          <w:trHeight w:val="234"/>
        </w:trPr>
        <w:tc>
          <w:tcPr>
            <w:tcW w:w="3740" w:type="dxa"/>
            <w:vAlign w:val="bottom"/>
            <w:tcBorders>
              <w:left w:val="single" w:sz="8" w:color="auto"/>
            </w:tcBorders>
          </w:tcPr>
          <w:p>
            <w:pPr>
              <w:spacing w:after="0"/>
              <w:rPr>
                <w:sz w:val="20"/>
                <w:szCs w:val="20"/>
                <w:color w:val="auto"/>
              </w:rPr>
            </w:pPr>
          </w:p>
        </w:tc>
        <w:tc>
          <w:tcPr>
            <w:tcW w:w="7280" w:type="dxa"/>
            <w:vAlign w:val="bottom"/>
            <w:tcBorders>
              <w:right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registration and prospectus delivery requirements of the Securities Act, provided that:</w:t>
            </w:r>
          </w:p>
        </w:tc>
      </w:tr>
      <w:tr>
        <w:trPr>
          <w:trHeight w:val="319"/>
        </w:trPr>
        <w:tc>
          <w:tcPr>
            <w:tcW w:w="3740" w:type="dxa"/>
            <w:vAlign w:val="bottom"/>
            <w:tcBorders>
              <w:left w:val="single" w:sz="8" w:color="auto"/>
            </w:tcBorders>
          </w:tcPr>
          <w:p>
            <w:pPr>
              <w:spacing w:after="0"/>
              <w:rPr>
                <w:sz w:val="24"/>
                <w:szCs w:val="24"/>
                <w:color w:val="auto"/>
              </w:rPr>
            </w:pPr>
          </w:p>
        </w:tc>
        <w:tc>
          <w:tcPr>
            <w:tcW w:w="7280" w:type="dxa"/>
            <w:vAlign w:val="bottom"/>
            <w:tcBorders>
              <w:right w:val="single" w:sz="8" w:color="auto"/>
            </w:tcBorders>
          </w:tcPr>
          <w:p>
            <w:pPr>
              <w:ind w:left="700"/>
              <w:spacing w:after="0"/>
              <w:rPr>
                <w:sz w:val="20"/>
                <w:szCs w:val="20"/>
                <w:color w:val="auto"/>
              </w:rPr>
            </w:pPr>
            <w:r>
              <w:rPr>
                <w:rFonts w:ascii="Times New Roman" w:cs="Times New Roman" w:eastAsia="Times New Roman" w:hAnsi="Times New Roman"/>
                <w:sz w:val="18"/>
                <w:szCs w:val="18"/>
                <w:color w:val="auto"/>
              </w:rPr>
              <w:t>•   you are, or the person receiving the New Notes is, acquiring the New Notes in the</w:t>
            </w:r>
          </w:p>
        </w:tc>
      </w:tr>
      <w:tr>
        <w:trPr>
          <w:trHeight w:val="234"/>
        </w:trPr>
        <w:tc>
          <w:tcPr>
            <w:tcW w:w="3740" w:type="dxa"/>
            <w:vAlign w:val="bottom"/>
            <w:tcBorders>
              <w:left w:val="single" w:sz="8" w:color="auto"/>
            </w:tcBorders>
          </w:tcPr>
          <w:p>
            <w:pPr>
              <w:spacing w:after="0"/>
              <w:rPr>
                <w:sz w:val="20"/>
                <w:szCs w:val="20"/>
                <w:color w:val="auto"/>
              </w:rPr>
            </w:pPr>
          </w:p>
        </w:tc>
        <w:tc>
          <w:tcPr>
            <w:tcW w:w="7280" w:type="dxa"/>
            <w:vAlign w:val="bottom"/>
            <w:tcBorders>
              <w:right w:val="single" w:sz="8" w:color="auto"/>
            </w:tcBorders>
          </w:tcPr>
          <w:p>
            <w:pPr>
              <w:ind w:left="980"/>
              <w:spacing w:after="0"/>
              <w:rPr>
                <w:sz w:val="20"/>
                <w:szCs w:val="20"/>
                <w:color w:val="auto"/>
              </w:rPr>
            </w:pPr>
            <w:r>
              <w:rPr>
                <w:rFonts w:ascii="Times New Roman" w:cs="Times New Roman" w:eastAsia="Times New Roman" w:hAnsi="Times New Roman"/>
                <w:sz w:val="18"/>
                <w:szCs w:val="18"/>
                <w:color w:val="auto"/>
              </w:rPr>
              <w:t>ordinary course of business;</w:t>
            </w:r>
          </w:p>
        </w:tc>
      </w:tr>
      <w:tr>
        <w:trPr>
          <w:trHeight w:val="319"/>
        </w:trPr>
        <w:tc>
          <w:tcPr>
            <w:tcW w:w="3740" w:type="dxa"/>
            <w:vAlign w:val="bottom"/>
            <w:tcBorders>
              <w:left w:val="single" w:sz="8" w:color="auto"/>
            </w:tcBorders>
          </w:tcPr>
          <w:p>
            <w:pPr>
              <w:spacing w:after="0"/>
              <w:rPr>
                <w:sz w:val="24"/>
                <w:szCs w:val="24"/>
                <w:color w:val="auto"/>
              </w:rPr>
            </w:pPr>
          </w:p>
        </w:tc>
        <w:tc>
          <w:tcPr>
            <w:tcW w:w="7280" w:type="dxa"/>
            <w:vAlign w:val="bottom"/>
            <w:tcBorders>
              <w:right w:val="single" w:sz="8" w:color="auto"/>
            </w:tcBorders>
          </w:tcPr>
          <w:p>
            <w:pPr>
              <w:ind w:left="700"/>
              <w:spacing w:after="0"/>
              <w:rPr>
                <w:sz w:val="20"/>
                <w:szCs w:val="20"/>
                <w:color w:val="auto"/>
              </w:rPr>
            </w:pPr>
            <w:r>
              <w:rPr>
                <w:rFonts w:ascii="Times New Roman" w:cs="Times New Roman" w:eastAsia="Times New Roman" w:hAnsi="Times New Roman"/>
                <w:sz w:val="18"/>
                <w:szCs w:val="18"/>
                <w:color w:val="auto"/>
              </w:rPr>
              <w:t>•   you are not, nor is any such person, our affiliate as such term is defined under Rule</w:t>
            </w:r>
          </w:p>
        </w:tc>
      </w:tr>
      <w:tr>
        <w:trPr>
          <w:trHeight w:val="234"/>
        </w:trPr>
        <w:tc>
          <w:tcPr>
            <w:tcW w:w="3740" w:type="dxa"/>
            <w:vAlign w:val="bottom"/>
            <w:tcBorders>
              <w:left w:val="single" w:sz="8" w:color="auto"/>
            </w:tcBorders>
          </w:tcPr>
          <w:p>
            <w:pPr>
              <w:spacing w:after="0"/>
              <w:rPr>
                <w:sz w:val="20"/>
                <w:szCs w:val="20"/>
                <w:color w:val="auto"/>
              </w:rPr>
            </w:pPr>
          </w:p>
        </w:tc>
        <w:tc>
          <w:tcPr>
            <w:tcW w:w="7280" w:type="dxa"/>
            <w:vAlign w:val="bottom"/>
            <w:tcBorders>
              <w:right w:val="single" w:sz="8" w:color="auto"/>
            </w:tcBorders>
          </w:tcPr>
          <w:p>
            <w:pPr>
              <w:ind w:left="980"/>
              <w:spacing w:after="0"/>
              <w:rPr>
                <w:sz w:val="20"/>
                <w:szCs w:val="20"/>
                <w:color w:val="auto"/>
              </w:rPr>
            </w:pPr>
            <w:r>
              <w:rPr>
                <w:rFonts w:ascii="Times New Roman" w:cs="Times New Roman" w:eastAsia="Times New Roman" w:hAnsi="Times New Roman"/>
                <w:sz w:val="18"/>
                <w:szCs w:val="18"/>
                <w:color w:val="auto"/>
              </w:rPr>
              <w:t>405 under the Securities Act;</w:t>
            </w:r>
          </w:p>
        </w:tc>
      </w:tr>
      <w:tr>
        <w:trPr>
          <w:trHeight w:val="319"/>
        </w:trPr>
        <w:tc>
          <w:tcPr>
            <w:tcW w:w="3740" w:type="dxa"/>
            <w:vAlign w:val="bottom"/>
            <w:tcBorders>
              <w:left w:val="single" w:sz="8" w:color="auto"/>
            </w:tcBorders>
          </w:tcPr>
          <w:p>
            <w:pPr>
              <w:spacing w:after="0"/>
              <w:rPr>
                <w:sz w:val="24"/>
                <w:szCs w:val="24"/>
                <w:color w:val="auto"/>
              </w:rPr>
            </w:pPr>
          </w:p>
        </w:tc>
        <w:tc>
          <w:tcPr>
            <w:tcW w:w="7280" w:type="dxa"/>
            <w:vAlign w:val="bottom"/>
            <w:tcBorders>
              <w:right w:val="single" w:sz="8" w:color="auto"/>
            </w:tcBorders>
          </w:tcPr>
          <w:p>
            <w:pPr>
              <w:ind w:left="700"/>
              <w:spacing w:after="0"/>
              <w:rPr>
                <w:sz w:val="20"/>
                <w:szCs w:val="20"/>
                <w:color w:val="auto"/>
              </w:rPr>
            </w:pPr>
            <w:r>
              <w:rPr>
                <w:rFonts w:ascii="Times New Roman" w:cs="Times New Roman" w:eastAsia="Times New Roman" w:hAnsi="Times New Roman"/>
                <w:sz w:val="18"/>
                <w:szCs w:val="18"/>
                <w:color w:val="auto"/>
              </w:rPr>
              <w:t>•   you do not, nor does any such person, have an arrangement or understanding with</w:t>
            </w:r>
          </w:p>
        </w:tc>
      </w:tr>
      <w:tr>
        <w:trPr>
          <w:trHeight w:val="216"/>
        </w:trPr>
        <w:tc>
          <w:tcPr>
            <w:tcW w:w="3740" w:type="dxa"/>
            <w:vAlign w:val="bottom"/>
            <w:tcBorders>
              <w:left w:val="single" w:sz="8" w:color="auto"/>
            </w:tcBorders>
          </w:tcPr>
          <w:p>
            <w:pPr>
              <w:spacing w:after="0"/>
              <w:rPr>
                <w:sz w:val="18"/>
                <w:szCs w:val="18"/>
                <w:color w:val="auto"/>
              </w:rPr>
            </w:pPr>
          </w:p>
        </w:tc>
        <w:tc>
          <w:tcPr>
            <w:tcW w:w="7280" w:type="dxa"/>
            <w:vAlign w:val="bottom"/>
            <w:tcBorders>
              <w:right w:val="single" w:sz="8" w:color="auto"/>
            </w:tcBorders>
          </w:tcPr>
          <w:p>
            <w:pPr>
              <w:ind w:left="980"/>
              <w:spacing w:after="0"/>
              <w:rPr>
                <w:sz w:val="20"/>
                <w:szCs w:val="20"/>
                <w:color w:val="auto"/>
              </w:rPr>
            </w:pPr>
            <w:r>
              <w:rPr>
                <w:rFonts w:ascii="Times New Roman" w:cs="Times New Roman" w:eastAsia="Times New Roman" w:hAnsi="Times New Roman"/>
                <w:sz w:val="18"/>
                <w:szCs w:val="18"/>
                <w:color w:val="auto"/>
              </w:rPr>
              <w:t>any person to participate in any distribution (within the meaning of the Securities</w:t>
            </w:r>
          </w:p>
        </w:tc>
      </w:tr>
      <w:tr>
        <w:trPr>
          <w:trHeight w:val="234"/>
        </w:trPr>
        <w:tc>
          <w:tcPr>
            <w:tcW w:w="3740" w:type="dxa"/>
            <w:vAlign w:val="bottom"/>
            <w:tcBorders>
              <w:left w:val="single" w:sz="8" w:color="auto"/>
            </w:tcBorders>
          </w:tcPr>
          <w:p>
            <w:pPr>
              <w:spacing w:after="0"/>
              <w:rPr>
                <w:sz w:val="20"/>
                <w:szCs w:val="20"/>
                <w:color w:val="auto"/>
              </w:rPr>
            </w:pPr>
          </w:p>
        </w:tc>
        <w:tc>
          <w:tcPr>
            <w:tcW w:w="7280" w:type="dxa"/>
            <w:vAlign w:val="bottom"/>
            <w:tcBorders>
              <w:right w:val="single" w:sz="8" w:color="auto"/>
            </w:tcBorders>
          </w:tcPr>
          <w:p>
            <w:pPr>
              <w:ind w:left="980"/>
              <w:spacing w:after="0"/>
              <w:rPr>
                <w:sz w:val="20"/>
                <w:szCs w:val="20"/>
                <w:color w:val="auto"/>
              </w:rPr>
            </w:pPr>
            <w:r>
              <w:rPr>
                <w:rFonts w:ascii="Times New Roman" w:cs="Times New Roman" w:eastAsia="Times New Roman" w:hAnsi="Times New Roman"/>
                <w:sz w:val="18"/>
                <w:szCs w:val="18"/>
                <w:color w:val="auto"/>
              </w:rPr>
              <w:t>Act) of the New Notes;</w:t>
            </w:r>
          </w:p>
        </w:tc>
      </w:tr>
      <w:tr>
        <w:trPr>
          <w:trHeight w:val="319"/>
        </w:trPr>
        <w:tc>
          <w:tcPr>
            <w:tcW w:w="3740" w:type="dxa"/>
            <w:vAlign w:val="bottom"/>
            <w:tcBorders>
              <w:left w:val="single" w:sz="8" w:color="auto"/>
            </w:tcBorders>
          </w:tcPr>
          <w:p>
            <w:pPr>
              <w:spacing w:after="0"/>
              <w:rPr>
                <w:sz w:val="24"/>
                <w:szCs w:val="24"/>
                <w:color w:val="auto"/>
              </w:rPr>
            </w:pPr>
          </w:p>
        </w:tc>
        <w:tc>
          <w:tcPr>
            <w:tcW w:w="7280" w:type="dxa"/>
            <w:vAlign w:val="bottom"/>
            <w:tcBorders>
              <w:right w:val="single" w:sz="8" w:color="auto"/>
            </w:tcBorders>
          </w:tcPr>
          <w:p>
            <w:pPr>
              <w:ind w:left="700"/>
              <w:spacing w:after="0"/>
              <w:rPr>
                <w:sz w:val="20"/>
                <w:szCs w:val="20"/>
                <w:color w:val="auto"/>
              </w:rPr>
            </w:pPr>
            <w:r>
              <w:rPr>
                <w:rFonts w:ascii="Times New Roman" w:cs="Times New Roman" w:eastAsia="Times New Roman" w:hAnsi="Times New Roman"/>
                <w:sz w:val="18"/>
                <w:szCs w:val="18"/>
                <w:color w:val="auto"/>
              </w:rPr>
              <w:t>•   you are not, nor is any such person, a broker-dealer registered under the Exchange</w:t>
            </w:r>
          </w:p>
        </w:tc>
      </w:tr>
      <w:tr>
        <w:trPr>
          <w:trHeight w:val="216"/>
        </w:trPr>
        <w:tc>
          <w:tcPr>
            <w:tcW w:w="3740" w:type="dxa"/>
            <w:vAlign w:val="bottom"/>
            <w:tcBorders>
              <w:left w:val="single" w:sz="8" w:color="auto"/>
            </w:tcBorders>
          </w:tcPr>
          <w:p>
            <w:pPr>
              <w:spacing w:after="0"/>
              <w:rPr>
                <w:sz w:val="18"/>
                <w:szCs w:val="18"/>
                <w:color w:val="auto"/>
              </w:rPr>
            </w:pPr>
          </w:p>
        </w:tc>
        <w:tc>
          <w:tcPr>
            <w:tcW w:w="7280" w:type="dxa"/>
            <w:vAlign w:val="bottom"/>
            <w:tcBorders>
              <w:right w:val="single" w:sz="8" w:color="auto"/>
            </w:tcBorders>
          </w:tcPr>
          <w:p>
            <w:pPr>
              <w:ind w:left="980"/>
              <w:spacing w:after="0"/>
              <w:rPr>
                <w:sz w:val="20"/>
                <w:szCs w:val="20"/>
                <w:color w:val="auto"/>
              </w:rPr>
            </w:pPr>
            <w:r>
              <w:rPr>
                <w:rFonts w:ascii="Times New Roman" w:cs="Times New Roman" w:eastAsia="Times New Roman" w:hAnsi="Times New Roman"/>
                <w:sz w:val="18"/>
                <w:szCs w:val="18"/>
                <w:color w:val="auto"/>
              </w:rPr>
              <w:t>Act, and you are not engaged in and do not intend to engage in, nor is any such</w:t>
            </w:r>
          </w:p>
        </w:tc>
      </w:tr>
      <w:tr>
        <w:trPr>
          <w:trHeight w:val="216"/>
        </w:trPr>
        <w:tc>
          <w:tcPr>
            <w:tcW w:w="3740" w:type="dxa"/>
            <w:vAlign w:val="bottom"/>
            <w:tcBorders>
              <w:left w:val="single" w:sz="8" w:color="auto"/>
            </w:tcBorders>
          </w:tcPr>
          <w:p>
            <w:pPr>
              <w:spacing w:after="0"/>
              <w:rPr>
                <w:sz w:val="18"/>
                <w:szCs w:val="18"/>
                <w:color w:val="auto"/>
              </w:rPr>
            </w:pPr>
          </w:p>
        </w:tc>
        <w:tc>
          <w:tcPr>
            <w:tcW w:w="7280" w:type="dxa"/>
            <w:vAlign w:val="bottom"/>
            <w:tcBorders>
              <w:right w:val="single" w:sz="8" w:color="auto"/>
            </w:tcBorders>
          </w:tcPr>
          <w:p>
            <w:pPr>
              <w:ind w:left="980"/>
              <w:spacing w:after="0"/>
              <w:rPr>
                <w:sz w:val="20"/>
                <w:szCs w:val="20"/>
                <w:color w:val="auto"/>
              </w:rPr>
            </w:pPr>
            <w:r>
              <w:rPr>
                <w:rFonts w:ascii="Times New Roman" w:cs="Times New Roman" w:eastAsia="Times New Roman" w:hAnsi="Times New Roman"/>
                <w:sz w:val="18"/>
                <w:szCs w:val="18"/>
                <w:color w:val="auto"/>
              </w:rPr>
              <w:t>person engaged in or intending to engage in, any distribution (within the meaning of</w:t>
            </w:r>
          </w:p>
        </w:tc>
      </w:tr>
      <w:tr>
        <w:trPr>
          <w:trHeight w:val="234"/>
        </w:trPr>
        <w:tc>
          <w:tcPr>
            <w:tcW w:w="3740" w:type="dxa"/>
            <w:vAlign w:val="bottom"/>
            <w:tcBorders>
              <w:left w:val="single" w:sz="8" w:color="auto"/>
            </w:tcBorders>
          </w:tcPr>
          <w:p>
            <w:pPr>
              <w:spacing w:after="0"/>
              <w:rPr>
                <w:sz w:val="20"/>
                <w:szCs w:val="20"/>
                <w:color w:val="auto"/>
              </w:rPr>
            </w:pPr>
          </w:p>
        </w:tc>
        <w:tc>
          <w:tcPr>
            <w:tcW w:w="7280" w:type="dxa"/>
            <w:vAlign w:val="bottom"/>
            <w:tcBorders>
              <w:right w:val="single" w:sz="8" w:color="auto"/>
            </w:tcBorders>
          </w:tcPr>
          <w:p>
            <w:pPr>
              <w:ind w:left="980"/>
              <w:spacing w:after="0"/>
              <w:rPr>
                <w:sz w:val="20"/>
                <w:szCs w:val="20"/>
                <w:color w:val="auto"/>
              </w:rPr>
            </w:pPr>
            <w:r>
              <w:rPr>
                <w:rFonts w:ascii="Times New Roman" w:cs="Times New Roman" w:eastAsia="Times New Roman" w:hAnsi="Times New Roman"/>
                <w:sz w:val="18"/>
                <w:szCs w:val="18"/>
                <w:color w:val="auto"/>
              </w:rPr>
              <w:t>the Securities Act) of the New Notes; and</w:t>
            </w:r>
          </w:p>
        </w:tc>
      </w:tr>
      <w:tr>
        <w:trPr>
          <w:trHeight w:val="319"/>
        </w:trPr>
        <w:tc>
          <w:tcPr>
            <w:tcW w:w="3740" w:type="dxa"/>
            <w:vAlign w:val="bottom"/>
            <w:tcBorders>
              <w:left w:val="single" w:sz="8" w:color="auto"/>
            </w:tcBorders>
          </w:tcPr>
          <w:p>
            <w:pPr>
              <w:spacing w:after="0"/>
              <w:rPr>
                <w:sz w:val="24"/>
                <w:szCs w:val="24"/>
                <w:color w:val="auto"/>
              </w:rPr>
            </w:pPr>
          </w:p>
        </w:tc>
        <w:tc>
          <w:tcPr>
            <w:tcW w:w="7280" w:type="dxa"/>
            <w:vAlign w:val="bottom"/>
            <w:tcBorders>
              <w:right w:val="single" w:sz="8" w:color="auto"/>
            </w:tcBorders>
          </w:tcPr>
          <w:p>
            <w:pPr>
              <w:ind w:left="700"/>
              <w:spacing w:after="0"/>
              <w:rPr>
                <w:sz w:val="20"/>
                <w:szCs w:val="20"/>
                <w:color w:val="auto"/>
              </w:rPr>
            </w:pPr>
            <w:r>
              <w:rPr>
                <w:rFonts w:ascii="Times New Roman" w:cs="Times New Roman" w:eastAsia="Times New Roman" w:hAnsi="Times New Roman"/>
                <w:sz w:val="18"/>
                <w:szCs w:val="18"/>
                <w:color w:val="auto"/>
              </w:rPr>
              <w:t>•   you are not acting on behalf of any person who could not truthfully make the</w:t>
            </w:r>
          </w:p>
        </w:tc>
      </w:tr>
      <w:tr>
        <w:trPr>
          <w:trHeight w:val="234"/>
        </w:trPr>
        <w:tc>
          <w:tcPr>
            <w:tcW w:w="3740" w:type="dxa"/>
            <w:vAlign w:val="bottom"/>
            <w:tcBorders>
              <w:left w:val="single" w:sz="8" w:color="auto"/>
            </w:tcBorders>
          </w:tcPr>
          <w:p>
            <w:pPr>
              <w:spacing w:after="0"/>
              <w:rPr>
                <w:sz w:val="20"/>
                <w:szCs w:val="20"/>
                <w:color w:val="auto"/>
              </w:rPr>
            </w:pPr>
          </w:p>
        </w:tc>
        <w:tc>
          <w:tcPr>
            <w:tcW w:w="7280" w:type="dxa"/>
            <w:vAlign w:val="bottom"/>
            <w:tcBorders>
              <w:right w:val="single" w:sz="8" w:color="auto"/>
            </w:tcBorders>
          </w:tcPr>
          <w:p>
            <w:pPr>
              <w:ind w:left="980"/>
              <w:spacing w:after="0"/>
              <w:rPr>
                <w:sz w:val="20"/>
                <w:szCs w:val="20"/>
                <w:color w:val="auto"/>
              </w:rPr>
            </w:pPr>
            <w:r>
              <w:rPr>
                <w:rFonts w:ascii="Times New Roman" w:cs="Times New Roman" w:eastAsia="Times New Roman" w:hAnsi="Times New Roman"/>
                <w:sz w:val="18"/>
                <w:szCs w:val="18"/>
                <w:color w:val="auto"/>
              </w:rPr>
              <w:t>aforementioned statements.</w:t>
            </w:r>
          </w:p>
        </w:tc>
      </w:tr>
      <w:tr>
        <w:trPr>
          <w:trHeight w:val="172"/>
        </w:trPr>
        <w:tc>
          <w:tcPr>
            <w:tcW w:w="3740" w:type="dxa"/>
            <w:vAlign w:val="bottom"/>
            <w:tcBorders>
              <w:left w:val="single" w:sz="8" w:color="auto"/>
              <w:bottom w:val="single" w:sz="8" w:color="auto"/>
            </w:tcBorders>
          </w:tcPr>
          <w:p>
            <w:pPr>
              <w:spacing w:after="0"/>
              <w:rPr>
                <w:sz w:val="14"/>
                <w:szCs w:val="14"/>
                <w:color w:val="auto"/>
              </w:rPr>
            </w:pPr>
          </w:p>
        </w:tc>
        <w:tc>
          <w:tcPr>
            <w:tcW w:w="7280" w:type="dxa"/>
            <w:vAlign w:val="bottom"/>
            <w:tcBorders>
              <w:bottom w:val="single" w:sz="8" w:color="auto"/>
              <w:right w:val="single" w:sz="8" w:color="auto"/>
            </w:tcBorders>
          </w:tcPr>
          <w:p>
            <w:pPr>
              <w:spacing w:after="0"/>
              <w:rPr>
                <w:sz w:val="14"/>
                <w:szCs w:val="14"/>
                <w:color w:val="auto"/>
              </w:rPr>
            </w:pPr>
          </w:p>
        </w:tc>
      </w:tr>
      <w:tr>
        <w:trPr>
          <w:trHeight w:val="361"/>
        </w:trPr>
        <w:tc>
          <w:tcPr>
            <w:tcW w:w="3740" w:type="dxa"/>
            <w:vAlign w:val="bottom"/>
          </w:tcPr>
          <w:p>
            <w:pPr>
              <w:spacing w:after="0"/>
              <w:rPr>
                <w:sz w:val="24"/>
                <w:szCs w:val="24"/>
                <w:color w:val="auto"/>
              </w:rPr>
            </w:pPr>
          </w:p>
        </w:tc>
        <w:tc>
          <w:tcPr>
            <w:tcW w:w="7280" w:type="dxa"/>
            <w:vAlign w:val="bottom"/>
          </w:tcPr>
          <w:p>
            <w:pPr>
              <w:ind w:left="1720"/>
              <w:spacing w:after="0"/>
              <w:rPr>
                <w:sz w:val="20"/>
                <w:szCs w:val="20"/>
                <w:color w:val="auto"/>
              </w:rPr>
            </w:pPr>
            <w:r>
              <w:rPr>
                <w:rFonts w:ascii="Times New Roman" w:cs="Times New Roman" w:eastAsia="Times New Roman" w:hAnsi="Times New Roman"/>
                <w:sz w:val="18"/>
                <w:szCs w:val="18"/>
                <w:color w:val="auto"/>
              </w:rPr>
              <w:t>3</w:t>
            </w:r>
          </w:p>
        </w:tc>
      </w:tr>
    </w:tbl>
    <w:p>
      <w:pPr>
        <w:sectPr>
          <w:pgSz w:w="11900" w:h="16838" w:orient="portrait"/>
          <w:cols w:equalWidth="0" w:num="1">
            <w:col w:w="11140"/>
          </w:cols>
          <w:pgMar w:left="320" w:top="455" w:right="4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9" w:lineRule="exact"/>
        <w:rPr>
          <w:sz w:val="20"/>
          <w:szCs w:val="20"/>
          <w:color w:val="auto"/>
        </w:rPr>
      </w:pPr>
    </w:p>
    <w:tbl>
      <w:tblPr>
        <w:tblLayout w:type="fixed"/>
        <w:tblInd w:w="130" w:type="dxa"/>
        <w:tblCellMar>
          <w:top w:w="0" w:type="dxa"/>
          <w:left w:w="0" w:type="dxa"/>
          <w:bottom w:w="0" w:type="dxa"/>
          <w:right w:w="0" w:type="dxa"/>
        </w:tblCellMar>
      </w:tblPr>
      <w:tr>
        <w:trPr>
          <w:trHeight w:val="376"/>
        </w:trPr>
        <w:tc>
          <w:tcPr>
            <w:tcW w:w="3940" w:type="dxa"/>
            <w:vAlign w:val="bottom"/>
            <w:tcBorders>
              <w:top w:val="single" w:sz="8" w:color="auto"/>
              <w:left w:val="single" w:sz="8" w:color="auto"/>
            </w:tcBorders>
          </w:tcPr>
          <w:p>
            <w:pPr>
              <w:spacing w:after="0"/>
              <w:rPr>
                <w:sz w:val="24"/>
                <w:szCs w:val="24"/>
                <w:color w:val="auto"/>
              </w:rPr>
            </w:pPr>
          </w:p>
        </w:tc>
        <w:tc>
          <w:tcPr>
            <w:tcW w:w="7080" w:type="dxa"/>
            <w:vAlign w:val="bottom"/>
            <w:tcBorders>
              <w:top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Our belief that transfers of New Notes would be permitted without registration or</w:t>
            </w:r>
          </w:p>
        </w:tc>
      </w:tr>
      <w:tr>
        <w:trPr>
          <w:trHeight w:val="216"/>
        </w:trPr>
        <w:tc>
          <w:tcPr>
            <w:tcW w:w="3940" w:type="dxa"/>
            <w:vAlign w:val="bottom"/>
            <w:tcBorders>
              <w:left w:val="single" w:sz="8" w:color="auto"/>
            </w:tcBorders>
          </w:tcPr>
          <w:p>
            <w:pPr>
              <w:spacing w:after="0"/>
              <w:rPr>
                <w:sz w:val="18"/>
                <w:szCs w:val="18"/>
                <w:color w:val="auto"/>
              </w:rPr>
            </w:pPr>
          </w:p>
        </w:tc>
        <w:tc>
          <w:tcPr>
            <w:tcW w:w="7080" w:type="dxa"/>
            <w:vAlign w:val="bottom"/>
            <w:tcBorders>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prospectus delivery under the conditions described above is based on interpretations by the</w:t>
            </w:r>
          </w:p>
        </w:tc>
      </w:tr>
      <w:tr>
        <w:trPr>
          <w:trHeight w:val="216"/>
        </w:trPr>
        <w:tc>
          <w:tcPr>
            <w:tcW w:w="3940" w:type="dxa"/>
            <w:vAlign w:val="bottom"/>
            <w:tcBorders>
              <w:left w:val="single" w:sz="8" w:color="auto"/>
            </w:tcBorders>
          </w:tcPr>
          <w:p>
            <w:pPr>
              <w:spacing w:after="0"/>
              <w:rPr>
                <w:sz w:val="18"/>
                <w:szCs w:val="18"/>
                <w:color w:val="auto"/>
              </w:rPr>
            </w:pPr>
          </w:p>
        </w:tc>
        <w:tc>
          <w:tcPr>
            <w:tcW w:w="7080" w:type="dxa"/>
            <w:vAlign w:val="bottom"/>
            <w:tcBorders>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staff of the SEC given to other, unrelated issuers in similar exchange offers. The staff of the</w:t>
            </w:r>
          </w:p>
        </w:tc>
      </w:tr>
      <w:tr>
        <w:trPr>
          <w:trHeight w:val="216"/>
        </w:trPr>
        <w:tc>
          <w:tcPr>
            <w:tcW w:w="3940" w:type="dxa"/>
            <w:vAlign w:val="bottom"/>
            <w:tcBorders>
              <w:left w:val="single" w:sz="8" w:color="auto"/>
            </w:tcBorders>
          </w:tcPr>
          <w:p>
            <w:pPr>
              <w:spacing w:after="0"/>
              <w:rPr>
                <w:sz w:val="18"/>
                <w:szCs w:val="18"/>
                <w:color w:val="auto"/>
              </w:rPr>
            </w:pPr>
          </w:p>
        </w:tc>
        <w:tc>
          <w:tcPr>
            <w:tcW w:w="7080" w:type="dxa"/>
            <w:vAlign w:val="bottom"/>
            <w:tcBorders>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SEC has not considered this exchange offer in the context of a no-action letter, and we</w:t>
            </w:r>
          </w:p>
        </w:tc>
      </w:tr>
      <w:tr>
        <w:trPr>
          <w:trHeight w:val="216"/>
        </w:trPr>
        <w:tc>
          <w:tcPr>
            <w:tcW w:w="3940" w:type="dxa"/>
            <w:vAlign w:val="bottom"/>
            <w:tcBorders>
              <w:left w:val="single" w:sz="8" w:color="auto"/>
            </w:tcBorders>
          </w:tcPr>
          <w:p>
            <w:pPr>
              <w:spacing w:after="0"/>
              <w:rPr>
                <w:sz w:val="18"/>
                <w:szCs w:val="18"/>
                <w:color w:val="auto"/>
              </w:rPr>
            </w:pPr>
          </w:p>
        </w:tc>
        <w:tc>
          <w:tcPr>
            <w:tcW w:w="7080" w:type="dxa"/>
            <w:vAlign w:val="bottom"/>
            <w:tcBorders>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cannot assure you that the staff of the SEC would make a similar interpretation with respect</w:t>
            </w:r>
          </w:p>
        </w:tc>
      </w:tr>
      <w:tr>
        <w:trPr>
          <w:trHeight w:val="234"/>
        </w:trPr>
        <w:tc>
          <w:tcPr>
            <w:tcW w:w="3940" w:type="dxa"/>
            <w:vAlign w:val="bottom"/>
            <w:tcBorders>
              <w:left w:val="single" w:sz="8" w:color="auto"/>
            </w:tcBorders>
          </w:tcPr>
          <w:p>
            <w:pPr>
              <w:spacing w:after="0"/>
              <w:rPr>
                <w:sz w:val="20"/>
                <w:szCs w:val="20"/>
                <w:color w:val="auto"/>
              </w:rPr>
            </w:pPr>
          </w:p>
        </w:tc>
        <w:tc>
          <w:tcPr>
            <w:tcW w:w="7080" w:type="dxa"/>
            <w:vAlign w:val="bottom"/>
            <w:tcBorders>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to our exchange offer.</w:t>
            </w:r>
          </w:p>
        </w:tc>
      </w:tr>
      <w:tr>
        <w:trPr>
          <w:trHeight w:val="441"/>
        </w:trPr>
        <w:tc>
          <w:tcPr>
            <w:tcW w:w="3940" w:type="dxa"/>
            <w:vAlign w:val="bottom"/>
            <w:tcBorders>
              <w:left w:val="single" w:sz="8" w:color="auto"/>
            </w:tcBorders>
          </w:tcPr>
          <w:p>
            <w:pPr>
              <w:spacing w:after="0"/>
              <w:rPr>
                <w:sz w:val="24"/>
                <w:szCs w:val="24"/>
                <w:color w:val="auto"/>
              </w:rPr>
            </w:pPr>
          </w:p>
        </w:tc>
        <w:tc>
          <w:tcPr>
            <w:tcW w:w="7080" w:type="dxa"/>
            <w:vAlign w:val="bottom"/>
            <w:tcBorders>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If our belief is not accurate and you transfer a New Note without delivering a prospectus</w:t>
            </w:r>
          </w:p>
        </w:tc>
      </w:tr>
      <w:tr>
        <w:trPr>
          <w:trHeight w:val="216"/>
        </w:trPr>
        <w:tc>
          <w:tcPr>
            <w:tcW w:w="3940" w:type="dxa"/>
            <w:vAlign w:val="bottom"/>
            <w:tcBorders>
              <w:left w:val="single" w:sz="8" w:color="auto"/>
            </w:tcBorders>
          </w:tcPr>
          <w:p>
            <w:pPr>
              <w:spacing w:after="0"/>
              <w:rPr>
                <w:sz w:val="18"/>
                <w:szCs w:val="18"/>
                <w:color w:val="auto"/>
              </w:rPr>
            </w:pPr>
          </w:p>
        </w:tc>
        <w:tc>
          <w:tcPr>
            <w:tcW w:w="7080" w:type="dxa"/>
            <w:vAlign w:val="bottom"/>
            <w:tcBorders>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meeting the requirements of the Securities Act or without an exemption from such</w:t>
            </w:r>
          </w:p>
        </w:tc>
      </w:tr>
      <w:tr>
        <w:trPr>
          <w:trHeight w:val="216"/>
        </w:trPr>
        <w:tc>
          <w:tcPr>
            <w:tcW w:w="3940" w:type="dxa"/>
            <w:vAlign w:val="bottom"/>
            <w:tcBorders>
              <w:left w:val="single" w:sz="8" w:color="auto"/>
            </w:tcBorders>
          </w:tcPr>
          <w:p>
            <w:pPr>
              <w:spacing w:after="0"/>
              <w:rPr>
                <w:sz w:val="18"/>
                <w:szCs w:val="18"/>
                <w:color w:val="auto"/>
              </w:rPr>
            </w:pPr>
          </w:p>
        </w:tc>
        <w:tc>
          <w:tcPr>
            <w:tcW w:w="7080" w:type="dxa"/>
            <w:vAlign w:val="bottom"/>
            <w:tcBorders>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requirements, you may incur liability under the Securities Act. We do not and will not</w:t>
            </w:r>
          </w:p>
        </w:tc>
      </w:tr>
      <w:tr>
        <w:trPr>
          <w:trHeight w:val="234"/>
        </w:trPr>
        <w:tc>
          <w:tcPr>
            <w:tcW w:w="3940" w:type="dxa"/>
            <w:vAlign w:val="bottom"/>
            <w:tcBorders>
              <w:left w:val="single" w:sz="8" w:color="auto"/>
            </w:tcBorders>
          </w:tcPr>
          <w:p>
            <w:pPr>
              <w:spacing w:after="0"/>
              <w:rPr>
                <w:sz w:val="20"/>
                <w:szCs w:val="20"/>
                <w:color w:val="auto"/>
              </w:rPr>
            </w:pPr>
          </w:p>
        </w:tc>
        <w:tc>
          <w:tcPr>
            <w:tcW w:w="7080" w:type="dxa"/>
            <w:vAlign w:val="bottom"/>
            <w:tcBorders>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assume, or indemnify you against, such liability.</w:t>
            </w:r>
          </w:p>
        </w:tc>
      </w:tr>
      <w:tr>
        <w:trPr>
          <w:trHeight w:val="441"/>
        </w:trPr>
        <w:tc>
          <w:tcPr>
            <w:tcW w:w="3940" w:type="dxa"/>
            <w:vAlign w:val="bottom"/>
            <w:tcBorders>
              <w:left w:val="single" w:sz="8" w:color="auto"/>
            </w:tcBorders>
          </w:tcPr>
          <w:p>
            <w:pPr>
              <w:spacing w:after="0"/>
              <w:rPr>
                <w:sz w:val="24"/>
                <w:szCs w:val="24"/>
                <w:color w:val="auto"/>
              </w:rPr>
            </w:pPr>
          </w:p>
        </w:tc>
        <w:tc>
          <w:tcPr>
            <w:tcW w:w="7080" w:type="dxa"/>
            <w:vAlign w:val="bottom"/>
            <w:tcBorders>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Each broker-dealer that receives New Notes for its own account under the exchange offer</w:t>
            </w:r>
          </w:p>
        </w:tc>
      </w:tr>
      <w:tr>
        <w:trPr>
          <w:trHeight w:val="216"/>
        </w:trPr>
        <w:tc>
          <w:tcPr>
            <w:tcW w:w="3940" w:type="dxa"/>
            <w:vAlign w:val="bottom"/>
            <w:tcBorders>
              <w:left w:val="single" w:sz="8" w:color="auto"/>
            </w:tcBorders>
          </w:tcPr>
          <w:p>
            <w:pPr>
              <w:spacing w:after="0"/>
              <w:rPr>
                <w:sz w:val="18"/>
                <w:szCs w:val="18"/>
                <w:color w:val="auto"/>
              </w:rPr>
            </w:pPr>
          </w:p>
        </w:tc>
        <w:tc>
          <w:tcPr>
            <w:tcW w:w="7080" w:type="dxa"/>
            <w:vAlign w:val="bottom"/>
            <w:tcBorders>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in exchange for Old Notes that were acquired by the broker-dealer as a result of market-</w:t>
            </w:r>
          </w:p>
        </w:tc>
      </w:tr>
      <w:tr>
        <w:trPr>
          <w:trHeight w:val="216"/>
        </w:trPr>
        <w:tc>
          <w:tcPr>
            <w:tcW w:w="3940" w:type="dxa"/>
            <w:vAlign w:val="bottom"/>
            <w:tcBorders>
              <w:left w:val="single" w:sz="8" w:color="auto"/>
            </w:tcBorders>
          </w:tcPr>
          <w:p>
            <w:pPr>
              <w:spacing w:after="0"/>
              <w:rPr>
                <w:sz w:val="18"/>
                <w:szCs w:val="18"/>
                <w:color w:val="auto"/>
              </w:rPr>
            </w:pPr>
          </w:p>
        </w:tc>
        <w:tc>
          <w:tcPr>
            <w:tcW w:w="7080" w:type="dxa"/>
            <w:vAlign w:val="bottom"/>
            <w:tcBorders>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making or other trading activity must acknowledge that it will deliver a prospectus meeting</w:t>
            </w:r>
          </w:p>
        </w:tc>
      </w:tr>
      <w:tr>
        <w:trPr>
          <w:trHeight w:val="234"/>
        </w:trPr>
        <w:tc>
          <w:tcPr>
            <w:tcW w:w="3940" w:type="dxa"/>
            <w:vAlign w:val="bottom"/>
            <w:tcBorders>
              <w:left w:val="single" w:sz="8" w:color="auto"/>
            </w:tcBorders>
          </w:tcPr>
          <w:p>
            <w:pPr>
              <w:spacing w:after="0"/>
              <w:rPr>
                <w:sz w:val="20"/>
                <w:szCs w:val="20"/>
                <w:color w:val="auto"/>
              </w:rPr>
            </w:pPr>
          </w:p>
        </w:tc>
        <w:tc>
          <w:tcPr>
            <w:tcW w:w="7080" w:type="dxa"/>
            <w:vAlign w:val="bottom"/>
            <w:tcBorders>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the requirements of the Securities Act in connection with any resale of the New Notes.</w:t>
            </w:r>
          </w:p>
        </w:tc>
      </w:tr>
      <w:tr>
        <w:trPr>
          <w:trHeight w:val="459"/>
        </w:trPr>
        <w:tc>
          <w:tcPr>
            <w:tcW w:w="3940" w:type="dxa"/>
            <w:vAlign w:val="bottom"/>
            <w:tcBorders>
              <w:left w:val="single" w:sz="8" w:color="auto"/>
            </w:tcBorders>
          </w:tcPr>
          <w:p>
            <w:pPr>
              <w:spacing w:after="0"/>
              <w:rPr>
                <w:sz w:val="24"/>
                <w:szCs w:val="24"/>
                <w:color w:val="auto"/>
              </w:rPr>
            </w:pPr>
          </w:p>
        </w:tc>
        <w:tc>
          <w:tcPr>
            <w:tcW w:w="7080" w:type="dxa"/>
            <w:vAlign w:val="bottom"/>
            <w:tcBorders>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See “The Exchange Offer—Eligibility; Transferability” and “Plan of Distribution.”</w:t>
            </w:r>
          </w:p>
        </w:tc>
      </w:tr>
      <w:tr>
        <w:trPr>
          <w:trHeight w:val="441"/>
        </w:trPr>
        <w:tc>
          <w:tcPr>
            <w:tcW w:w="394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Consequences of Failing to Exchange Old Notes</w:t>
            </w:r>
          </w:p>
        </w:tc>
        <w:tc>
          <w:tcPr>
            <w:tcW w:w="7080" w:type="dxa"/>
            <w:vAlign w:val="bottom"/>
            <w:tcBorders>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Any Old Notes that are not exchanged in the exchange offer will continue to be governed</w:t>
            </w:r>
          </w:p>
        </w:tc>
      </w:tr>
      <w:tr>
        <w:trPr>
          <w:trHeight w:val="216"/>
        </w:trPr>
        <w:tc>
          <w:tcPr>
            <w:tcW w:w="3940" w:type="dxa"/>
            <w:vAlign w:val="bottom"/>
            <w:tcBorders>
              <w:left w:val="single" w:sz="8" w:color="auto"/>
            </w:tcBorders>
          </w:tcPr>
          <w:p>
            <w:pPr>
              <w:spacing w:after="0"/>
              <w:rPr>
                <w:sz w:val="18"/>
                <w:szCs w:val="18"/>
                <w:color w:val="auto"/>
              </w:rPr>
            </w:pPr>
          </w:p>
        </w:tc>
        <w:tc>
          <w:tcPr>
            <w:tcW w:w="7080" w:type="dxa"/>
            <w:vAlign w:val="bottom"/>
            <w:tcBorders>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by the indenture relating to the Old Notes and the terms of the Old Notes. Old Notes that</w:t>
            </w:r>
          </w:p>
        </w:tc>
      </w:tr>
      <w:tr>
        <w:trPr>
          <w:trHeight w:val="216"/>
        </w:trPr>
        <w:tc>
          <w:tcPr>
            <w:tcW w:w="3940" w:type="dxa"/>
            <w:vAlign w:val="bottom"/>
            <w:tcBorders>
              <w:left w:val="single" w:sz="8" w:color="auto"/>
            </w:tcBorders>
          </w:tcPr>
          <w:p>
            <w:pPr>
              <w:spacing w:after="0"/>
              <w:rPr>
                <w:sz w:val="18"/>
                <w:szCs w:val="18"/>
                <w:color w:val="auto"/>
              </w:rPr>
            </w:pPr>
          </w:p>
        </w:tc>
        <w:tc>
          <w:tcPr>
            <w:tcW w:w="7080" w:type="dxa"/>
            <w:vAlign w:val="bottom"/>
            <w:tcBorders>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are not exchanged will remain subject to the restrictions on transfer described in the Old</w:t>
            </w:r>
          </w:p>
        </w:tc>
      </w:tr>
      <w:tr>
        <w:trPr>
          <w:trHeight w:val="216"/>
        </w:trPr>
        <w:tc>
          <w:tcPr>
            <w:tcW w:w="3940" w:type="dxa"/>
            <w:vAlign w:val="bottom"/>
            <w:tcBorders>
              <w:left w:val="single" w:sz="8" w:color="auto"/>
            </w:tcBorders>
          </w:tcPr>
          <w:p>
            <w:pPr>
              <w:spacing w:after="0"/>
              <w:rPr>
                <w:sz w:val="18"/>
                <w:szCs w:val="18"/>
                <w:color w:val="auto"/>
              </w:rPr>
            </w:pPr>
          </w:p>
        </w:tc>
        <w:tc>
          <w:tcPr>
            <w:tcW w:w="7080" w:type="dxa"/>
            <w:vAlign w:val="bottom"/>
            <w:tcBorders>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Notes, and you will not be able to offer or sell the Old Notes except under an exemption</w:t>
            </w:r>
          </w:p>
        </w:tc>
      </w:tr>
      <w:tr>
        <w:trPr>
          <w:trHeight w:val="216"/>
        </w:trPr>
        <w:tc>
          <w:tcPr>
            <w:tcW w:w="3940" w:type="dxa"/>
            <w:vAlign w:val="bottom"/>
            <w:tcBorders>
              <w:left w:val="single" w:sz="8" w:color="auto"/>
            </w:tcBorders>
          </w:tcPr>
          <w:p>
            <w:pPr>
              <w:spacing w:after="0"/>
              <w:rPr>
                <w:sz w:val="18"/>
                <w:szCs w:val="18"/>
                <w:color w:val="auto"/>
              </w:rPr>
            </w:pPr>
          </w:p>
        </w:tc>
        <w:tc>
          <w:tcPr>
            <w:tcW w:w="7080" w:type="dxa"/>
            <w:vAlign w:val="bottom"/>
            <w:tcBorders>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from the requirements of the Securities Act or unless the Old Notes are registered under the</w:t>
            </w:r>
          </w:p>
        </w:tc>
      </w:tr>
      <w:tr>
        <w:trPr>
          <w:trHeight w:val="216"/>
        </w:trPr>
        <w:tc>
          <w:tcPr>
            <w:tcW w:w="3940" w:type="dxa"/>
            <w:vAlign w:val="bottom"/>
            <w:tcBorders>
              <w:left w:val="single" w:sz="8" w:color="auto"/>
            </w:tcBorders>
          </w:tcPr>
          <w:p>
            <w:pPr>
              <w:spacing w:after="0"/>
              <w:rPr>
                <w:sz w:val="18"/>
                <w:szCs w:val="18"/>
                <w:color w:val="auto"/>
              </w:rPr>
            </w:pPr>
          </w:p>
        </w:tc>
        <w:tc>
          <w:tcPr>
            <w:tcW w:w="7080" w:type="dxa"/>
            <w:vAlign w:val="bottom"/>
            <w:tcBorders>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Securities Act. Upon the completion of the exchange offer, we will have no further</w:t>
            </w:r>
          </w:p>
        </w:tc>
      </w:tr>
      <w:tr>
        <w:trPr>
          <w:trHeight w:val="216"/>
        </w:trPr>
        <w:tc>
          <w:tcPr>
            <w:tcW w:w="3940" w:type="dxa"/>
            <w:vAlign w:val="bottom"/>
            <w:tcBorders>
              <w:left w:val="single" w:sz="8" w:color="auto"/>
            </w:tcBorders>
          </w:tcPr>
          <w:p>
            <w:pPr>
              <w:spacing w:after="0"/>
              <w:rPr>
                <w:sz w:val="18"/>
                <w:szCs w:val="18"/>
                <w:color w:val="auto"/>
              </w:rPr>
            </w:pPr>
          </w:p>
        </w:tc>
        <w:tc>
          <w:tcPr>
            <w:tcW w:w="7080" w:type="dxa"/>
            <w:vAlign w:val="bottom"/>
            <w:tcBorders>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obligations, except under limited circumstances, to provide for registration of the Old</w:t>
            </w:r>
          </w:p>
        </w:tc>
      </w:tr>
      <w:tr>
        <w:trPr>
          <w:trHeight w:val="216"/>
        </w:trPr>
        <w:tc>
          <w:tcPr>
            <w:tcW w:w="3940" w:type="dxa"/>
            <w:vAlign w:val="bottom"/>
            <w:tcBorders>
              <w:left w:val="single" w:sz="8" w:color="auto"/>
            </w:tcBorders>
          </w:tcPr>
          <w:p>
            <w:pPr>
              <w:spacing w:after="0"/>
              <w:rPr>
                <w:sz w:val="18"/>
                <w:szCs w:val="18"/>
                <w:color w:val="auto"/>
              </w:rPr>
            </w:pPr>
          </w:p>
        </w:tc>
        <w:tc>
          <w:tcPr>
            <w:tcW w:w="7080" w:type="dxa"/>
            <w:vAlign w:val="bottom"/>
            <w:tcBorders>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Notes under the U.S. federal securities laws. If you do not participate in the exchange offer,</w:t>
            </w:r>
          </w:p>
        </w:tc>
      </w:tr>
      <w:tr>
        <w:trPr>
          <w:trHeight w:val="216"/>
        </w:trPr>
        <w:tc>
          <w:tcPr>
            <w:tcW w:w="3940" w:type="dxa"/>
            <w:vAlign w:val="bottom"/>
            <w:tcBorders>
              <w:left w:val="single" w:sz="8" w:color="auto"/>
            </w:tcBorders>
          </w:tcPr>
          <w:p>
            <w:pPr>
              <w:spacing w:after="0"/>
              <w:rPr>
                <w:sz w:val="18"/>
                <w:szCs w:val="18"/>
                <w:color w:val="auto"/>
              </w:rPr>
            </w:pPr>
          </w:p>
        </w:tc>
        <w:tc>
          <w:tcPr>
            <w:tcW w:w="7080" w:type="dxa"/>
            <w:vAlign w:val="bottom"/>
            <w:tcBorders>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the liquidity of your Old Notes could be adversely affected. See “The Exchange Offer—</w:t>
            </w:r>
          </w:p>
        </w:tc>
      </w:tr>
      <w:tr>
        <w:trPr>
          <w:trHeight w:val="234"/>
        </w:trPr>
        <w:tc>
          <w:tcPr>
            <w:tcW w:w="3940" w:type="dxa"/>
            <w:vAlign w:val="bottom"/>
            <w:tcBorders>
              <w:left w:val="single" w:sz="8" w:color="auto"/>
            </w:tcBorders>
          </w:tcPr>
          <w:p>
            <w:pPr>
              <w:spacing w:after="0"/>
              <w:rPr>
                <w:sz w:val="20"/>
                <w:szCs w:val="20"/>
                <w:color w:val="auto"/>
              </w:rPr>
            </w:pPr>
          </w:p>
        </w:tc>
        <w:tc>
          <w:tcPr>
            <w:tcW w:w="7080" w:type="dxa"/>
            <w:vAlign w:val="bottom"/>
            <w:tcBorders>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Consequences of Failure to Exchange.”</w:t>
            </w:r>
          </w:p>
        </w:tc>
      </w:tr>
      <w:tr>
        <w:trPr>
          <w:trHeight w:val="441"/>
        </w:trPr>
        <w:tc>
          <w:tcPr>
            <w:tcW w:w="394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Use of Proceeds</w:t>
            </w:r>
          </w:p>
        </w:tc>
        <w:tc>
          <w:tcPr>
            <w:tcW w:w="7080" w:type="dxa"/>
            <w:vAlign w:val="bottom"/>
            <w:tcBorders>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We will not receive any cash proceeds from the exchange of Old Notes for New Notes as a</w:t>
            </w:r>
          </w:p>
        </w:tc>
      </w:tr>
      <w:tr>
        <w:trPr>
          <w:trHeight w:val="234"/>
        </w:trPr>
        <w:tc>
          <w:tcPr>
            <w:tcW w:w="3940" w:type="dxa"/>
            <w:vAlign w:val="bottom"/>
            <w:tcBorders>
              <w:left w:val="single" w:sz="8" w:color="auto"/>
            </w:tcBorders>
          </w:tcPr>
          <w:p>
            <w:pPr>
              <w:spacing w:after="0"/>
              <w:rPr>
                <w:sz w:val="20"/>
                <w:szCs w:val="20"/>
                <w:color w:val="auto"/>
              </w:rPr>
            </w:pPr>
          </w:p>
        </w:tc>
        <w:tc>
          <w:tcPr>
            <w:tcW w:w="7080" w:type="dxa"/>
            <w:vAlign w:val="bottom"/>
            <w:tcBorders>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result of the exchange offer.</w:t>
            </w:r>
          </w:p>
        </w:tc>
      </w:tr>
      <w:tr>
        <w:trPr>
          <w:trHeight w:val="441"/>
        </w:trPr>
        <w:tc>
          <w:tcPr>
            <w:tcW w:w="394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Cancellation of Exchanged Old Notes</w:t>
            </w:r>
          </w:p>
        </w:tc>
        <w:tc>
          <w:tcPr>
            <w:tcW w:w="7080" w:type="dxa"/>
            <w:vAlign w:val="bottom"/>
            <w:tcBorders>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Old Notes that are surrendered in exchange for New Notes will be retired and cancelled by</w:t>
            </w:r>
          </w:p>
        </w:tc>
      </w:tr>
      <w:tr>
        <w:trPr>
          <w:trHeight w:val="216"/>
        </w:trPr>
        <w:tc>
          <w:tcPr>
            <w:tcW w:w="3940" w:type="dxa"/>
            <w:vAlign w:val="bottom"/>
            <w:tcBorders>
              <w:left w:val="single" w:sz="8" w:color="auto"/>
            </w:tcBorders>
          </w:tcPr>
          <w:p>
            <w:pPr>
              <w:spacing w:after="0"/>
              <w:rPr>
                <w:sz w:val="18"/>
                <w:szCs w:val="18"/>
                <w:color w:val="auto"/>
              </w:rPr>
            </w:pPr>
          </w:p>
        </w:tc>
        <w:tc>
          <w:tcPr>
            <w:tcW w:w="7080" w:type="dxa"/>
            <w:vAlign w:val="bottom"/>
            <w:tcBorders>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us upon receipt and will not be reissued. Accordingly, the issuance of the New Notes under</w:t>
            </w:r>
          </w:p>
        </w:tc>
      </w:tr>
      <w:tr>
        <w:trPr>
          <w:trHeight w:val="234"/>
        </w:trPr>
        <w:tc>
          <w:tcPr>
            <w:tcW w:w="3940" w:type="dxa"/>
            <w:vAlign w:val="bottom"/>
            <w:tcBorders>
              <w:left w:val="single" w:sz="8" w:color="auto"/>
            </w:tcBorders>
          </w:tcPr>
          <w:p>
            <w:pPr>
              <w:spacing w:after="0"/>
              <w:rPr>
                <w:sz w:val="20"/>
                <w:szCs w:val="20"/>
                <w:color w:val="auto"/>
              </w:rPr>
            </w:pPr>
          </w:p>
        </w:tc>
        <w:tc>
          <w:tcPr>
            <w:tcW w:w="7080" w:type="dxa"/>
            <w:vAlign w:val="bottom"/>
            <w:tcBorders>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this exchange offer will not result in any increase in our outstanding indebtedness.</w:t>
            </w:r>
          </w:p>
        </w:tc>
      </w:tr>
      <w:tr>
        <w:trPr>
          <w:trHeight w:val="441"/>
        </w:trPr>
        <w:tc>
          <w:tcPr>
            <w:tcW w:w="394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Exchange Agent</w:t>
            </w:r>
          </w:p>
        </w:tc>
        <w:tc>
          <w:tcPr>
            <w:tcW w:w="7080" w:type="dxa"/>
            <w:vAlign w:val="bottom"/>
            <w:tcBorders>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Wilmington Trust, National Association, a national banking association, is serving as the</w:t>
            </w:r>
          </w:p>
        </w:tc>
      </w:tr>
      <w:tr>
        <w:trPr>
          <w:trHeight w:val="216"/>
        </w:trPr>
        <w:tc>
          <w:tcPr>
            <w:tcW w:w="3940" w:type="dxa"/>
            <w:vAlign w:val="bottom"/>
            <w:tcBorders>
              <w:left w:val="single" w:sz="8" w:color="auto"/>
            </w:tcBorders>
          </w:tcPr>
          <w:p>
            <w:pPr>
              <w:spacing w:after="0"/>
              <w:rPr>
                <w:sz w:val="18"/>
                <w:szCs w:val="18"/>
                <w:color w:val="auto"/>
              </w:rPr>
            </w:pPr>
          </w:p>
        </w:tc>
        <w:tc>
          <w:tcPr>
            <w:tcW w:w="7080" w:type="dxa"/>
            <w:vAlign w:val="bottom"/>
            <w:tcBorders>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exchange agent for this exchange offer. See “The Exchange Offer—Exchange Agent” for</w:t>
            </w:r>
          </w:p>
        </w:tc>
      </w:tr>
      <w:tr>
        <w:trPr>
          <w:trHeight w:val="234"/>
        </w:trPr>
        <w:tc>
          <w:tcPr>
            <w:tcW w:w="3940" w:type="dxa"/>
            <w:vAlign w:val="bottom"/>
            <w:tcBorders>
              <w:left w:val="single" w:sz="8" w:color="auto"/>
            </w:tcBorders>
          </w:tcPr>
          <w:p>
            <w:pPr>
              <w:spacing w:after="0"/>
              <w:rPr>
                <w:sz w:val="20"/>
                <w:szCs w:val="20"/>
                <w:color w:val="auto"/>
              </w:rPr>
            </w:pPr>
          </w:p>
        </w:tc>
        <w:tc>
          <w:tcPr>
            <w:tcW w:w="7080" w:type="dxa"/>
            <w:vAlign w:val="bottom"/>
            <w:tcBorders>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the address and telephone number of the exchange agent.</w:t>
            </w:r>
          </w:p>
        </w:tc>
      </w:tr>
      <w:tr>
        <w:trPr>
          <w:trHeight w:val="172"/>
        </w:trPr>
        <w:tc>
          <w:tcPr>
            <w:tcW w:w="3940" w:type="dxa"/>
            <w:vAlign w:val="bottom"/>
            <w:tcBorders>
              <w:left w:val="single" w:sz="8" w:color="auto"/>
              <w:bottom w:val="single" w:sz="8" w:color="auto"/>
            </w:tcBorders>
          </w:tcPr>
          <w:p>
            <w:pPr>
              <w:spacing w:after="0"/>
              <w:rPr>
                <w:sz w:val="14"/>
                <w:szCs w:val="14"/>
                <w:color w:val="auto"/>
              </w:rPr>
            </w:pPr>
          </w:p>
        </w:tc>
        <w:tc>
          <w:tcPr>
            <w:tcW w:w="7080" w:type="dxa"/>
            <w:vAlign w:val="bottom"/>
            <w:tcBorders>
              <w:bottom w:val="single" w:sz="8" w:color="auto"/>
              <w:right w:val="single" w:sz="8" w:color="auto"/>
            </w:tcBorders>
          </w:tcPr>
          <w:p>
            <w:pPr>
              <w:spacing w:after="0"/>
              <w:rPr>
                <w:sz w:val="14"/>
                <w:szCs w:val="14"/>
                <w:color w:val="auto"/>
              </w:rPr>
            </w:pPr>
          </w:p>
        </w:tc>
      </w:tr>
      <w:tr>
        <w:trPr>
          <w:trHeight w:val="361"/>
        </w:trPr>
        <w:tc>
          <w:tcPr>
            <w:tcW w:w="3940" w:type="dxa"/>
            <w:vAlign w:val="bottom"/>
          </w:tcPr>
          <w:p>
            <w:pPr>
              <w:spacing w:after="0"/>
              <w:rPr>
                <w:sz w:val="24"/>
                <w:szCs w:val="24"/>
                <w:color w:val="auto"/>
              </w:rPr>
            </w:pPr>
          </w:p>
        </w:tc>
        <w:tc>
          <w:tcPr>
            <w:tcW w:w="7080" w:type="dxa"/>
            <w:vAlign w:val="bottom"/>
          </w:tcPr>
          <w:p>
            <w:pPr>
              <w:ind w:left="1520"/>
              <w:spacing w:after="0"/>
              <w:rPr>
                <w:sz w:val="20"/>
                <w:szCs w:val="20"/>
                <w:color w:val="auto"/>
              </w:rPr>
            </w:pPr>
            <w:r>
              <w:rPr>
                <w:rFonts w:ascii="Times New Roman" w:cs="Times New Roman" w:eastAsia="Times New Roman" w:hAnsi="Times New Roman"/>
                <w:sz w:val="18"/>
                <w:szCs w:val="18"/>
                <w:color w:val="auto"/>
              </w:rPr>
              <w:t>4</w:t>
            </w:r>
          </w:p>
        </w:tc>
      </w:tr>
    </w:tbl>
    <w:p>
      <w:pPr>
        <w:sectPr>
          <w:pgSz w:w="11900" w:h="16838" w:orient="portrait"/>
          <w:cols w:equalWidth="0" w:num="1">
            <w:col w:w="11140"/>
          </w:cols>
          <w:pgMar w:left="320" w:top="455" w:right="4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609917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3">
                      <a:extLst>
                        <a:ext uri="{28A0092B-C50C-407E-A947-70E740481C1C}"/>
                      </a:extLst>
                    </a:blip>
                    <a:srcRect/>
                    <a:stretch>
                      <a:fillRect/>
                    </a:stretch>
                  </pic:blipFill>
                  <pic:spPr bwMode="auto">
                    <a:xfrm>
                      <a:off x="0" y="0"/>
                      <a:ext cx="6998970" cy="609917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Summary of the New Notes</w:t>
      </w:r>
    </w:p>
    <w:p>
      <w:pPr>
        <w:spacing w:after="0" w:line="121" w:lineRule="exact"/>
        <w:rPr>
          <w:sz w:val="20"/>
          <w:szCs w:val="20"/>
          <w:color w:val="auto"/>
        </w:rPr>
      </w:pPr>
    </w:p>
    <w:p>
      <w:pPr>
        <w:ind w:left="300" w:right="220" w:firstLine="426"/>
        <w:spacing w:after="0" w:line="255" w:lineRule="auto"/>
        <w:rPr>
          <w:sz w:val="20"/>
          <w:szCs w:val="20"/>
          <w:color w:val="auto"/>
        </w:rPr>
      </w:pPr>
      <w:r>
        <w:rPr>
          <w:rFonts w:ascii="Times New Roman" w:cs="Times New Roman" w:eastAsia="Times New Roman" w:hAnsi="Times New Roman"/>
          <w:sz w:val="18"/>
          <w:szCs w:val="18"/>
          <w:color w:val="auto"/>
        </w:rPr>
        <w:t>The following provides a summary of certain terms of the New Notes. The New Notes have terms that are identical in all material respects to the terms of the Old Notes, except that the New Notes are registered under the Securities Act and are generally not subject to transfer restrictions, are not entitled to registration rights under the registration rights agreement and do not have the right to additional interest under the circumstances described in the registration rights agreement relating to our fulfillment of our registration obligations. The New Notes will evidence the same debt as the Old Notes and will be governed by the same indenture under which the Old Notes were issued. Please refer to the section “Description of the Notes” for a more complete description of the terms of the New Notes. References in this prospectus to the “notes” include both the Old Notes and the New Notes unless otherwise specified or the context otherwise requires.</w:t>
      </w:r>
    </w:p>
    <w:p>
      <w:pPr>
        <w:spacing w:after="0" w:line="216"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4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Issuer</w:t>
            </w:r>
          </w:p>
        </w:tc>
        <w:tc>
          <w:tcPr>
            <w:tcW w:w="69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USCB Financial Holdings, Inc.</w:t>
            </w:r>
          </w:p>
        </w:tc>
      </w:tr>
      <w:tr>
        <w:trPr>
          <w:trHeight w:val="473"/>
        </w:trPr>
        <w:tc>
          <w:tcPr>
            <w:tcW w:w="4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Securities Offered</w:t>
            </w:r>
          </w:p>
        </w:tc>
        <w:tc>
          <w:tcPr>
            <w:tcW w:w="69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7.625% Fixed-to-Floating Rate Subordinated Notes due 2035.</w:t>
            </w:r>
          </w:p>
        </w:tc>
      </w:tr>
      <w:tr>
        <w:trPr>
          <w:trHeight w:val="473"/>
        </w:trPr>
        <w:tc>
          <w:tcPr>
            <w:tcW w:w="4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Aggregate Principal Amount</w:t>
            </w:r>
          </w:p>
        </w:tc>
        <w:tc>
          <w:tcPr>
            <w:tcW w:w="69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Up to $40,000,000.</w:t>
            </w:r>
          </w:p>
        </w:tc>
      </w:tr>
      <w:tr>
        <w:trPr>
          <w:trHeight w:val="473"/>
        </w:trPr>
        <w:tc>
          <w:tcPr>
            <w:tcW w:w="4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Maturity Date</w:t>
            </w:r>
          </w:p>
        </w:tc>
        <w:tc>
          <w:tcPr>
            <w:tcW w:w="69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August 15, 2035, unless previously redeemed.</w:t>
            </w:r>
          </w:p>
        </w:tc>
      </w:tr>
      <w:tr>
        <w:trPr>
          <w:trHeight w:val="454"/>
        </w:trPr>
        <w:tc>
          <w:tcPr>
            <w:tcW w:w="4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Form and Denomination</w:t>
            </w:r>
          </w:p>
        </w:tc>
        <w:tc>
          <w:tcPr>
            <w:tcW w:w="69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The New Notes will be issued only in registered form without coupons, and in minimum</w:t>
            </w:r>
          </w:p>
        </w:tc>
      </w:tr>
      <w:tr>
        <w:trPr>
          <w:trHeight w:val="216"/>
        </w:trPr>
        <w:tc>
          <w:tcPr>
            <w:tcW w:w="4120" w:type="dxa"/>
            <w:vAlign w:val="bottom"/>
          </w:tcPr>
          <w:p>
            <w:pPr>
              <w:spacing w:after="0"/>
              <w:rPr>
                <w:sz w:val="18"/>
                <w:szCs w:val="18"/>
                <w:color w:val="auto"/>
              </w:rPr>
            </w:pPr>
          </w:p>
        </w:tc>
        <w:tc>
          <w:tcPr>
            <w:tcW w:w="69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denominations of $100,000 and any integral multiple of $1,000 in excess thereof. Unless</w:t>
            </w:r>
          </w:p>
        </w:tc>
      </w:tr>
      <w:tr>
        <w:trPr>
          <w:trHeight w:val="216"/>
        </w:trPr>
        <w:tc>
          <w:tcPr>
            <w:tcW w:w="4120" w:type="dxa"/>
            <w:vAlign w:val="bottom"/>
          </w:tcPr>
          <w:p>
            <w:pPr>
              <w:spacing w:after="0"/>
              <w:rPr>
                <w:sz w:val="18"/>
                <w:szCs w:val="18"/>
                <w:color w:val="auto"/>
              </w:rPr>
            </w:pPr>
          </w:p>
        </w:tc>
        <w:tc>
          <w:tcPr>
            <w:tcW w:w="69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otherwise required for institutional accredited investors, the New Notes will be evidenced</w:t>
            </w:r>
          </w:p>
        </w:tc>
      </w:tr>
      <w:tr>
        <w:trPr>
          <w:trHeight w:val="216"/>
        </w:trPr>
        <w:tc>
          <w:tcPr>
            <w:tcW w:w="4120" w:type="dxa"/>
            <w:vAlign w:val="bottom"/>
          </w:tcPr>
          <w:p>
            <w:pPr>
              <w:spacing w:after="0"/>
              <w:rPr>
                <w:sz w:val="18"/>
                <w:szCs w:val="18"/>
                <w:color w:val="auto"/>
              </w:rPr>
            </w:pPr>
          </w:p>
        </w:tc>
        <w:tc>
          <w:tcPr>
            <w:tcW w:w="69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by a global note deposited with the trustee for the New Notes, as custodian for DTC, and</w:t>
            </w:r>
          </w:p>
        </w:tc>
      </w:tr>
      <w:tr>
        <w:trPr>
          <w:trHeight w:val="216"/>
        </w:trPr>
        <w:tc>
          <w:tcPr>
            <w:tcW w:w="4120" w:type="dxa"/>
            <w:vAlign w:val="bottom"/>
          </w:tcPr>
          <w:p>
            <w:pPr>
              <w:spacing w:after="0"/>
              <w:rPr>
                <w:sz w:val="18"/>
                <w:szCs w:val="18"/>
                <w:color w:val="auto"/>
              </w:rPr>
            </w:pPr>
          </w:p>
        </w:tc>
        <w:tc>
          <w:tcPr>
            <w:tcW w:w="69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transfers of beneficial interests will be facilitated only through records maintained by DTC</w:t>
            </w:r>
          </w:p>
        </w:tc>
      </w:tr>
      <w:tr>
        <w:trPr>
          <w:trHeight w:val="234"/>
        </w:trPr>
        <w:tc>
          <w:tcPr>
            <w:tcW w:w="4120" w:type="dxa"/>
            <w:vAlign w:val="bottom"/>
          </w:tcPr>
          <w:p>
            <w:pPr>
              <w:spacing w:after="0"/>
              <w:rPr>
                <w:sz w:val="20"/>
                <w:szCs w:val="20"/>
                <w:color w:val="auto"/>
              </w:rPr>
            </w:pPr>
          </w:p>
        </w:tc>
        <w:tc>
          <w:tcPr>
            <w:tcW w:w="69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and its participants.</w:t>
            </w:r>
          </w:p>
        </w:tc>
      </w:tr>
      <w:tr>
        <w:trPr>
          <w:trHeight w:val="441"/>
        </w:trPr>
        <w:tc>
          <w:tcPr>
            <w:tcW w:w="4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Rate and Interest Rate Payment Dates During</w:t>
            </w:r>
          </w:p>
        </w:tc>
        <w:tc>
          <w:tcPr>
            <w:tcW w:w="69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From and including August 14, 2025 to but excluding August 15, 2030 or earlier</w:t>
            </w:r>
          </w:p>
        </w:tc>
      </w:tr>
      <w:tr>
        <w:trPr>
          <w:trHeight w:val="216"/>
        </w:trPr>
        <w:tc>
          <w:tcPr>
            <w:tcW w:w="41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Fixed Rate Period</w:t>
            </w:r>
          </w:p>
        </w:tc>
        <w:tc>
          <w:tcPr>
            <w:tcW w:w="69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redemption date, computed on the basis of a 360-day year consisting of twelve 30-day</w:t>
            </w:r>
          </w:p>
        </w:tc>
      </w:tr>
      <w:tr>
        <w:trPr>
          <w:trHeight w:val="216"/>
        </w:trPr>
        <w:tc>
          <w:tcPr>
            <w:tcW w:w="4120" w:type="dxa"/>
            <w:vAlign w:val="bottom"/>
          </w:tcPr>
          <w:p>
            <w:pPr>
              <w:spacing w:after="0"/>
              <w:rPr>
                <w:sz w:val="18"/>
                <w:szCs w:val="18"/>
                <w:color w:val="auto"/>
              </w:rPr>
            </w:pPr>
          </w:p>
        </w:tc>
        <w:tc>
          <w:tcPr>
            <w:tcW w:w="69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months and payable semi-annually in arrears on February 15 and August 15 of each year,</w:t>
            </w:r>
          </w:p>
        </w:tc>
      </w:tr>
      <w:tr>
        <w:trPr>
          <w:trHeight w:val="234"/>
        </w:trPr>
        <w:tc>
          <w:tcPr>
            <w:tcW w:w="4120" w:type="dxa"/>
            <w:vAlign w:val="bottom"/>
          </w:tcPr>
          <w:p>
            <w:pPr>
              <w:spacing w:after="0"/>
              <w:rPr>
                <w:sz w:val="20"/>
                <w:szCs w:val="20"/>
                <w:color w:val="auto"/>
              </w:rPr>
            </w:pPr>
          </w:p>
        </w:tc>
        <w:tc>
          <w:tcPr>
            <w:tcW w:w="69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beginning on February 15, 2026.</w:t>
            </w:r>
          </w:p>
        </w:tc>
      </w:tr>
      <w:tr>
        <w:trPr>
          <w:trHeight w:val="441"/>
        </w:trPr>
        <w:tc>
          <w:tcPr>
            <w:tcW w:w="4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Rate and Interest Rate Payment Dates During</w:t>
            </w:r>
          </w:p>
        </w:tc>
        <w:tc>
          <w:tcPr>
            <w:tcW w:w="69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From and including August 15, 2030, to but excluding the maturity date or earlier</w:t>
            </w:r>
          </w:p>
        </w:tc>
      </w:tr>
      <w:tr>
        <w:trPr>
          <w:trHeight w:val="216"/>
        </w:trPr>
        <w:tc>
          <w:tcPr>
            <w:tcW w:w="41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Floating Rate Period</w:t>
            </w:r>
          </w:p>
        </w:tc>
        <w:tc>
          <w:tcPr>
            <w:tcW w:w="69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redemption date (the “Floating Rate Period”), the New Notes will bear interest at an annual</w:t>
            </w:r>
          </w:p>
        </w:tc>
      </w:tr>
      <w:tr>
        <w:trPr>
          <w:trHeight w:val="216"/>
        </w:trPr>
        <w:tc>
          <w:tcPr>
            <w:tcW w:w="4120" w:type="dxa"/>
            <w:vAlign w:val="bottom"/>
          </w:tcPr>
          <w:p>
            <w:pPr>
              <w:spacing w:after="0"/>
              <w:rPr>
                <w:sz w:val="18"/>
                <w:szCs w:val="18"/>
                <w:color w:val="auto"/>
              </w:rPr>
            </w:pPr>
          </w:p>
        </w:tc>
        <w:tc>
          <w:tcPr>
            <w:tcW w:w="69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floating rate, reset quarterly, equal to the Benchmark rate (which is expected to be the then-</w:t>
            </w:r>
          </w:p>
        </w:tc>
      </w:tr>
      <w:tr>
        <w:trPr>
          <w:trHeight w:val="216"/>
        </w:trPr>
        <w:tc>
          <w:tcPr>
            <w:tcW w:w="4120" w:type="dxa"/>
            <w:vAlign w:val="bottom"/>
          </w:tcPr>
          <w:p>
            <w:pPr>
              <w:spacing w:after="0"/>
              <w:rPr>
                <w:sz w:val="18"/>
                <w:szCs w:val="18"/>
                <w:color w:val="auto"/>
              </w:rPr>
            </w:pPr>
          </w:p>
        </w:tc>
        <w:tc>
          <w:tcPr>
            <w:tcW w:w="69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current Three-Month Term Secured Overnight Financing Rate (“SOFR”)), plus 422 basis</w:t>
            </w:r>
          </w:p>
        </w:tc>
      </w:tr>
      <w:tr>
        <w:trPr>
          <w:trHeight w:val="216"/>
        </w:trPr>
        <w:tc>
          <w:tcPr>
            <w:tcW w:w="4120" w:type="dxa"/>
            <w:vAlign w:val="bottom"/>
          </w:tcPr>
          <w:p>
            <w:pPr>
              <w:spacing w:after="0"/>
              <w:rPr>
                <w:sz w:val="18"/>
                <w:szCs w:val="18"/>
                <w:color w:val="auto"/>
              </w:rPr>
            </w:pPr>
          </w:p>
        </w:tc>
        <w:tc>
          <w:tcPr>
            <w:tcW w:w="69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points, provided, however, that in the event that the Three-Month Term SOFR is less than</w:t>
            </w:r>
          </w:p>
        </w:tc>
      </w:tr>
      <w:tr>
        <w:trPr>
          <w:trHeight w:val="216"/>
        </w:trPr>
        <w:tc>
          <w:tcPr>
            <w:tcW w:w="4120" w:type="dxa"/>
            <w:vAlign w:val="bottom"/>
          </w:tcPr>
          <w:p>
            <w:pPr>
              <w:spacing w:after="0"/>
              <w:rPr>
                <w:sz w:val="18"/>
                <w:szCs w:val="18"/>
                <w:color w:val="auto"/>
              </w:rPr>
            </w:pPr>
          </w:p>
        </w:tc>
        <w:tc>
          <w:tcPr>
            <w:tcW w:w="69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zero, Three-Month Term SOFR shall be deemed to be zero (as defined under “Description</w:t>
            </w:r>
          </w:p>
        </w:tc>
      </w:tr>
      <w:tr>
        <w:trPr>
          <w:trHeight w:val="216"/>
        </w:trPr>
        <w:tc>
          <w:tcPr>
            <w:tcW w:w="4120" w:type="dxa"/>
            <w:vAlign w:val="bottom"/>
          </w:tcPr>
          <w:p>
            <w:pPr>
              <w:spacing w:after="0"/>
              <w:rPr>
                <w:sz w:val="18"/>
                <w:szCs w:val="18"/>
                <w:color w:val="auto"/>
              </w:rPr>
            </w:pPr>
          </w:p>
        </w:tc>
        <w:tc>
          <w:tcPr>
            <w:tcW w:w="69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of the Notes—Principal, Maturity and Interest”). During the Floating Rate Period, interest</w:t>
            </w:r>
          </w:p>
        </w:tc>
      </w:tr>
      <w:tr>
        <w:trPr>
          <w:trHeight w:val="216"/>
        </w:trPr>
        <w:tc>
          <w:tcPr>
            <w:tcW w:w="4120" w:type="dxa"/>
            <w:vAlign w:val="bottom"/>
          </w:tcPr>
          <w:p>
            <w:pPr>
              <w:spacing w:after="0"/>
              <w:rPr>
                <w:sz w:val="18"/>
                <w:szCs w:val="18"/>
                <w:color w:val="auto"/>
              </w:rPr>
            </w:pPr>
          </w:p>
        </w:tc>
        <w:tc>
          <w:tcPr>
            <w:tcW w:w="69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on the New Notes will be payable quarterly in arrears on February 15, May 15, August 15</w:t>
            </w:r>
          </w:p>
        </w:tc>
      </w:tr>
      <w:tr>
        <w:trPr>
          <w:trHeight w:val="234"/>
        </w:trPr>
        <w:tc>
          <w:tcPr>
            <w:tcW w:w="4120" w:type="dxa"/>
            <w:vAlign w:val="bottom"/>
          </w:tcPr>
          <w:p>
            <w:pPr>
              <w:spacing w:after="0"/>
              <w:rPr>
                <w:sz w:val="20"/>
                <w:szCs w:val="20"/>
                <w:color w:val="auto"/>
              </w:rPr>
            </w:pPr>
          </w:p>
        </w:tc>
        <w:tc>
          <w:tcPr>
            <w:tcW w:w="69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and November 15 of each year commencing on November 15, 2030.</w:t>
            </w:r>
          </w:p>
        </w:tc>
      </w:tr>
      <w:tr>
        <w:trPr>
          <w:trHeight w:val="441"/>
        </w:trPr>
        <w:tc>
          <w:tcPr>
            <w:tcW w:w="4120" w:type="dxa"/>
            <w:vAlign w:val="bottom"/>
          </w:tcPr>
          <w:p>
            <w:pPr>
              <w:spacing w:after="0"/>
              <w:rPr>
                <w:sz w:val="24"/>
                <w:szCs w:val="24"/>
                <w:color w:val="auto"/>
              </w:rPr>
            </w:pPr>
          </w:p>
        </w:tc>
        <w:tc>
          <w:tcPr>
            <w:tcW w:w="69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For each interest period during the Floating Rate Period, “Three-Month Term SOFR”</w:t>
            </w:r>
          </w:p>
        </w:tc>
      </w:tr>
      <w:tr>
        <w:trPr>
          <w:trHeight w:val="234"/>
        </w:trPr>
        <w:tc>
          <w:tcPr>
            <w:tcW w:w="4120" w:type="dxa"/>
            <w:vAlign w:val="bottom"/>
          </w:tcPr>
          <w:p>
            <w:pPr>
              <w:spacing w:after="0"/>
              <w:rPr>
                <w:sz w:val="20"/>
                <w:szCs w:val="20"/>
                <w:color w:val="auto"/>
              </w:rPr>
            </w:pPr>
          </w:p>
        </w:tc>
        <w:tc>
          <w:tcPr>
            <w:tcW w:w="69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means the rate for Term SOFR for a tenor of</w:t>
            </w:r>
          </w:p>
        </w:tc>
      </w:tr>
      <w:tr>
        <w:trPr>
          <w:trHeight w:val="172"/>
        </w:trPr>
        <w:tc>
          <w:tcPr>
            <w:tcW w:w="4120" w:type="dxa"/>
            <w:vAlign w:val="bottom"/>
            <w:tcBorders>
              <w:bottom w:val="single" w:sz="8" w:color="auto"/>
            </w:tcBorders>
          </w:tcPr>
          <w:p>
            <w:pPr>
              <w:spacing w:after="0"/>
              <w:rPr>
                <w:sz w:val="14"/>
                <w:szCs w:val="14"/>
                <w:color w:val="auto"/>
              </w:rPr>
            </w:pPr>
          </w:p>
        </w:tc>
        <w:tc>
          <w:tcPr>
            <w:tcW w:w="6900" w:type="dxa"/>
            <w:vAlign w:val="bottom"/>
            <w:tcBorders>
              <w:bottom w:val="single" w:sz="8" w:color="auto"/>
            </w:tcBorders>
          </w:tcPr>
          <w:p>
            <w:pPr>
              <w:spacing w:after="0"/>
              <w:rPr>
                <w:sz w:val="14"/>
                <w:szCs w:val="14"/>
                <w:color w:val="auto"/>
              </w:rPr>
            </w:pPr>
          </w:p>
        </w:tc>
      </w:tr>
      <w:tr>
        <w:trPr>
          <w:trHeight w:val="361"/>
        </w:trPr>
        <w:tc>
          <w:tcPr>
            <w:tcW w:w="4120" w:type="dxa"/>
            <w:vAlign w:val="bottom"/>
          </w:tcPr>
          <w:p>
            <w:pPr>
              <w:spacing w:after="0"/>
              <w:rPr>
                <w:sz w:val="24"/>
                <w:szCs w:val="24"/>
                <w:color w:val="auto"/>
              </w:rPr>
            </w:pPr>
          </w:p>
        </w:tc>
        <w:tc>
          <w:tcPr>
            <w:tcW w:w="6900" w:type="dxa"/>
            <w:vAlign w:val="bottom"/>
          </w:tcPr>
          <w:p>
            <w:pPr>
              <w:ind w:left="1340"/>
              <w:spacing w:after="0"/>
              <w:rPr>
                <w:sz w:val="20"/>
                <w:szCs w:val="20"/>
                <w:color w:val="auto"/>
              </w:rPr>
            </w:pPr>
            <w:r>
              <w:rPr>
                <w:rFonts w:ascii="Times New Roman" w:cs="Times New Roman" w:eastAsia="Times New Roman" w:hAnsi="Times New Roman"/>
                <w:sz w:val="18"/>
                <w:szCs w:val="18"/>
                <w:color w:val="auto"/>
              </w:rPr>
              <w:t>5</w:t>
            </w:r>
          </w:p>
        </w:tc>
      </w:tr>
    </w:tbl>
    <w:p>
      <w:pPr>
        <w:sectPr>
          <w:pgSz w:w="11900" w:h="16838" w:orient="portrait"/>
          <w:cols w:equalWidth="0" w:num="1">
            <w:col w:w="11140"/>
          </w:cols>
          <w:pgMar w:left="320" w:top="455" w:right="4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9" w:lineRule="exact"/>
        <w:rPr>
          <w:sz w:val="20"/>
          <w:szCs w:val="20"/>
          <w:color w:val="auto"/>
        </w:rPr>
      </w:pPr>
    </w:p>
    <w:tbl>
      <w:tblPr>
        <w:tblLayout w:type="fixed"/>
        <w:tblInd w:w="130" w:type="dxa"/>
        <w:tblCellMar>
          <w:top w:w="0" w:type="dxa"/>
          <w:left w:w="0" w:type="dxa"/>
          <w:bottom w:w="0" w:type="dxa"/>
          <w:right w:w="0" w:type="dxa"/>
        </w:tblCellMar>
      </w:tblPr>
      <w:tr>
        <w:trPr>
          <w:trHeight w:val="376"/>
        </w:trPr>
        <w:tc>
          <w:tcPr>
            <w:tcW w:w="3060" w:type="dxa"/>
            <w:vAlign w:val="bottom"/>
            <w:tcBorders>
              <w:top w:val="single" w:sz="8" w:color="auto"/>
              <w:left w:val="single" w:sz="8" w:color="auto"/>
            </w:tcBorders>
          </w:tcPr>
          <w:p>
            <w:pPr>
              <w:spacing w:after="0"/>
              <w:rPr>
                <w:sz w:val="24"/>
                <w:szCs w:val="24"/>
                <w:color w:val="auto"/>
              </w:rPr>
            </w:pPr>
          </w:p>
        </w:tc>
        <w:tc>
          <w:tcPr>
            <w:tcW w:w="7960" w:type="dxa"/>
            <w:vAlign w:val="bottom"/>
            <w:tcBorders>
              <w:top w:val="single" w:sz="8" w:color="auto"/>
              <w:right w:val="single" w:sz="8" w:color="auto"/>
            </w:tcBorders>
          </w:tcPr>
          <w:p>
            <w:pPr>
              <w:ind w:left="1160"/>
              <w:spacing w:after="0"/>
              <w:rPr>
                <w:sz w:val="20"/>
                <w:szCs w:val="20"/>
                <w:color w:val="auto"/>
              </w:rPr>
            </w:pPr>
            <w:r>
              <w:rPr>
                <w:rFonts w:ascii="Times New Roman" w:cs="Times New Roman" w:eastAsia="Times New Roman" w:hAnsi="Times New Roman"/>
                <w:sz w:val="18"/>
                <w:szCs w:val="18"/>
                <w:color w:val="auto"/>
              </w:rPr>
              <w:t>three months that is published by the Term SOFR Administrator at the Reference Time for</w:t>
            </w:r>
          </w:p>
        </w:tc>
      </w:tr>
      <w:tr>
        <w:trPr>
          <w:trHeight w:val="214"/>
        </w:trPr>
        <w:tc>
          <w:tcPr>
            <w:tcW w:w="3060" w:type="dxa"/>
            <w:vAlign w:val="bottom"/>
            <w:tcBorders>
              <w:left w:val="single" w:sz="8" w:color="auto"/>
            </w:tcBorders>
          </w:tcPr>
          <w:p>
            <w:pPr>
              <w:spacing w:after="0"/>
              <w:rPr>
                <w:sz w:val="18"/>
                <w:szCs w:val="18"/>
                <w:color w:val="auto"/>
              </w:rPr>
            </w:pPr>
          </w:p>
        </w:tc>
        <w:tc>
          <w:tcPr>
            <w:tcW w:w="7960" w:type="dxa"/>
            <w:vAlign w:val="bottom"/>
            <w:tcBorders>
              <w:right w:val="single" w:sz="8" w:color="auto"/>
            </w:tcBorders>
          </w:tcPr>
          <w:p>
            <w:pPr>
              <w:ind w:left="1160"/>
              <w:spacing w:after="0"/>
              <w:rPr>
                <w:sz w:val="20"/>
                <w:szCs w:val="20"/>
                <w:color w:val="auto"/>
              </w:rPr>
            </w:pPr>
            <w:r>
              <w:rPr>
                <w:rFonts w:ascii="Times New Roman" w:cs="Times New Roman" w:eastAsia="Times New Roman" w:hAnsi="Times New Roman"/>
                <w:sz w:val="18"/>
                <w:szCs w:val="18"/>
                <w:color w:val="auto"/>
              </w:rPr>
              <w:t>any Floating Interest Period, as determined by the Calculation Agent after giving effect to</w:t>
            </w:r>
          </w:p>
        </w:tc>
      </w:tr>
      <w:tr>
        <w:trPr>
          <w:trHeight w:val="218"/>
        </w:trPr>
        <w:tc>
          <w:tcPr>
            <w:tcW w:w="3060" w:type="dxa"/>
            <w:vAlign w:val="bottom"/>
            <w:tcBorders>
              <w:left w:val="single" w:sz="8" w:color="auto"/>
            </w:tcBorders>
          </w:tcPr>
          <w:p>
            <w:pPr>
              <w:spacing w:after="0"/>
              <w:rPr>
                <w:sz w:val="18"/>
                <w:szCs w:val="18"/>
                <w:color w:val="auto"/>
              </w:rPr>
            </w:pPr>
          </w:p>
        </w:tc>
        <w:tc>
          <w:tcPr>
            <w:tcW w:w="7960" w:type="dxa"/>
            <w:vAlign w:val="bottom"/>
            <w:tcBorders>
              <w:right w:val="single" w:sz="8" w:color="auto"/>
            </w:tcBorders>
          </w:tcPr>
          <w:p>
            <w:pPr>
              <w:ind w:left="1160"/>
              <w:spacing w:after="0"/>
              <w:rPr>
                <w:sz w:val="20"/>
                <w:szCs w:val="20"/>
                <w:color w:val="auto"/>
              </w:rPr>
            </w:pPr>
            <w:r>
              <w:rPr>
                <w:rFonts w:ascii="Times New Roman" w:cs="Times New Roman" w:eastAsia="Times New Roman" w:hAnsi="Times New Roman"/>
                <w:sz w:val="18"/>
                <w:szCs w:val="18"/>
                <w:color w:val="auto"/>
              </w:rPr>
              <w:t xml:space="preserve">the Three-Month Term SOFR Conventions;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in the event</w:t>
            </w:r>
          </w:p>
        </w:tc>
      </w:tr>
      <w:tr>
        <w:trPr>
          <w:trHeight w:val="216"/>
        </w:trPr>
        <w:tc>
          <w:tcPr>
            <w:tcW w:w="3060" w:type="dxa"/>
            <w:vAlign w:val="bottom"/>
            <w:tcBorders>
              <w:left w:val="single" w:sz="8" w:color="auto"/>
            </w:tcBorders>
          </w:tcPr>
          <w:p>
            <w:pPr>
              <w:spacing w:after="0"/>
              <w:rPr>
                <w:sz w:val="18"/>
                <w:szCs w:val="18"/>
                <w:color w:val="auto"/>
              </w:rPr>
            </w:pPr>
          </w:p>
        </w:tc>
        <w:tc>
          <w:tcPr>
            <w:tcW w:w="7960" w:type="dxa"/>
            <w:vAlign w:val="bottom"/>
            <w:tcBorders>
              <w:right w:val="single" w:sz="8" w:color="auto"/>
            </w:tcBorders>
          </w:tcPr>
          <w:p>
            <w:pPr>
              <w:ind w:left="1160"/>
              <w:spacing w:after="0"/>
              <w:rPr>
                <w:sz w:val="20"/>
                <w:szCs w:val="20"/>
                <w:color w:val="auto"/>
              </w:rPr>
            </w:pPr>
            <w:r>
              <w:rPr>
                <w:rFonts w:ascii="Times New Roman" w:cs="Times New Roman" w:eastAsia="Times New Roman" w:hAnsi="Times New Roman"/>
                <w:sz w:val="18"/>
                <w:szCs w:val="18"/>
                <w:color w:val="auto"/>
              </w:rPr>
              <w:t>Three-Month Term SOFR is less than zero, Three-Month Term SOFR shall be deemed to</w:t>
            </w:r>
          </w:p>
        </w:tc>
      </w:tr>
      <w:tr>
        <w:trPr>
          <w:trHeight w:val="216"/>
        </w:trPr>
        <w:tc>
          <w:tcPr>
            <w:tcW w:w="3060" w:type="dxa"/>
            <w:vAlign w:val="bottom"/>
            <w:tcBorders>
              <w:left w:val="single" w:sz="8" w:color="auto"/>
            </w:tcBorders>
          </w:tcPr>
          <w:p>
            <w:pPr>
              <w:spacing w:after="0"/>
              <w:rPr>
                <w:sz w:val="18"/>
                <w:szCs w:val="18"/>
                <w:color w:val="auto"/>
              </w:rPr>
            </w:pPr>
          </w:p>
        </w:tc>
        <w:tc>
          <w:tcPr>
            <w:tcW w:w="7960" w:type="dxa"/>
            <w:vAlign w:val="bottom"/>
            <w:tcBorders>
              <w:right w:val="single" w:sz="8" w:color="auto"/>
            </w:tcBorders>
          </w:tcPr>
          <w:p>
            <w:pPr>
              <w:ind w:left="1160"/>
              <w:spacing w:after="0"/>
              <w:rPr>
                <w:sz w:val="20"/>
                <w:szCs w:val="20"/>
                <w:color w:val="auto"/>
              </w:rPr>
            </w:pPr>
            <w:r>
              <w:rPr>
                <w:rFonts w:ascii="Times New Roman" w:cs="Times New Roman" w:eastAsia="Times New Roman" w:hAnsi="Times New Roman"/>
                <w:sz w:val="18"/>
                <w:szCs w:val="18"/>
                <w:color w:val="auto"/>
              </w:rPr>
              <w:t>be zero (each as defined under “Description of the Notes—Principal, Maturity and</w:t>
            </w:r>
          </w:p>
        </w:tc>
      </w:tr>
      <w:tr>
        <w:trPr>
          <w:trHeight w:val="234"/>
        </w:trPr>
        <w:tc>
          <w:tcPr>
            <w:tcW w:w="3060" w:type="dxa"/>
            <w:vAlign w:val="bottom"/>
            <w:tcBorders>
              <w:left w:val="single" w:sz="8" w:color="auto"/>
            </w:tcBorders>
          </w:tcPr>
          <w:p>
            <w:pPr>
              <w:spacing w:after="0"/>
              <w:rPr>
                <w:sz w:val="20"/>
                <w:szCs w:val="20"/>
                <w:color w:val="auto"/>
              </w:rPr>
            </w:pPr>
          </w:p>
        </w:tc>
        <w:tc>
          <w:tcPr>
            <w:tcW w:w="7960" w:type="dxa"/>
            <w:vAlign w:val="bottom"/>
            <w:tcBorders>
              <w:right w:val="single" w:sz="8" w:color="auto"/>
            </w:tcBorders>
          </w:tcPr>
          <w:p>
            <w:pPr>
              <w:ind w:left="1160"/>
              <w:spacing w:after="0"/>
              <w:rPr>
                <w:sz w:val="20"/>
                <w:szCs w:val="20"/>
                <w:color w:val="auto"/>
              </w:rPr>
            </w:pPr>
            <w:r>
              <w:rPr>
                <w:rFonts w:ascii="Times New Roman" w:cs="Times New Roman" w:eastAsia="Times New Roman" w:hAnsi="Times New Roman"/>
                <w:sz w:val="18"/>
                <w:szCs w:val="18"/>
                <w:color w:val="auto"/>
              </w:rPr>
              <w:t>Interest”).</w:t>
            </w:r>
          </w:p>
        </w:tc>
      </w:tr>
      <w:tr>
        <w:trPr>
          <w:trHeight w:val="454"/>
        </w:trPr>
        <w:tc>
          <w:tcPr>
            <w:tcW w:w="3060" w:type="dxa"/>
            <w:vAlign w:val="bottom"/>
            <w:tcBorders>
              <w:left w:val="single" w:sz="8" w:color="auto"/>
            </w:tcBorders>
          </w:tcPr>
          <w:p>
            <w:pPr>
              <w:spacing w:after="0"/>
              <w:rPr>
                <w:sz w:val="24"/>
                <w:szCs w:val="24"/>
                <w:color w:val="auto"/>
              </w:rPr>
            </w:pPr>
          </w:p>
        </w:tc>
        <w:tc>
          <w:tcPr>
            <w:tcW w:w="7960" w:type="dxa"/>
            <w:vAlign w:val="bottom"/>
            <w:tcBorders>
              <w:right w:val="single" w:sz="8" w:color="auto"/>
            </w:tcBorders>
          </w:tcPr>
          <w:p>
            <w:pPr>
              <w:ind w:left="1160"/>
              <w:spacing w:after="0"/>
              <w:rPr>
                <w:sz w:val="20"/>
                <w:szCs w:val="20"/>
                <w:color w:val="auto"/>
              </w:rPr>
            </w:pPr>
            <w:r>
              <w:rPr>
                <w:rFonts w:ascii="Times New Roman" w:cs="Times New Roman" w:eastAsia="Times New Roman" w:hAnsi="Times New Roman"/>
                <w:sz w:val="18"/>
                <w:szCs w:val="18"/>
                <w:color w:val="auto"/>
              </w:rPr>
              <w:t>If the Calculation Agent determines that a Benchmark Transition Event and its related</w:t>
            </w:r>
          </w:p>
        </w:tc>
      </w:tr>
      <w:tr>
        <w:trPr>
          <w:trHeight w:val="216"/>
        </w:trPr>
        <w:tc>
          <w:tcPr>
            <w:tcW w:w="3060" w:type="dxa"/>
            <w:vAlign w:val="bottom"/>
            <w:tcBorders>
              <w:left w:val="single" w:sz="8" w:color="auto"/>
            </w:tcBorders>
          </w:tcPr>
          <w:p>
            <w:pPr>
              <w:spacing w:after="0"/>
              <w:rPr>
                <w:sz w:val="18"/>
                <w:szCs w:val="18"/>
                <w:color w:val="auto"/>
              </w:rPr>
            </w:pPr>
          </w:p>
        </w:tc>
        <w:tc>
          <w:tcPr>
            <w:tcW w:w="7960" w:type="dxa"/>
            <w:vAlign w:val="bottom"/>
            <w:tcBorders>
              <w:right w:val="single" w:sz="8" w:color="auto"/>
            </w:tcBorders>
          </w:tcPr>
          <w:p>
            <w:pPr>
              <w:ind w:left="1160"/>
              <w:spacing w:after="0"/>
              <w:rPr>
                <w:sz w:val="20"/>
                <w:szCs w:val="20"/>
                <w:color w:val="auto"/>
              </w:rPr>
            </w:pPr>
            <w:r>
              <w:rPr>
                <w:rFonts w:ascii="Times New Roman" w:cs="Times New Roman" w:eastAsia="Times New Roman" w:hAnsi="Times New Roman"/>
                <w:sz w:val="18"/>
                <w:szCs w:val="18"/>
                <w:color w:val="auto"/>
              </w:rPr>
              <w:t>Benchmark Replacement Date (each as defined under “Description of the Notes—</w:t>
            </w:r>
          </w:p>
        </w:tc>
      </w:tr>
      <w:tr>
        <w:trPr>
          <w:trHeight w:val="216"/>
        </w:trPr>
        <w:tc>
          <w:tcPr>
            <w:tcW w:w="3060" w:type="dxa"/>
            <w:vAlign w:val="bottom"/>
            <w:tcBorders>
              <w:left w:val="single" w:sz="8" w:color="auto"/>
            </w:tcBorders>
          </w:tcPr>
          <w:p>
            <w:pPr>
              <w:spacing w:after="0"/>
              <w:rPr>
                <w:sz w:val="18"/>
                <w:szCs w:val="18"/>
                <w:color w:val="auto"/>
              </w:rPr>
            </w:pPr>
          </w:p>
        </w:tc>
        <w:tc>
          <w:tcPr>
            <w:tcW w:w="7960" w:type="dxa"/>
            <w:vAlign w:val="bottom"/>
            <w:tcBorders>
              <w:right w:val="single" w:sz="8" w:color="auto"/>
            </w:tcBorders>
          </w:tcPr>
          <w:p>
            <w:pPr>
              <w:ind w:left="1160"/>
              <w:spacing w:after="0"/>
              <w:rPr>
                <w:sz w:val="20"/>
                <w:szCs w:val="20"/>
                <w:color w:val="auto"/>
              </w:rPr>
            </w:pPr>
            <w:r>
              <w:rPr>
                <w:rFonts w:ascii="Times New Roman" w:cs="Times New Roman" w:eastAsia="Times New Roman" w:hAnsi="Times New Roman"/>
                <w:sz w:val="18"/>
                <w:szCs w:val="18"/>
                <w:color w:val="auto"/>
              </w:rPr>
              <w:t>Principal, Maturity and Interest”) have occurred prior to the Reference Time in respect of</w:t>
            </w:r>
          </w:p>
        </w:tc>
      </w:tr>
      <w:tr>
        <w:trPr>
          <w:trHeight w:val="216"/>
        </w:trPr>
        <w:tc>
          <w:tcPr>
            <w:tcW w:w="3060" w:type="dxa"/>
            <w:vAlign w:val="bottom"/>
            <w:tcBorders>
              <w:left w:val="single" w:sz="8" w:color="auto"/>
            </w:tcBorders>
          </w:tcPr>
          <w:p>
            <w:pPr>
              <w:spacing w:after="0"/>
              <w:rPr>
                <w:sz w:val="18"/>
                <w:szCs w:val="18"/>
                <w:color w:val="auto"/>
              </w:rPr>
            </w:pPr>
          </w:p>
        </w:tc>
        <w:tc>
          <w:tcPr>
            <w:tcW w:w="7960" w:type="dxa"/>
            <w:vAlign w:val="bottom"/>
            <w:tcBorders>
              <w:right w:val="single" w:sz="8" w:color="auto"/>
            </w:tcBorders>
          </w:tcPr>
          <w:p>
            <w:pPr>
              <w:ind w:left="1160"/>
              <w:spacing w:after="0"/>
              <w:rPr>
                <w:sz w:val="20"/>
                <w:szCs w:val="20"/>
                <w:color w:val="auto"/>
              </w:rPr>
            </w:pPr>
            <w:r>
              <w:rPr>
                <w:rFonts w:ascii="Times New Roman" w:cs="Times New Roman" w:eastAsia="Times New Roman" w:hAnsi="Times New Roman"/>
                <w:sz w:val="18"/>
                <w:szCs w:val="18"/>
                <w:color w:val="auto"/>
              </w:rPr>
              <w:t>any determination of the Benchmark on any date, the Benchmark Replacement will replace</w:t>
            </w:r>
          </w:p>
        </w:tc>
      </w:tr>
      <w:tr>
        <w:trPr>
          <w:trHeight w:val="216"/>
        </w:trPr>
        <w:tc>
          <w:tcPr>
            <w:tcW w:w="3060" w:type="dxa"/>
            <w:vAlign w:val="bottom"/>
            <w:tcBorders>
              <w:left w:val="single" w:sz="8" w:color="auto"/>
            </w:tcBorders>
          </w:tcPr>
          <w:p>
            <w:pPr>
              <w:spacing w:after="0"/>
              <w:rPr>
                <w:sz w:val="18"/>
                <w:szCs w:val="18"/>
                <w:color w:val="auto"/>
              </w:rPr>
            </w:pPr>
          </w:p>
        </w:tc>
        <w:tc>
          <w:tcPr>
            <w:tcW w:w="7960" w:type="dxa"/>
            <w:vAlign w:val="bottom"/>
            <w:tcBorders>
              <w:right w:val="single" w:sz="8" w:color="auto"/>
            </w:tcBorders>
          </w:tcPr>
          <w:p>
            <w:pPr>
              <w:ind w:left="1160"/>
              <w:spacing w:after="0"/>
              <w:rPr>
                <w:sz w:val="20"/>
                <w:szCs w:val="20"/>
                <w:color w:val="auto"/>
              </w:rPr>
            </w:pPr>
            <w:r>
              <w:rPr>
                <w:rFonts w:ascii="Times New Roman" w:cs="Times New Roman" w:eastAsia="Times New Roman" w:hAnsi="Times New Roman"/>
                <w:sz w:val="18"/>
                <w:szCs w:val="18"/>
                <w:color w:val="auto"/>
              </w:rPr>
              <w:t>the then-current Benchmark (each as defined under “Description of the Notes—Principal,</w:t>
            </w:r>
          </w:p>
        </w:tc>
      </w:tr>
      <w:tr>
        <w:trPr>
          <w:trHeight w:val="216"/>
        </w:trPr>
        <w:tc>
          <w:tcPr>
            <w:tcW w:w="3060" w:type="dxa"/>
            <w:vAlign w:val="bottom"/>
            <w:tcBorders>
              <w:left w:val="single" w:sz="8" w:color="auto"/>
            </w:tcBorders>
          </w:tcPr>
          <w:p>
            <w:pPr>
              <w:spacing w:after="0"/>
              <w:rPr>
                <w:sz w:val="18"/>
                <w:szCs w:val="18"/>
                <w:color w:val="auto"/>
              </w:rPr>
            </w:pPr>
          </w:p>
        </w:tc>
        <w:tc>
          <w:tcPr>
            <w:tcW w:w="7960" w:type="dxa"/>
            <w:vAlign w:val="bottom"/>
            <w:tcBorders>
              <w:right w:val="single" w:sz="8" w:color="auto"/>
            </w:tcBorders>
          </w:tcPr>
          <w:p>
            <w:pPr>
              <w:ind w:left="1160"/>
              <w:spacing w:after="0"/>
              <w:rPr>
                <w:sz w:val="20"/>
                <w:szCs w:val="20"/>
                <w:color w:val="auto"/>
              </w:rPr>
            </w:pPr>
            <w:r>
              <w:rPr>
                <w:rFonts w:ascii="Times New Roman" w:cs="Times New Roman" w:eastAsia="Times New Roman" w:hAnsi="Times New Roman"/>
                <w:sz w:val="18"/>
                <w:szCs w:val="18"/>
                <w:color w:val="auto"/>
              </w:rPr>
              <w:t>Maturity and Interest”) for all purposes relating to the New Notes during the relevant</w:t>
            </w:r>
          </w:p>
        </w:tc>
      </w:tr>
      <w:tr>
        <w:trPr>
          <w:trHeight w:val="216"/>
        </w:trPr>
        <w:tc>
          <w:tcPr>
            <w:tcW w:w="3060" w:type="dxa"/>
            <w:vAlign w:val="bottom"/>
            <w:tcBorders>
              <w:left w:val="single" w:sz="8" w:color="auto"/>
            </w:tcBorders>
          </w:tcPr>
          <w:p>
            <w:pPr>
              <w:spacing w:after="0"/>
              <w:rPr>
                <w:sz w:val="18"/>
                <w:szCs w:val="18"/>
                <w:color w:val="auto"/>
              </w:rPr>
            </w:pPr>
          </w:p>
        </w:tc>
        <w:tc>
          <w:tcPr>
            <w:tcW w:w="7960" w:type="dxa"/>
            <w:vAlign w:val="bottom"/>
            <w:tcBorders>
              <w:right w:val="single" w:sz="8" w:color="auto"/>
            </w:tcBorders>
          </w:tcPr>
          <w:p>
            <w:pPr>
              <w:ind w:left="1160"/>
              <w:spacing w:after="0"/>
              <w:rPr>
                <w:sz w:val="20"/>
                <w:szCs w:val="20"/>
                <w:color w:val="auto"/>
              </w:rPr>
            </w:pPr>
            <w:r>
              <w:rPr>
                <w:rFonts w:ascii="Times New Roman" w:cs="Times New Roman" w:eastAsia="Times New Roman" w:hAnsi="Times New Roman"/>
                <w:sz w:val="18"/>
                <w:szCs w:val="18"/>
                <w:color w:val="auto"/>
              </w:rPr>
              <w:t>Floating Interest Period in respect of such determination on such date and all</w:t>
            </w:r>
          </w:p>
        </w:tc>
      </w:tr>
      <w:tr>
        <w:trPr>
          <w:trHeight w:val="216"/>
        </w:trPr>
        <w:tc>
          <w:tcPr>
            <w:tcW w:w="3060" w:type="dxa"/>
            <w:vAlign w:val="bottom"/>
            <w:tcBorders>
              <w:left w:val="single" w:sz="8" w:color="auto"/>
            </w:tcBorders>
          </w:tcPr>
          <w:p>
            <w:pPr>
              <w:spacing w:after="0"/>
              <w:rPr>
                <w:sz w:val="18"/>
                <w:szCs w:val="18"/>
                <w:color w:val="auto"/>
              </w:rPr>
            </w:pPr>
          </w:p>
        </w:tc>
        <w:tc>
          <w:tcPr>
            <w:tcW w:w="7960" w:type="dxa"/>
            <w:vAlign w:val="bottom"/>
            <w:tcBorders>
              <w:right w:val="single" w:sz="8" w:color="auto"/>
            </w:tcBorders>
          </w:tcPr>
          <w:p>
            <w:pPr>
              <w:ind w:left="1160"/>
              <w:spacing w:after="0"/>
              <w:rPr>
                <w:sz w:val="20"/>
                <w:szCs w:val="20"/>
                <w:color w:val="auto"/>
              </w:rPr>
            </w:pPr>
            <w:r>
              <w:rPr>
                <w:rFonts w:ascii="Times New Roman" w:cs="Times New Roman" w:eastAsia="Times New Roman" w:hAnsi="Times New Roman"/>
                <w:sz w:val="18"/>
                <w:szCs w:val="18"/>
                <w:color w:val="auto"/>
              </w:rPr>
              <w:t>determinations on all subsequent dates. In accordance with the benchmark transition</w:t>
            </w:r>
          </w:p>
        </w:tc>
      </w:tr>
      <w:tr>
        <w:trPr>
          <w:trHeight w:val="216"/>
        </w:trPr>
        <w:tc>
          <w:tcPr>
            <w:tcW w:w="3060" w:type="dxa"/>
            <w:vAlign w:val="bottom"/>
            <w:tcBorders>
              <w:left w:val="single" w:sz="8" w:color="auto"/>
            </w:tcBorders>
          </w:tcPr>
          <w:p>
            <w:pPr>
              <w:spacing w:after="0"/>
              <w:rPr>
                <w:sz w:val="18"/>
                <w:szCs w:val="18"/>
                <w:color w:val="auto"/>
              </w:rPr>
            </w:pPr>
          </w:p>
        </w:tc>
        <w:tc>
          <w:tcPr>
            <w:tcW w:w="7960" w:type="dxa"/>
            <w:vAlign w:val="bottom"/>
            <w:tcBorders>
              <w:right w:val="single" w:sz="8" w:color="auto"/>
            </w:tcBorders>
          </w:tcPr>
          <w:p>
            <w:pPr>
              <w:ind w:left="1160"/>
              <w:spacing w:after="0"/>
              <w:rPr>
                <w:sz w:val="20"/>
                <w:szCs w:val="20"/>
                <w:color w:val="auto"/>
              </w:rPr>
            </w:pPr>
            <w:r>
              <w:rPr>
                <w:rFonts w:ascii="Times New Roman" w:cs="Times New Roman" w:eastAsia="Times New Roman" w:hAnsi="Times New Roman"/>
                <w:sz w:val="18"/>
                <w:szCs w:val="18"/>
                <w:color w:val="auto"/>
              </w:rPr>
              <w:t>provisions, after a Benchmark Transition Event and its related Benchmark Replacement</w:t>
            </w:r>
          </w:p>
        </w:tc>
      </w:tr>
      <w:tr>
        <w:trPr>
          <w:trHeight w:val="216"/>
        </w:trPr>
        <w:tc>
          <w:tcPr>
            <w:tcW w:w="3060" w:type="dxa"/>
            <w:vAlign w:val="bottom"/>
            <w:tcBorders>
              <w:left w:val="single" w:sz="8" w:color="auto"/>
            </w:tcBorders>
          </w:tcPr>
          <w:p>
            <w:pPr>
              <w:spacing w:after="0"/>
              <w:rPr>
                <w:sz w:val="18"/>
                <w:szCs w:val="18"/>
                <w:color w:val="auto"/>
              </w:rPr>
            </w:pPr>
          </w:p>
        </w:tc>
        <w:tc>
          <w:tcPr>
            <w:tcW w:w="7960" w:type="dxa"/>
            <w:vAlign w:val="bottom"/>
            <w:tcBorders>
              <w:right w:val="single" w:sz="8" w:color="auto"/>
            </w:tcBorders>
          </w:tcPr>
          <w:p>
            <w:pPr>
              <w:ind w:left="1160"/>
              <w:spacing w:after="0"/>
              <w:rPr>
                <w:sz w:val="20"/>
                <w:szCs w:val="20"/>
                <w:color w:val="auto"/>
              </w:rPr>
            </w:pPr>
            <w:r>
              <w:rPr>
                <w:rFonts w:ascii="Times New Roman" w:cs="Times New Roman" w:eastAsia="Times New Roman" w:hAnsi="Times New Roman"/>
                <w:sz w:val="18"/>
                <w:szCs w:val="18"/>
                <w:color w:val="auto"/>
              </w:rPr>
              <w:t>Date have occurred, the interest rate on the New Notes for each interest period during the</w:t>
            </w:r>
          </w:p>
        </w:tc>
      </w:tr>
      <w:tr>
        <w:trPr>
          <w:trHeight w:val="216"/>
        </w:trPr>
        <w:tc>
          <w:tcPr>
            <w:tcW w:w="3060" w:type="dxa"/>
            <w:vAlign w:val="bottom"/>
            <w:tcBorders>
              <w:left w:val="single" w:sz="8" w:color="auto"/>
            </w:tcBorders>
          </w:tcPr>
          <w:p>
            <w:pPr>
              <w:spacing w:after="0"/>
              <w:rPr>
                <w:sz w:val="18"/>
                <w:szCs w:val="18"/>
                <w:color w:val="auto"/>
              </w:rPr>
            </w:pPr>
          </w:p>
        </w:tc>
        <w:tc>
          <w:tcPr>
            <w:tcW w:w="7960" w:type="dxa"/>
            <w:vAlign w:val="bottom"/>
            <w:tcBorders>
              <w:right w:val="single" w:sz="8" w:color="auto"/>
            </w:tcBorders>
          </w:tcPr>
          <w:p>
            <w:pPr>
              <w:ind w:left="1160"/>
              <w:spacing w:after="0"/>
              <w:rPr>
                <w:sz w:val="20"/>
                <w:szCs w:val="20"/>
                <w:color w:val="auto"/>
              </w:rPr>
            </w:pPr>
            <w:r>
              <w:rPr>
                <w:rFonts w:ascii="Times New Roman" w:cs="Times New Roman" w:eastAsia="Times New Roman" w:hAnsi="Times New Roman"/>
                <w:sz w:val="18"/>
                <w:szCs w:val="18"/>
                <w:color w:val="auto"/>
              </w:rPr>
              <w:t>Floating Rate Period will be an annual rate equal to the sum of the applicable Benchmark</w:t>
            </w:r>
          </w:p>
        </w:tc>
      </w:tr>
      <w:tr>
        <w:trPr>
          <w:trHeight w:val="216"/>
        </w:trPr>
        <w:tc>
          <w:tcPr>
            <w:tcW w:w="3060" w:type="dxa"/>
            <w:vAlign w:val="bottom"/>
            <w:tcBorders>
              <w:left w:val="single" w:sz="8" w:color="auto"/>
            </w:tcBorders>
          </w:tcPr>
          <w:p>
            <w:pPr>
              <w:spacing w:after="0"/>
              <w:rPr>
                <w:sz w:val="18"/>
                <w:szCs w:val="18"/>
                <w:color w:val="auto"/>
              </w:rPr>
            </w:pPr>
          </w:p>
        </w:tc>
        <w:tc>
          <w:tcPr>
            <w:tcW w:w="7960" w:type="dxa"/>
            <w:vAlign w:val="bottom"/>
            <w:tcBorders>
              <w:right w:val="single" w:sz="8" w:color="auto"/>
            </w:tcBorders>
          </w:tcPr>
          <w:p>
            <w:pPr>
              <w:ind w:left="1160"/>
              <w:spacing w:after="0"/>
              <w:rPr>
                <w:sz w:val="20"/>
                <w:szCs w:val="20"/>
                <w:color w:val="auto"/>
              </w:rPr>
            </w:pPr>
            <w:r>
              <w:rPr>
                <w:rFonts w:ascii="Times New Roman" w:cs="Times New Roman" w:eastAsia="Times New Roman" w:hAnsi="Times New Roman"/>
                <w:sz w:val="18"/>
                <w:szCs w:val="18"/>
                <w:color w:val="auto"/>
              </w:rPr>
              <w:t>Replacement (as defined under “Description of the Notes—Effect of Benchmark Transition</w:t>
            </w:r>
          </w:p>
        </w:tc>
      </w:tr>
      <w:tr>
        <w:trPr>
          <w:trHeight w:val="234"/>
        </w:trPr>
        <w:tc>
          <w:tcPr>
            <w:tcW w:w="3060" w:type="dxa"/>
            <w:vAlign w:val="bottom"/>
            <w:tcBorders>
              <w:left w:val="single" w:sz="8" w:color="auto"/>
            </w:tcBorders>
          </w:tcPr>
          <w:p>
            <w:pPr>
              <w:spacing w:after="0"/>
              <w:rPr>
                <w:sz w:val="20"/>
                <w:szCs w:val="20"/>
                <w:color w:val="auto"/>
              </w:rPr>
            </w:pPr>
          </w:p>
        </w:tc>
        <w:tc>
          <w:tcPr>
            <w:tcW w:w="7960" w:type="dxa"/>
            <w:vAlign w:val="bottom"/>
            <w:tcBorders>
              <w:right w:val="single" w:sz="8" w:color="auto"/>
            </w:tcBorders>
          </w:tcPr>
          <w:p>
            <w:pPr>
              <w:ind w:left="1160"/>
              <w:spacing w:after="0"/>
              <w:rPr>
                <w:sz w:val="20"/>
                <w:szCs w:val="20"/>
                <w:color w:val="auto"/>
              </w:rPr>
            </w:pPr>
            <w:r>
              <w:rPr>
                <w:rFonts w:ascii="Times New Roman" w:cs="Times New Roman" w:eastAsia="Times New Roman" w:hAnsi="Times New Roman"/>
                <w:sz w:val="18"/>
                <w:szCs w:val="18"/>
                <w:color w:val="auto"/>
              </w:rPr>
              <w:t>Event”), plus 422 basis points.</w:t>
            </w:r>
          </w:p>
        </w:tc>
      </w:tr>
      <w:tr>
        <w:trPr>
          <w:trHeight w:val="441"/>
        </w:trPr>
        <w:tc>
          <w:tcPr>
            <w:tcW w:w="306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Day Count Convention</w:t>
            </w:r>
          </w:p>
        </w:tc>
        <w:tc>
          <w:tcPr>
            <w:tcW w:w="7960" w:type="dxa"/>
            <w:vAlign w:val="bottom"/>
            <w:tcBorders>
              <w:right w:val="single" w:sz="8" w:color="auto"/>
            </w:tcBorders>
          </w:tcPr>
          <w:p>
            <w:pPr>
              <w:ind w:left="1160"/>
              <w:spacing w:after="0"/>
              <w:rPr>
                <w:sz w:val="20"/>
                <w:szCs w:val="20"/>
                <w:color w:val="auto"/>
              </w:rPr>
            </w:pPr>
            <w:r>
              <w:rPr>
                <w:rFonts w:ascii="Times New Roman" w:cs="Times New Roman" w:eastAsia="Times New Roman" w:hAnsi="Times New Roman"/>
                <w:sz w:val="18"/>
                <w:szCs w:val="18"/>
                <w:color w:val="auto"/>
              </w:rPr>
              <w:t>Twelve 30-day months/360-day year to but excluding August 15, 2030, and thereafter, a</w:t>
            </w:r>
          </w:p>
        </w:tc>
      </w:tr>
      <w:tr>
        <w:trPr>
          <w:trHeight w:val="234"/>
        </w:trPr>
        <w:tc>
          <w:tcPr>
            <w:tcW w:w="3060" w:type="dxa"/>
            <w:vAlign w:val="bottom"/>
            <w:tcBorders>
              <w:left w:val="single" w:sz="8" w:color="auto"/>
            </w:tcBorders>
          </w:tcPr>
          <w:p>
            <w:pPr>
              <w:spacing w:after="0"/>
              <w:rPr>
                <w:sz w:val="20"/>
                <w:szCs w:val="20"/>
                <w:color w:val="auto"/>
              </w:rPr>
            </w:pPr>
          </w:p>
        </w:tc>
        <w:tc>
          <w:tcPr>
            <w:tcW w:w="7960" w:type="dxa"/>
            <w:vAlign w:val="bottom"/>
            <w:tcBorders>
              <w:right w:val="single" w:sz="8" w:color="auto"/>
            </w:tcBorders>
          </w:tcPr>
          <w:p>
            <w:pPr>
              <w:ind w:left="1160"/>
              <w:spacing w:after="0"/>
              <w:rPr>
                <w:sz w:val="20"/>
                <w:szCs w:val="20"/>
                <w:color w:val="auto"/>
              </w:rPr>
            </w:pPr>
            <w:r>
              <w:rPr>
                <w:rFonts w:ascii="Times New Roman" w:cs="Times New Roman" w:eastAsia="Times New Roman" w:hAnsi="Times New Roman"/>
                <w:sz w:val="18"/>
                <w:szCs w:val="18"/>
                <w:color w:val="auto"/>
              </w:rPr>
              <w:t>360-day year and the number of days actually elapsed.</w:t>
            </w:r>
          </w:p>
        </w:tc>
      </w:tr>
      <w:tr>
        <w:trPr>
          <w:trHeight w:val="441"/>
        </w:trPr>
        <w:tc>
          <w:tcPr>
            <w:tcW w:w="306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Record Dates</w:t>
            </w:r>
          </w:p>
        </w:tc>
        <w:tc>
          <w:tcPr>
            <w:tcW w:w="7960" w:type="dxa"/>
            <w:vAlign w:val="bottom"/>
            <w:tcBorders>
              <w:right w:val="single" w:sz="8" w:color="auto"/>
            </w:tcBorders>
          </w:tcPr>
          <w:p>
            <w:pPr>
              <w:ind w:left="1160"/>
              <w:spacing w:after="0"/>
              <w:rPr>
                <w:sz w:val="20"/>
                <w:szCs w:val="20"/>
                <w:color w:val="auto"/>
              </w:rPr>
            </w:pPr>
            <w:r>
              <w:rPr>
                <w:rFonts w:ascii="Times New Roman" w:cs="Times New Roman" w:eastAsia="Times New Roman" w:hAnsi="Times New Roman"/>
                <w:sz w:val="18"/>
                <w:szCs w:val="18"/>
                <w:color w:val="auto"/>
              </w:rPr>
              <w:t>Each interest payment will be made to the holders of record who held the New Notes at the</w:t>
            </w:r>
          </w:p>
        </w:tc>
      </w:tr>
      <w:tr>
        <w:trPr>
          <w:trHeight w:val="216"/>
        </w:trPr>
        <w:tc>
          <w:tcPr>
            <w:tcW w:w="3060" w:type="dxa"/>
            <w:vAlign w:val="bottom"/>
            <w:tcBorders>
              <w:left w:val="single" w:sz="8" w:color="auto"/>
            </w:tcBorders>
          </w:tcPr>
          <w:p>
            <w:pPr>
              <w:spacing w:after="0"/>
              <w:rPr>
                <w:sz w:val="18"/>
                <w:szCs w:val="18"/>
                <w:color w:val="auto"/>
              </w:rPr>
            </w:pPr>
          </w:p>
        </w:tc>
        <w:tc>
          <w:tcPr>
            <w:tcW w:w="7960" w:type="dxa"/>
            <w:vAlign w:val="bottom"/>
            <w:tcBorders>
              <w:right w:val="single" w:sz="8" w:color="auto"/>
            </w:tcBorders>
          </w:tcPr>
          <w:p>
            <w:pPr>
              <w:ind w:left="1160"/>
              <w:spacing w:after="0"/>
              <w:rPr>
                <w:sz w:val="20"/>
                <w:szCs w:val="20"/>
                <w:color w:val="auto"/>
              </w:rPr>
            </w:pPr>
            <w:r>
              <w:rPr>
                <w:rFonts w:ascii="Times New Roman" w:cs="Times New Roman" w:eastAsia="Times New Roman" w:hAnsi="Times New Roman"/>
                <w:sz w:val="18"/>
                <w:szCs w:val="18"/>
                <w:color w:val="auto"/>
              </w:rPr>
              <w:t>close of business on the fifteenth calendar day prior to the applicable interest payment date,</w:t>
            </w:r>
          </w:p>
        </w:tc>
      </w:tr>
      <w:tr>
        <w:trPr>
          <w:trHeight w:val="234"/>
        </w:trPr>
        <w:tc>
          <w:tcPr>
            <w:tcW w:w="3060" w:type="dxa"/>
            <w:vAlign w:val="bottom"/>
            <w:tcBorders>
              <w:left w:val="single" w:sz="8" w:color="auto"/>
            </w:tcBorders>
          </w:tcPr>
          <w:p>
            <w:pPr>
              <w:spacing w:after="0"/>
              <w:rPr>
                <w:sz w:val="20"/>
                <w:szCs w:val="20"/>
                <w:color w:val="auto"/>
              </w:rPr>
            </w:pPr>
          </w:p>
        </w:tc>
        <w:tc>
          <w:tcPr>
            <w:tcW w:w="7960" w:type="dxa"/>
            <w:vAlign w:val="bottom"/>
            <w:tcBorders>
              <w:right w:val="single" w:sz="8" w:color="auto"/>
            </w:tcBorders>
          </w:tcPr>
          <w:p>
            <w:pPr>
              <w:ind w:left="1160"/>
              <w:spacing w:after="0"/>
              <w:rPr>
                <w:sz w:val="20"/>
                <w:szCs w:val="20"/>
                <w:color w:val="auto"/>
              </w:rPr>
            </w:pPr>
            <w:r>
              <w:rPr>
                <w:rFonts w:ascii="Times New Roman" w:cs="Times New Roman" w:eastAsia="Times New Roman" w:hAnsi="Times New Roman"/>
                <w:sz w:val="18"/>
                <w:szCs w:val="18"/>
                <w:color w:val="auto"/>
              </w:rPr>
              <w:t>without regard to whether the regular record date is a business day.</w:t>
            </w:r>
          </w:p>
        </w:tc>
      </w:tr>
      <w:tr>
        <w:trPr>
          <w:trHeight w:val="459"/>
        </w:trPr>
        <w:tc>
          <w:tcPr>
            <w:tcW w:w="306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Subordination; Ranking</w:t>
            </w:r>
          </w:p>
        </w:tc>
        <w:tc>
          <w:tcPr>
            <w:tcW w:w="7960" w:type="dxa"/>
            <w:vAlign w:val="bottom"/>
            <w:tcBorders>
              <w:right w:val="single" w:sz="8" w:color="auto"/>
            </w:tcBorders>
          </w:tcPr>
          <w:p>
            <w:pPr>
              <w:ind w:left="1160"/>
              <w:spacing w:after="0"/>
              <w:rPr>
                <w:sz w:val="20"/>
                <w:szCs w:val="20"/>
                <w:color w:val="auto"/>
              </w:rPr>
            </w:pPr>
            <w:r>
              <w:rPr>
                <w:rFonts w:ascii="Times New Roman" w:cs="Times New Roman" w:eastAsia="Times New Roman" w:hAnsi="Times New Roman"/>
                <w:sz w:val="18"/>
                <w:szCs w:val="18"/>
                <w:color w:val="auto"/>
              </w:rPr>
              <w:t>The New Notes will be our general unsecured, subordinated obligations and:</w:t>
            </w:r>
          </w:p>
        </w:tc>
      </w:tr>
      <w:tr>
        <w:trPr>
          <w:trHeight w:val="333"/>
        </w:trPr>
        <w:tc>
          <w:tcPr>
            <w:tcW w:w="3060" w:type="dxa"/>
            <w:vAlign w:val="bottom"/>
            <w:tcBorders>
              <w:left w:val="single" w:sz="8" w:color="auto"/>
            </w:tcBorders>
          </w:tcPr>
          <w:p>
            <w:pPr>
              <w:spacing w:after="0"/>
              <w:rPr>
                <w:sz w:val="24"/>
                <w:szCs w:val="24"/>
                <w:color w:val="auto"/>
              </w:rPr>
            </w:pPr>
          </w:p>
        </w:tc>
        <w:tc>
          <w:tcPr>
            <w:tcW w:w="7960" w:type="dxa"/>
            <w:vAlign w:val="bottom"/>
            <w:tcBorders>
              <w:right w:val="single" w:sz="8" w:color="auto"/>
            </w:tcBorders>
          </w:tcPr>
          <w:p>
            <w:pPr>
              <w:ind w:left="1160"/>
              <w:spacing w:after="0"/>
              <w:rPr>
                <w:sz w:val="20"/>
                <w:szCs w:val="20"/>
                <w:color w:val="auto"/>
              </w:rPr>
            </w:pPr>
            <w:r>
              <w:rPr>
                <w:rFonts w:ascii="Times New Roman" w:cs="Times New Roman" w:eastAsia="Times New Roman" w:hAnsi="Times New Roman"/>
                <w:sz w:val="18"/>
                <w:szCs w:val="18"/>
                <w:color w:val="auto"/>
              </w:rPr>
              <w:t>will rank junior in right of payment and upon our liquidation to our existing and future</w:t>
            </w:r>
          </w:p>
        </w:tc>
      </w:tr>
      <w:tr>
        <w:trPr>
          <w:trHeight w:val="234"/>
        </w:trPr>
        <w:tc>
          <w:tcPr>
            <w:tcW w:w="3060" w:type="dxa"/>
            <w:vAlign w:val="bottom"/>
            <w:tcBorders>
              <w:left w:val="single" w:sz="8" w:color="auto"/>
            </w:tcBorders>
          </w:tcPr>
          <w:p>
            <w:pPr>
              <w:spacing w:after="0"/>
              <w:rPr>
                <w:sz w:val="20"/>
                <w:szCs w:val="20"/>
                <w:color w:val="auto"/>
              </w:rPr>
            </w:pPr>
          </w:p>
        </w:tc>
        <w:tc>
          <w:tcPr>
            <w:tcW w:w="7960" w:type="dxa"/>
            <w:vAlign w:val="bottom"/>
            <w:tcBorders>
              <w:right w:val="single" w:sz="8" w:color="auto"/>
            </w:tcBorders>
          </w:tcPr>
          <w:p>
            <w:pPr>
              <w:ind w:left="1160"/>
              <w:spacing w:after="0"/>
              <w:rPr>
                <w:sz w:val="20"/>
                <w:szCs w:val="20"/>
                <w:color w:val="auto"/>
              </w:rPr>
            </w:pPr>
            <w:r>
              <w:rPr>
                <w:rFonts w:ascii="Times New Roman" w:cs="Times New Roman" w:eastAsia="Times New Roman" w:hAnsi="Times New Roman"/>
                <w:sz w:val="18"/>
                <w:szCs w:val="18"/>
                <w:color w:val="auto"/>
              </w:rPr>
              <w:t>senior indebtedness (as defined herein);</w:t>
            </w:r>
          </w:p>
        </w:tc>
      </w:tr>
      <w:tr>
        <w:trPr>
          <w:trHeight w:val="319"/>
        </w:trPr>
        <w:tc>
          <w:tcPr>
            <w:tcW w:w="3060" w:type="dxa"/>
            <w:vAlign w:val="bottom"/>
            <w:tcBorders>
              <w:left w:val="single" w:sz="8" w:color="auto"/>
            </w:tcBorders>
          </w:tcPr>
          <w:p>
            <w:pPr>
              <w:spacing w:after="0"/>
              <w:rPr>
                <w:sz w:val="24"/>
                <w:szCs w:val="24"/>
                <w:color w:val="auto"/>
              </w:rPr>
            </w:pPr>
          </w:p>
        </w:tc>
        <w:tc>
          <w:tcPr>
            <w:tcW w:w="7960" w:type="dxa"/>
            <w:vAlign w:val="bottom"/>
            <w:tcBorders>
              <w:right w:val="single" w:sz="8" w:color="auto"/>
            </w:tcBorders>
          </w:tcPr>
          <w:p>
            <w:pPr>
              <w:ind w:left="1160"/>
              <w:spacing w:after="0"/>
              <w:rPr>
                <w:sz w:val="20"/>
                <w:szCs w:val="20"/>
                <w:color w:val="auto"/>
              </w:rPr>
            </w:pPr>
            <w:r>
              <w:rPr>
                <w:rFonts w:ascii="Times New Roman" w:cs="Times New Roman" w:eastAsia="Times New Roman" w:hAnsi="Times New Roman"/>
                <w:sz w:val="18"/>
                <w:szCs w:val="18"/>
                <w:color w:val="auto"/>
              </w:rPr>
              <w:t>will rank equally in right of payment and upon our liquidation with our existing and all</w:t>
            </w:r>
          </w:p>
        </w:tc>
      </w:tr>
      <w:tr>
        <w:trPr>
          <w:trHeight w:val="216"/>
        </w:trPr>
        <w:tc>
          <w:tcPr>
            <w:tcW w:w="3060" w:type="dxa"/>
            <w:vAlign w:val="bottom"/>
            <w:tcBorders>
              <w:left w:val="single" w:sz="8" w:color="auto"/>
            </w:tcBorders>
          </w:tcPr>
          <w:p>
            <w:pPr>
              <w:spacing w:after="0"/>
              <w:rPr>
                <w:sz w:val="18"/>
                <w:szCs w:val="18"/>
                <w:color w:val="auto"/>
              </w:rPr>
            </w:pPr>
          </w:p>
        </w:tc>
        <w:tc>
          <w:tcPr>
            <w:tcW w:w="7960" w:type="dxa"/>
            <w:vAlign w:val="bottom"/>
            <w:tcBorders>
              <w:right w:val="single" w:sz="8" w:color="auto"/>
            </w:tcBorders>
          </w:tcPr>
          <w:p>
            <w:pPr>
              <w:ind w:left="1160"/>
              <w:spacing w:after="0"/>
              <w:rPr>
                <w:sz w:val="20"/>
                <w:szCs w:val="20"/>
                <w:color w:val="auto"/>
              </w:rPr>
            </w:pPr>
            <w:r>
              <w:rPr>
                <w:rFonts w:ascii="Times New Roman" w:cs="Times New Roman" w:eastAsia="Times New Roman" w:hAnsi="Times New Roman"/>
                <w:sz w:val="18"/>
                <w:szCs w:val="18"/>
                <w:color w:val="auto"/>
              </w:rPr>
              <w:t>future indebtedness the terms of which provide that such indebtedness ranks equally with</w:t>
            </w:r>
          </w:p>
        </w:tc>
      </w:tr>
      <w:tr>
        <w:trPr>
          <w:trHeight w:val="216"/>
        </w:trPr>
        <w:tc>
          <w:tcPr>
            <w:tcW w:w="3060" w:type="dxa"/>
            <w:vAlign w:val="bottom"/>
            <w:tcBorders>
              <w:left w:val="single" w:sz="8" w:color="auto"/>
            </w:tcBorders>
          </w:tcPr>
          <w:p>
            <w:pPr>
              <w:spacing w:after="0"/>
              <w:rPr>
                <w:sz w:val="18"/>
                <w:szCs w:val="18"/>
                <w:color w:val="auto"/>
              </w:rPr>
            </w:pPr>
          </w:p>
        </w:tc>
        <w:tc>
          <w:tcPr>
            <w:tcW w:w="7960" w:type="dxa"/>
            <w:vAlign w:val="bottom"/>
            <w:tcBorders>
              <w:right w:val="single" w:sz="8" w:color="auto"/>
            </w:tcBorders>
          </w:tcPr>
          <w:p>
            <w:pPr>
              <w:ind w:left="1160"/>
              <w:spacing w:after="0"/>
              <w:rPr>
                <w:sz w:val="20"/>
                <w:szCs w:val="20"/>
                <w:color w:val="auto"/>
              </w:rPr>
            </w:pPr>
            <w:r>
              <w:rPr>
                <w:rFonts w:ascii="Times New Roman" w:cs="Times New Roman" w:eastAsia="Times New Roman" w:hAnsi="Times New Roman"/>
                <w:sz w:val="18"/>
                <w:szCs w:val="18"/>
                <w:color w:val="auto"/>
              </w:rPr>
              <w:t>promissory notes, bonds, debentures and other evidences of indebtedness of types that</w:t>
            </w:r>
          </w:p>
        </w:tc>
      </w:tr>
      <w:tr>
        <w:trPr>
          <w:trHeight w:val="234"/>
        </w:trPr>
        <w:tc>
          <w:tcPr>
            <w:tcW w:w="3060" w:type="dxa"/>
            <w:vAlign w:val="bottom"/>
            <w:tcBorders>
              <w:left w:val="single" w:sz="8" w:color="auto"/>
            </w:tcBorders>
          </w:tcPr>
          <w:p>
            <w:pPr>
              <w:spacing w:after="0"/>
              <w:rPr>
                <w:sz w:val="20"/>
                <w:szCs w:val="20"/>
                <w:color w:val="auto"/>
              </w:rPr>
            </w:pPr>
          </w:p>
        </w:tc>
        <w:tc>
          <w:tcPr>
            <w:tcW w:w="7960" w:type="dxa"/>
            <w:vAlign w:val="bottom"/>
            <w:tcBorders>
              <w:right w:val="single" w:sz="8" w:color="auto"/>
            </w:tcBorders>
          </w:tcPr>
          <w:p>
            <w:pPr>
              <w:ind w:left="1160"/>
              <w:spacing w:after="0"/>
              <w:rPr>
                <w:sz w:val="20"/>
                <w:szCs w:val="20"/>
                <w:color w:val="auto"/>
              </w:rPr>
            </w:pPr>
            <w:r>
              <w:rPr>
                <w:rFonts w:ascii="Times New Roman" w:cs="Times New Roman" w:eastAsia="Times New Roman" w:hAnsi="Times New Roman"/>
                <w:sz w:val="18"/>
                <w:szCs w:val="18"/>
                <w:color w:val="auto"/>
              </w:rPr>
              <w:t>include the New Notes; and</w:t>
            </w:r>
          </w:p>
        </w:tc>
      </w:tr>
      <w:tr>
        <w:trPr>
          <w:trHeight w:val="319"/>
        </w:trPr>
        <w:tc>
          <w:tcPr>
            <w:tcW w:w="3060" w:type="dxa"/>
            <w:vAlign w:val="bottom"/>
            <w:tcBorders>
              <w:left w:val="single" w:sz="8" w:color="auto"/>
            </w:tcBorders>
          </w:tcPr>
          <w:p>
            <w:pPr>
              <w:spacing w:after="0"/>
              <w:rPr>
                <w:sz w:val="24"/>
                <w:szCs w:val="24"/>
                <w:color w:val="auto"/>
              </w:rPr>
            </w:pPr>
          </w:p>
        </w:tc>
        <w:tc>
          <w:tcPr>
            <w:tcW w:w="7960" w:type="dxa"/>
            <w:vAlign w:val="bottom"/>
            <w:tcBorders>
              <w:right w:val="single" w:sz="8" w:color="auto"/>
            </w:tcBorders>
          </w:tcPr>
          <w:p>
            <w:pPr>
              <w:ind w:left="1160"/>
              <w:spacing w:after="0"/>
              <w:rPr>
                <w:sz w:val="20"/>
                <w:szCs w:val="20"/>
                <w:color w:val="auto"/>
              </w:rPr>
            </w:pPr>
            <w:r>
              <w:rPr>
                <w:rFonts w:ascii="Times New Roman" w:cs="Times New Roman" w:eastAsia="Times New Roman" w:hAnsi="Times New Roman"/>
                <w:sz w:val="18"/>
                <w:szCs w:val="18"/>
                <w:color w:val="auto"/>
              </w:rPr>
              <w:t>will rank senior in right of payment and upon our liquidation to any indebtedness the terms</w:t>
            </w:r>
          </w:p>
        </w:tc>
      </w:tr>
      <w:tr>
        <w:trPr>
          <w:trHeight w:val="216"/>
        </w:trPr>
        <w:tc>
          <w:tcPr>
            <w:tcW w:w="3060" w:type="dxa"/>
            <w:vAlign w:val="bottom"/>
            <w:tcBorders>
              <w:left w:val="single" w:sz="8" w:color="auto"/>
            </w:tcBorders>
          </w:tcPr>
          <w:p>
            <w:pPr>
              <w:spacing w:after="0"/>
              <w:rPr>
                <w:sz w:val="18"/>
                <w:szCs w:val="18"/>
                <w:color w:val="auto"/>
              </w:rPr>
            </w:pPr>
          </w:p>
        </w:tc>
        <w:tc>
          <w:tcPr>
            <w:tcW w:w="7960" w:type="dxa"/>
            <w:vAlign w:val="bottom"/>
            <w:tcBorders>
              <w:right w:val="single" w:sz="8" w:color="auto"/>
            </w:tcBorders>
          </w:tcPr>
          <w:p>
            <w:pPr>
              <w:ind w:left="1160"/>
              <w:spacing w:after="0"/>
              <w:rPr>
                <w:sz w:val="20"/>
                <w:szCs w:val="20"/>
                <w:color w:val="auto"/>
              </w:rPr>
            </w:pPr>
            <w:r>
              <w:rPr>
                <w:rFonts w:ascii="Times New Roman" w:cs="Times New Roman" w:eastAsia="Times New Roman" w:hAnsi="Times New Roman"/>
                <w:sz w:val="18"/>
                <w:szCs w:val="18"/>
                <w:color w:val="auto"/>
              </w:rPr>
              <w:t>of which provide that such indebtedness ranks junior to promissory notes, bonds,</w:t>
            </w:r>
          </w:p>
        </w:tc>
      </w:tr>
      <w:tr>
        <w:trPr>
          <w:trHeight w:val="216"/>
        </w:trPr>
        <w:tc>
          <w:tcPr>
            <w:tcW w:w="3060" w:type="dxa"/>
            <w:vAlign w:val="bottom"/>
            <w:tcBorders>
              <w:left w:val="single" w:sz="8" w:color="auto"/>
            </w:tcBorders>
          </w:tcPr>
          <w:p>
            <w:pPr>
              <w:spacing w:after="0"/>
              <w:rPr>
                <w:sz w:val="18"/>
                <w:szCs w:val="18"/>
                <w:color w:val="auto"/>
              </w:rPr>
            </w:pPr>
          </w:p>
        </w:tc>
        <w:tc>
          <w:tcPr>
            <w:tcW w:w="7960" w:type="dxa"/>
            <w:vAlign w:val="bottom"/>
            <w:tcBorders>
              <w:right w:val="single" w:sz="8" w:color="auto"/>
            </w:tcBorders>
          </w:tcPr>
          <w:p>
            <w:pPr>
              <w:ind w:left="1160"/>
              <w:spacing w:after="0"/>
              <w:rPr>
                <w:sz w:val="20"/>
                <w:szCs w:val="20"/>
                <w:color w:val="auto"/>
              </w:rPr>
            </w:pPr>
            <w:r>
              <w:rPr>
                <w:rFonts w:ascii="Times New Roman" w:cs="Times New Roman" w:eastAsia="Times New Roman" w:hAnsi="Times New Roman"/>
                <w:sz w:val="18"/>
                <w:szCs w:val="18"/>
                <w:color w:val="auto"/>
              </w:rPr>
              <w:t>debentures and other evidences of indebtedness of types that include the New Notes; and</w:t>
            </w:r>
          </w:p>
        </w:tc>
      </w:tr>
      <w:tr>
        <w:trPr>
          <w:trHeight w:val="234"/>
        </w:trPr>
        <w:tc>
          <w:tcPr>
            <w:tcW w:w="3060" w:type="dxa"/>
            <w:vAlign w:val="bottom"/>
            <w:tcBorders>
              <w:left w:val="single" w:sz="8" w:color="auto"/>
            </w:tcBorders>
          </w:tcPr>
          <w:p>
            <w:pPr>
              <w:spacing w:after="0"/>
              <w:rPr>
                <w:sz w:val="20"/>
                <w:szCs w:val="20"/>
                <w:color w:val="auto"/>
              </w:rPr>
            </w:pPr>
          </w:p>
        </w:tc>
        <w:tc>
          <w:tcPr>
            <w:tcW w:w="7960" w:type="dxa"/>
            <w:vAlign w:val="bottom"/>
            <w:tcBorders>
              <w:right w:val="single" w:sz="8" w:color="auto"/>
            </w:tcBorders>
          </w:tcPr>
          <w:p>
            <w:pPr>
              <w:ind w:left="1160"/>
              <w:spacing w:after="0"/>
              <w:rPr>
                <w:sz w:val="20"/>
                <w:szCs w:val="20"/>
                <w:color w:val="auto"/>
              </w:rPr>
            </w:pPr>
            <w:r>
              <w:rPr>
                <w:rFonts w:ascii="Times New Roman" w:cs="Times New Roman" w:eastAsia="Times New Roman" w:hAnsi="Times New Roman"/>
                <w:sz w:val="18"/>
                <w:szCs w:val="18"/>
                <w:color w:val="auto"/>
              </w:rPr>
              <w:t>will be effectively subordinated to all of the existing and future indebtedness,</w:t>
            </w:r>
          </w:p>
        </w:tc>
      </w:tr>
      <w:tr>
        <w:trPr>
          <w:trHeight w:val="172"/>
        </w:trPr>
        <w:tc>
          <w:tcPr>
            <w:tcW w:w="3060" w:type="dxa"/>
            <w:vAlign w:val="bottom"/>
            <w:tcBorders>
              <w:left w:val="single" w:sz="8" w:color="auto"/>
              <w:bottom w:val="single" w:sz="8" w:color="auto"/>
            </w:tcBorders>
          </w:tcPr>
          <w:p>
            <w:pPr>
              <w:spacing w:after="0"/>
              <w:rPr>
                <w:sz w:val="14"/>
                <w:szCs w:val="14"/>
                <w:color w:val="auto"/>
              </w:rPr>
            </w:pPr>
          </w:p>
        </w:tc>
        <w:tc>
          <w:tcPr>
            <w:tcW w:w="7960" w:type="dxa"/>
            <w:vAlign w:val="bottom"/>
            <w:tcBorders>
              <w:bottom w:val="single" w:sz="8" w:color="auto"/>
              <w:right w:val="single" w:sz="8" w:color="auto"/>
            </w:tcBorders>
          </w:tcPr>
          <w:p>
            <w:pPr>
              <w:spacing w:after="0"/>
              <w:rPr>
                <w:sz w:val="14"/>
                <w:szCs w:val="14"/>
                <w:color w:val="auto"/>
              </w:rPr>
            </w:pPr>
          </w:p>
        </w:tc>
      </w:tr>
      <w:tr>
        <w:trPr>
          <w:trHeight w:val="361"/>
        </w:trPr>
        <w:tc>
          <w:tcPr>
            <w:tcW w:w="3060" w:type="dxa"/>
            <w:vAlign w:val="bottom"/>
          </w:tcPr>
          <w:p>
            <w:pPr>
              <w:spacing w:after="0"/>
              <w:rPr>
                <w:sz w:val="24"/>
                <w:szCs w:val="24"/>
                <w:color w:val="auto"/>
              </w:rPr>
            </w:pPr>
          </w:p>
        </w:tc>
        <w:tc>
          <w:tcPr>
            <w:tcW w:w="7960" w:type="dxa"/>
            <w:vAlign w:val="bottom"/>
          </w:tcPr>
          <w:p>
            <w:pPr>
              <w:ind w:left="2400"/>
              <w:spacing w:after="0"/>
              <w:rPr>
                <w:sz w:val="20"/>
                <w:szCs w:val="20"/>
                <w:color w:val="auto"/>
              </w:rPr>
            </w:pPr>
            <w:r>
              <w:rPr>
                <w:rFonts w:ascii="Times New Roman" w:cs="Times New Roman" w:eastAsia="Times New Roman" w:hAnsi="Times New Roman"/>
                <w:sz w:val="18"/>
                <w:szCs w:val="18"/>
                <w:color w:val="auto"/>
              </w:rPr>
              <w:t>6</w:t>
            </w:r>
          </w:p>
        </w:tc>
      </w:tr>
    </w:tbl>
    <w:p>
      <w:pPr>
        <w:sectPr>
          <w:pgSz w:w="11900" w:h="16838" w:orient="portrait"/>
          <w:cols w:equalWidth="0" w:num="1">
            <w:col w:w="11140"/>
          </w:cols>
          <w:pgMar w:left="320" w:top="455" w:right="4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9" w:lineRule="exact"/>
        <w:rPr>
          <w:sz w:val="20"/>
          <w:szCs w:val="20"/>
          <w:color w:val="auto"/>
        </w:rPr>
      </w:pPr>
    </w:p>
    <w:tbl>
      <w:tblPr>
        <w:tblLayout w:type="fixed"/>
        <w:tblInd w:w="130" w:type="dxa"/>
        <w:tblCellMar>
          <w:top w:w="0" w:type="dxa"/>
          <w:left w:w="0" w:type="dxa"/>
          <w:bottom w:w="0" w:type="dxa"/>
          <w:right w:w="0" w:type="dxa"/>
        </w:tblCellMar>
      </w:tblPr>
      <w:tr>
        <w:trPr>
          <w:trHeight w:val="376"/>
        </w:trPr>
        <w:tc>
          <w:tcPr>
            <w:tcW w:w="3360" w:type="dxa"/>
            <w:vAlign w:val="bottom"/>
            <w:tcBorders>
              <w:top w:val="single" w:sz="8" w:color="auto"/>
              <w:left w:val="single" w:sz="8" w:color="auto"/>
            </w:tcBorders>
          </w:tcPr>
          <w:p>
            <w:pPr>
              <w:spacing w:after="0"/>
              <w:rPr>
                <w:sz w:val="24"/>
                <w:szCs w:val="24"/>
                <w:color w:val="auto"/>
              </w:rPr>
            </w:pPr>
          </w:p>
        </w:tc>
        <w:tc>
          <w:tcPr>
            <w:tcW w:w="7660" w:type="dxa"/>
            <w:vAlign w:val="bottom"/>
            <w:tcBorders>
              <w:top w:val="single" w:sz="8" w:color="auto"/>
              <w:right w:val="single" w:sz="8" w:color="auto"/>
            </w:tcBorders>
          </w:tcPr>
          <w:p>
            <w:pPr>
              <w:ind w:left="860"/>
              <w:spacing w:after="0"/>
              <w:rPr>
                <w:sz w:val="20"/>
                <w:szCs w:val="20"/>
                <w:color w:val="auto"/>
              </w:rPr>
            </w:pPr>
            <w:r>
              <w:rPr>
                <w:rFonts w:ascii="Times New Roman" w:cs="Times New Roman" w:eastAsia="Times New Roman" w:hAnsi="Times New Roman"/>
                <w:sz w:val="18"/>
                <w:szCs w:val="18"/>
                <w:color w:val="auto"/>
              </w:rPr>
              <w:t>deposits and other liabilities of the Bank and our other current and future subsidiaries,</w:t>
            </w:r>
          </w:p>
        </w:tc>
      </w:tr>
      <w:tr>
        <w:trPr>
          <w:trHeight w:val="216"/>
        </w:trPr>
        <w:tc>
          <w:tcPr>
            <w:tcW w:w="3360" w:type="dxa"/>
            <w:vAlign w:val="bottom"/>
            <w:tcBorders>
              <w:left w:val="single" w:sz="8" w:color="auto"/>
            </w:tcBorders>
          </w:tcPr>
          <w:p>
            <w:pPr>
              <w:spacing w:after="0"/>
              <w:rPr>
                <w:sz w:val="18"/>
                <w:szCs w:val="18"/>
                <w:color w:val="auto"/>
              </w:rPr>
            </w:pPr>
          </w:p>
        </w:tc>
        <w:tc>
          <w:tcPr>
            <w:tcW w:w="7660" w:type="dxa"/>
            <w:vAlign w:val="bottom"/>
            <w:tcBorders>
              <w:right w:val="single" w:sz="8" w:color="auto"/>
            </w:tcBorders>
          </w:tcPr>
          <w:p>
            <w:pPr>
              <w:ind w:left="860"/>
              <w:spacing w:after="0"/>
              <w:rPr>
                <w:sz w:val="20"/>
                <w:szCs w:val="20"/>
                <w:color w:val="auto"/>
              </w:rPr>
            </w:pPr>
            <w:r>
              <w:rPr>
                <w:rFonts w:ascii="Times New Roman" w:cs="Times New Roman" w:eastAsia="Times New Roman" w:hAnsi="Times New Roman"/>
                <w:sz w:val="18"/>
                <w:szCs w:val="18"/>
                <w:color w:val="auto"/>
              </w:rPr>
              <w:t>including without limitation, the Bank’s liabilities to depositors in connection with the</w:t>
            </w:r>
          </w:p>
        </w:tc>
      </w:tr>
      <w:tr>
        <w:trPr>
          <w:trHeight w:val="216"/>
        </w:trPr>
        <w:tc>
          <w:tcPr>
            <w:tcW w:w="3360" w:type="dxa"/>
            <w:vAlign w:val="bottom"/>
            <w:tcBorders>
              <w:left w:val="single" w:sz="8" w:color="auto"/>
            </w:tcBorders>
          </w:tcPr>
          <w:p>
            <w:pPr>
              <w:spacing w:after="0"/>
              <w:rPr>
                <w:sz w:val="18"/>
                <w:szCs w:val="18"/>
                <w:color w:val="auto"/>
              </w:rPr>
            </w:pPr>
          </w:p>
        </w:tc>
        <w:tc>
          <w:tcPr>
            <w:tcW w:w="7660" w:type="dxa"/>
            <w:vAlign w:val="bottom"/>
            <w:tcBorders>
              <w:right w:val="single" w:sz="8" w:color="auto"/>
            </w:tcBorders>
          </w:tcPr>
          <w:p>
            <w:pPr>
              <w:ind w:left="860"/>
              <w:spacing w:after="0"/>
              <w:rPr>
                <w:sz w:val="20"/>
                <w:szCs w:val="20"/>
                <w:color w:val="auto"/>
              </w:rPr>
            </w:pPr>
            <w:r>
              <w:rPr>
                <w:rFonts w:ascii="Times New Roman" w:cs="Times New Roman" w:eastAsia="Times New Roman" w:hAnsi="Times New Roman"/>
                <w:sz w:val="18"/>
                <w:szCs w:val="18"/>
                <w:color w:val="auto"/>
              </w:rPr>
              <w:t>deposits in the Bank, as well as to its subsidiary’s liabilities to general creditors and</w:t>
            </w:r>
          </w:p>
        </w:tc>
      </w:tr>
      <w:tr>
        <w:trPr>
          <w:trHeight w:val="234"/>
        </w:trPr>
        <w:tc>
          <w:tcPr>
            <w:tcW w:w="3360" w:type="dxa"/>
            <w:vAlign w:val="bottom"/>
            <w:tcBorders>
              <w:left w:val="single" w:sz="8" w:color="auto"/>
            </w:tcBorders>
          </w:tcPr>
          <w:p>
            <w:pPr>
              <w:spacing w:after="0"/>
              <w:rPr>
                <w:sz w:val="20"/>
                <w:szCs w:val="20"/>
                <w:color w:val="auto"/>
              </w:rPr>
            </w:pPr>
          </w:p>
        </w:tc>
        <w:tc>
          <w:tcPr>
            <w:tcW w:w="7660" w:type="dxa"/>
            <w:vAlign w:val="bottom"/>
            <w:tcBorders>
              <w:right w:val="single" w:sz="8" w:color="auto"/>
            </w:tcBorders>
          </w:tcPr>
          <w:p>
            <w:pPr>
              <w:ind w:left="860"/>
              <w:spacing w:after="0"/>
              <w:rPr>
                <w:sz w:val="20"/>
                <w:szCs w:val="20"/>
                <w:color w:val="auto"/>
              </w:rPr>
            </w:pPr>
            <w:r>
              <w:rPr>
                <w:rFonts w:ascii="Times New Roman" w:cs="Times New Roman" w:eastAsia="Times New Roman" w:hAnsi="Times New Roman"/>
                <w:sz w:val="18"/>
                <w:szCs w:val="18"/>
                <w:color w:val="auto"/>
              </w:rPr>
              <w:t>liabilities arising during the ordinary course or otherwise.</w:t>
            </w:r>
          </w:p>
        </w:tc>
      </w:tr>
      <w:tr>
        <w:trPr>
          <w:trHeight w:val="454"/>
        </w:trPr>
        <w:tc>
          <w:tcPr>
            <w:tcW w:w="336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Optional Redemption</w:t>
            </w:r>
          </w:p>
        </w:tc>
        <w:tc>
          <w:tcPr>
            <w:tcW w:w="7660" w:type="dxa"/>
            <w:vAlign w:val="bottom"/>
            <w:tcBorders>
              <w:right w:val="single" w:sz="8" w:color="auto"/>
            </w:tcBorders>
          </w:tcPr>
          <w:p>
            <w:pPr>
              <w:ind w:left="860"/>
              <w:spacing w:after="0"/>
              <w:rPr>
                <w:sz w:val="20"/>
                <w:szCs w:val="20"/>
                <w:color w:val="auto"/>
              </w:rPr>
            </w:pPr>
            <w:r>
              <w:rPr>
                <w:rFonts w:ascii="Times New Roman" w:cs="Times New Roman" w:eastAsia="Times New Roman" w:hAnsi="Times New Roman"/>
                <w:sz w:val="18"/>
                <w:szCs w:val="18"/>
                <w:color w:val="auto"/>
              </w:rPr>
              <w:t>We may, at our option, (i) on any interest payment date on or after August 15, 2030,</w:t>
            </w:r>
          </w:p>
        </w:tc>
      </w:tr>
      <w:tr>
        <w:trPr>
          <w:trHeight w:val="216"/>
        </w:trPr>
        <w:tc>
          <w:tcPr>
            <w:tcW w:w="3360" w:type="dxa"/>
            <w:vAlign w:val="bottom"/>
            <w:tcBorders>
              <w:left w:val="single" w:sz="8" w:color="auto"/>
            </w:tcBorders>
          </w:tcPr>
          <w:p>
            <w:pPr>
              <w:spacing w:after="0"/>
              <w:rPr>
                <w:sz w:val="18"/>
                <w:szCs w:val="18"/>
                <w:color w:val="auto"/>
              </w:rPr>
            </w:pPr>
          </w:p>
        </w:tc>
        <w:tc>
          <w:tcPr>
            <w:tcW w:w="7660" w:type="dxa"/>
            <w:vAlign w:val="bottom"/>
            <w:tcBorders>
              <w:right w:val="single" w:sz="8" w:color="auto"/>
            </w:tcBorders>
          </w:tcPr>
          <w:p>
            <w:pPr>
              <w:ind w:left="860"/>
              <w:spacing w:after="0"/>
              <w:rPr>
                <w:sz w:val="20"/>
                <w:szCs w:val="20"/>
                <w:color w:val="auto"/>
              </w:rPr>
            </w:pPr>
            <w:r>
              <w:rPr>
                <w:rFonts w:ascii="Times New Roman" w:cs="Times New Roman" w:eastAsia="Times New Roman" w:hAnsi="Times New Roman"/>
                <w:sz w:val="18"/>
                <w:szCs w:val="18"/>
                <w:color w:val="auto"/>
              </w:rPr>
              <w:t>redeem all or a portion of the New Notes (without premium or penalty), and (ii) redeem all,</w:t>
            </w:r>
          </w:p>
        </w:tc>
      </w:tr>
      <w:tr>
        <w:trPr>
          <w:trHeight w:val="216"/>
        </w:trPr>
        <w:tc>
          <w:tcPr>
            <w:tcW w:w="3360" w:type="dxa"/>
            <w:vAlign w:val="bottom"/>
            <w:tcBorders>
              <w:left w:val="single" w:sz="8" w:color="auto"/>
            </w:tcBorders>
          </w:tcPr>
          <w:p>
            <w:pPr>
              <w:spacing w:after="0"/>
              <w:rPr>
                <w:sz w:val="18"/>
                <w:szCs w:val="18"/>
                <w:color w:val="auto"/>
              </w:rPr>
            </w:pPr>
          </w:p>
        </w:tc>
        <w:tc>
          <w:tcPr>
            <w:tcW w:w="7660" w:type="dxa"/>
            <w:vAlign w:val="bottom"/>
            <w:tcBorders>
              <w:right w:val="single" w:sz="8" w:color="auto"/>
            </w:tcBorders>
          </w:tcPr>
          <w:p>
            <w:pPr>
              <w:ind w:left="860"/>
              <w:spacing w:after="0"/>
              <w:rPr>
                <w:sz w:val="20"/>
                <w:szCs w:val="20"/>
                <w:color w:val="auto"/>
              </w:rPr>
            </w:pPr>
            <w:r>
              <w:rPr>
                <w:rFonts w:ascii="Times New Roman" w:cs="Times New Roman" w:eastAsia="Times New Roman" w:hAnsi="Times New Roman"/>
                <w:sz w:val="18"/>
                <w:szCs w:val="18"/>
                <w:color w:val="auto"/>
              </w:rPr>
              <w:t>but not a portion of, the New Notes at any time upon an Investment Company Event, a Tax</w:t>
            </w:r>
          </w:p>
        </w:tc>
      </w:tr>
      <w:tr>
        <w:trPr>
          <w:trHeight w:val="216"/>
        </w:trPr>
        <w:tc>
          <w:tcPr>
            <w:tcW w:w="3360" w:type="dxa"/>
            <w:vAlign w:val="bottom"/>
            <w:tcBorders>
              <w:left w:val="single" w:sz="8" w:color="auto"/>
            </w:tcBorders>
          </w:tcPr>
          <w:p>
            <w:pPr>
              <w:spacing w:after="0"/>
              <w:rPr>
                <w:sz w:val="18"/>
                <w:szCs w:val="18"/>
                <w:color w:val="auto"/>
              </w:rPr>
            </w:pPr>
          </w:p>
        </w:tc>
        <w:tc>
          <w:tcPr>
            <w:tcW w:w="7660" w:type="dxa"/>
            <w:vAlign w:val="bottom"/>
            <w:tcBorders>
              <w:right w:val="single" w:sz="8" w:color="auto"/>
            </w:tcBorders>
          </w:tcPr>
          <w:p>
            <w:pPr>
              <w:ind w:left="860"/>
              <w:spacing w:after="0"/>
              <w:rPr>
                <w:sz w:val="20"/>
                <w:szCs w:val="20"/>
                <w:color w:val="auto"/>
              </w:rPr>
            </w:pPr>
            <w:r>
              <w:rPr>
                <w:rFonts w:ascii="Times New Roman" w:cs="Times New Roman" w:eastAsia="Times New Roman" w:hAnsi="Times New Roman"/>
                <w:sz w:val="18"/>
                <w:szCs w:val="18"/>
                <w:color w:val="auto"/>
              </w:rPr>
              <w:t>Event or a Tier 2 Capital Event (each as described in “Description of the Notes—</w:t>
            </w:r>
          </w:p>
        </w:tc>
      </w:tr>
      <w:tr>
        <w:trPr>
          <w:trHeight w:val="234"/>
        </w:trPr>
        <w:tc>
          <w:tcPr>
            <w:tcW w:w="3360" w:type="dxa"/>
            <w:vAlign w:val="bottom"/>
            <w:tcBorders>
              <w:left w:val="single" w:sz="8" w:color="auto"/>
            </w:tcBorders>
          </w:tcPr>
          <w:p>
            <w:pPr>
              <w:spacing w:after="0"/>
              <w:rPr>
                <w:sz w:val="20"/>
                <w:szCs w:val="20"/>
                <w:color w:val="auto"/>
              </w:rPr>
            </w:pPr>
          </w:p>
        </w:tc>
        <w:tc>
          <w:tcPr>
            <w:tcW w:w="7660" w:type="dxa"/>
            <w:vAlign w:val="bottom"/>
            <w:tcBorders>
              <w:right w:val="single" w:sz="8" w:color="auto"/>
            </w:tcBorders>
          </w:tcPr>
          <w:p>
            <w:pPr>
              <w:ind w:left="860"/>
              <w:spacing w:after="0"/>
              <w:rPr>
                <w:sz w:val="20"/>
                <w:szCs w:val="20"/>
                <w:color w:val="auto"/>
              </w:rPr>
            </w:pPr>
            <w:r>
              <w:rPr>
                <w:rFonts w:ascii="Times New Roman" w:cs="Times New Roman" w:eastAsia="Times New Roman" w:hAnsi="Times New Roman"/>
                <w:sz w:val="18"/>
                <w:szCs w:val="18"/>
                <w:color w:val="auto"/>
              </w:rPr>
              <w:t>Redemption”).</w:t>
            </w:r>
          </w:p>
        </w:tc>
      </w:tr>
      <w:tr>
        <w:trPr>
          <w:trHeight w:val="441"/>
        </w:trPr>
        <w:tc>
          <w:tcPr>
            <w:tcW w:w="3360" w:type="dxa"/>
            <w:vAlign w:val="bottom"/>
            <w:tcBorders>
              <w:left w:val="single" w:sz="8" w:color="auto"/>
            </w:tcBorders>
          </w:tcPr>
          <w:p>
            <w:pPr>
              <w:spacing w:after="0"/>
              <w:rPr>
                <w:sz w:val="24"/>
                <w:szCs w:val="24"/>
                <w:color w:val="auto"/>
              </w:rPr>
            </w:pPr>
          </w:p>
        </w:tc>
        <w:tc>
          <w:tcPr>
            <w:tcW w:w="7660" w:type="dxa"/>
            <w:vAlign w:val="bottom"/>
            <w:tcBorders>
              <w:right w:val="single" w:sz="8" w:color="auto"/>
            </w:tcBorders>
          </w:tcPr>
          <w:p>
            <w:pPr>
              <w:ind w:left="860"/>
              <w:spacing w:after="0"/>
              <w:rPr>
                <w:sz w:val="20"/>
                <w:szCs w:val="20"/>
                <w:color w:val="auto"/>
              </w:rPr>
            </w:pPr>
            <w:r>
              <w:rPr>
                <w:rFonts w:ascii="Times New Roman" w:cs="Times New Roman" w:eastAsia="Times New Roman" w:hAnsi="Times New Roman"/>
                <w:sz w:val="18"/>
                <w:szCs w:val="18"/>
                <w:color w:val="auto"/>
              </w:rPr>
              <w:t>Any redemption of the New Notes will be subject to prior approval of the Board of</w:t>
            </w:r>
          </w:p>
        </w:tc>
      </w:tr>
      <w:tr>
        <w:trPr>
          <w:trHeight w:val="216"/>
        </w:trPr>
        <w:tc>
          <w:tcPr>
            <w:tcW w:w="3360" w:type="dxa"/>
            <w:vAlign w:val="bottom"/>
            <w:tcBorders>
              <w:left w:val="single" w:sz="8" w:color="auto"/>
            </w:tcBorders>
          </w:tcPr>
          <w:p>
            <w:pPr>
              <w:spacing w:after="0"/>
              <w:rPr>
                <w:sz w:val="18"/>
                <w:szCs w:val="18"/>
                <w:color w:val="auto"/>
              </w:rPr>
            </w:pPr>
          </w:p>
        </w:tc>
        <w:tc>
          <w:tcPr>
            <w:tcW w:w="7660" w:type="dxa"/>
            <w:vAlign w:val="bottom"/>
            <w:tcBorders>
              <w:right w:val="single" w:sz="8" w:color="auto"/>
            </w:tcBorders>
          </w:tcPr>
          <w:p>
            <w:pPr>
              <w:ind w:left="860"/>
              <w:spacing w:after="0"/>
              <w:rPr>
                <w:sz w:val="20"/>
                <w:szCs w:val="20"/>
                <w:color w:val="auto"/>
              </w:rPr>
            </w:pPr>
            <w:r>
              <w:rPr>
                <w:rFonts w:ascii="Times New Roman" w:cs="Times New Roman" w:eastAsia="Times New Roman" w:hAnsi="Times New Roman"/>
                <w:sz w:val="18"/>
                <w:szCs w:val="18"/>
                <w:color w:val="auto"/>
              </w:rPr>
              <w:t>Governors of the Federal Reserve System (or its designee) (the “Federal Reserve”) or any</w:t>
            </w:r>
          </w:p>
        </w:tc>
      </w:tr>
      <w:tr>
        <w:trPr>
          <w:trHeight w:val="216"/>
        </w:trPr>
        <w:tc>
          <w:tcPr>
            <w:tcW w:w="3360" w:type="dxa"/>
            <w:vAlign w:val="bottom"/>
            <w:tcBorders>
              <w:left w:val="single" w:sz="8" w:color="auto"/>
            </w:tcBorders>
          </w:tcPr>
          <w:p>
            <w:pPr>
              <w:spacing w:after="0"/>
              <w:rPr>
                <w:sz w:val="18"/>
                <w:szCs w:val="18"/>
                <w:color w:val="auto"/>
              </w:rPr>
            </w:pPr>
          </w:p>
        </w:tc>
        <w:tc>
          <w:tcPr>
            <w:tcW w:w="7660" w:type="dxa"/>
            <w:vAlign w:val="bottom"/>
            <w:tcBorders>
              <w:right w:val="single" w:sz="8" w:color="auto"/>
            </w:tcBorders>
          </w:tcPr>
          <w:p>
            <w:pPr>
              <w:ind w:left="860"/>
              <w:spacing w:after="0"/>
              <w:rPr>
                <w:sz w:val="20"/>
                <w:szCs w:val="20"/>
                <w:color w:val="auto"/>
              </w:rPr>
            </w:pPr>
            <w:r>
              <w:rPr>
                <w:rFonts w:ascii="Times New Roman" w:cs="Times New Roman" w:eastAsia="Times New Roman" w:hAnsi="Times New Roman"/>
                <w:sz w:val="18"/>
                <w:szCs w:val="18"/>
                <w:color w:val="auto"/>
              </w:rPr>
              <w:t>successor agency, and any other banking regulatory agency, to the extent such approval is</w:t>
            </w:r>
          </w:p>
        </w:tc>
      </w:tr>
      <w:tr>
        <w:trPr>
          <w:trHeight w:val="216"/>
        </w:trPr>
        <w:tc>
          <w:tcPr>
            <w:tcW w:w="3360" w:type="dxa"/>
            <w:vAlign w:val="bottom"/>
            <w:tcBorders>
              <w:left w:val="single" w:sz="8" w:color="auto"/>
            </w:tcBorders>
          </w:tcPr>
          <w:p>
            <w:pPr>
              <w:spacing w:after="0"/>
              <w:rPr>
                <w:sz w:val="18"/>
                <w:szCs w:val="18"/>
                <w:color w:val="auto"/>
              </w:rPr>
            </w:pPr>
          </w:p>
        </w:tc>
        <w:tc>
          <w:tcPr>
            <w:tcW w:w="7660" w:type="dxa"/>
            <w:vAlign w:val="bottom"/>
            <w:tcBorders>
              <w:right w:val="single" w:sz="8" w:color="auto"/>
            </w:tcBorders>
          </w:tcPr>
          <w:p>
            <w:pPr>
              <w:ind w:left="860"/>
              <w:spacing w:after="0"/>
              <w:rPr>
                <w:sz w:val="20"/>
                <w:szCs w:val="20"/>
                <w:color w:val="auto"/>
              </w:rPr>
            </w:pPr>
            <w:r>
              <w:rPr>
                <w:rFonts w:ascii="Times New Roman" w:cs="Times New Roman" w:eastAsia="Times New Roman" w:hAnsi="Times New Roman"/>
                <w:sz w:val="18"/>
                <w:szCs w:val="18"/>
                <w:color w:val="auto"/>
              </w:rPr>
              <w:t>then required by law, regulation or policy. Any redemption of the New Notes will be at a</w:t>
            </w:r>
          </w:p>
        </w:tc>
      </w:tr>
      <w:tr>
        <w:trPr>
          <w:trHeight w:val="216"/>
        </w:trPr>
        <w:tc>
          <w:tcPr>
            <w:tcW w:w="3360" w:type="dxa"/>
            <w:vAlign w:val="bottom"/>
            <w:tcBorders>
              <w:left w:val="single" w:sz="8" w:color="auto"/>
            </w:tcBorders>
          </w:tcPr>
          <w:p>
            <w:pPr>
              <w:spacing w:after="0"/>
              <w:rPr>
                <w:sz w:val="18"/>
                <w:szCs w:val="18"/>
                <w:color w:val="auto"/>
              </w:rPr>
            </w:pPr>
          </w:p>
        </w:tc>
        <w:tc>
          <w:tcPr>
            <w:tcW w:w="7660" w:type="dxa"/>
            <w:vAlign w:val="bottom"/>
            <w:tcBorders>
              <w:right w:val="single" w:sz="8" w:color="auto"/>
            </w:tcBorders>
          </w:tcPr>
          <w:p>
            <w:pPr>
              <w:ind w:left="860"/>
              <w:spacing w:after="0"/>
              <w:rPr>
                <w:sz w:val="20"/>
                <w:szCs w:val="20"/>
                <w:color w:val="auto"/>
              </w:rPr>
            </w:pPr>
            <w:r>
              <w:rPr>
                <w:rFonts w:ascii="Times New Roman" w:cs="Times New Roman" w:eastAsia="Times New Roman" w:hAnsi="Times New Roman"/>
                <w:sz w:val="18"/>
                <w:szCs w:val="18"/>
                <w:color w:val="auto"/>
              </w:rPr>
              <w:t>redemption price equal to 100% of the principal amount of the New Notes, or a portion</w:t>
            </w:r>
          </w:p>
        </w:tc>
      </w:tr>
      <w:tr>
        <w:trPr>
          <w:trHeight w:val="216"/>
        </w:trPr>
        <w:tc>
          <w:tcPr>
            <w:tcW w:w="3360" w:type="dxa"/>
            <w:vAlign w:val="bottom"/>
            <w:tcBorders>
              <w:left w:val="single" w:sz="8" w:color="auto"/>
            </w:tcBorders>
          </w:tcPr>
          <w:p>
            <w:pPr>
              <w:spacing w:after="0"/>
              <w:rPr>
                <w:sz w:val="18"/>
                <w:szCs w:val="18"/>
                <w:color w:val="auto"/>
              </w:rPr>
            </w:pPr>
          </w:p>
        </w:tc>
        <w:tc>
          <w:tcPr>
            <w:tcW w:w="7660" w:type="dxa"/>
            <w:vAlign w:val="bottom"/>
            <w:tcBorders>
              <w:right w:val="single" w:sz="8" w:color="auto"/>
            </w:tcBorders>
          </w:tcPr>
          <w:p>
            <w:pPr>
              <w:ind w:left="860"/>
              <w:spacing w:after="0"/>
              <w:rPr>
                <w:sz w:val="20"/>
                <w:szCs w:val="20"/>
                <w:color w:val="auto"/>
              </w:rPr>
            </w:pPr>
            <w:r>
              <w:rPr>
                <w:rFonts w:ascii="Times New Roman" w:cs="Times New Roman" w:eastAsia="Times New Roman" w:hAnsi="Times New Roman"/>
                <w:sz w:val="18"/>
                <w:szCs w:val="18"/>
                <w:color w:val="auto"/>
              </w:rPr>
              <w:t>thereof, being redeemed, plus accrued but unpaid interest and additional interest, if any,</w:t>
            </w:r>
          </w:p>
        </w:tc>
      </w:tr>
      <w:tr>
        <w:trPr>
          <w:trHeight w:val="234"/>
        </w:trPr>
        <w:tc>
          <w:tcPr>
            <w:tcW w:w="3360" w:type="dxa"/>
            <w:vAlign w:val="bottom"/>
            <w:tcBorders>
              <w:left w:val="single" w:sz="8" w:color="auto"/>
            </w:tcBorders>
          </w:tcPr>
          <w:p>
            <w:pPr>
              <w:spacing w:after="0"/>
              <w:rPr>
                <w:sz w:val="20"/>
                <w:szCs w:val="20"/>
                <w:color w:val="auto"/>
              </w:rPr>
            </w:pPr>
          </w:p>
        </w:tc>
        <w:tc>
          <w:tcPr>
            <w:tcW w:w="7660" w:type="dxa"/>
            <w:vAlign w:val="bottom"/>
            <w:tcBorders>
              <w:right w:val="single" w:sz="8" w:color="auto"/>
            </w:tcBorders>
          </w:tcPr>
          <w:p>
            <w:pPr>
              <w:ind w:left="860"/>
              <w:spacing w:after="0"/>
              <w:rPr>
                <w:sz w:val="20"/>
                <w:szCs w:val="20"/>
                <w:color w:val="auto"/>
              </w:rPr>
            </w:pPr>
            <w:r>
              <w:rPr>
                <w:rFonts w:ascii="Times New Roman" w:cs="Times New Roman" w:eastAsia="Times New Roman" w:hAnsi="Times New Roman"/>
                <w:sz w:val="18"/>
                <w:szCs w:val="18"/>
                <w:color w:val="auto"/>
              </w:rPr>
              <w:t>thereon to, but excluding, the date of redemption.</w:t>
            </w:r>
          </w:p>
        </w:tc>
      </w:tr>
      <w:tr>
        <w:trPr>
          <w:trHeight w:val="441"/>
        </w:trPr>
        <w:tc>
          <w:tcPr>
            <w:tcW w:w="3360" w:type="dxa"/>
            <w:vAlign w:val="bottom"/>
            <w:tcBorders>
              <w:left w:val="single" w:sz="8" w:color="auto"/>
            </w:tcBorders>
          </w:tcPr>
          <w:p>
            <w:pPr>
              <w:spacing w:after="0"/>
              <w:rPr>
                <w:sz w:val="24"/>
                <w:szCs w:val="24"/>
                <w:color w:val="auto"/>
              </w:rPr>
            </w:pPr>
          </w:p>
        </w:tc>
        <w:tc>
          <w:tcPr>
            <w:tcW w:w="7660" w:type="dxa"/>
            <w:vAlign w:val="bottom"/>
            <w:tcBorders>
              <w:right w:val="single" w:sz="8" w:color="auto"/>
            </w:tcBorders>
          </w:tcPr>
          <w:p>
            <w:pPr>
              <w:ind w:left="860"/>
              <w:spacing w:after="0"/>
              <w:rPr>
                <w:sz w:val="20"/>
                <w:szCs w:val="20"/>
                <w:color w:val="auto"/>
              </w:rPr>
            </w:pPr>
            <w:r>
              <w:rPr>
                <w:rFonts w:ascii="Times New Roman" w:cs="Times New Roman" w:eastAsia="Times New Roman" w:hAnsi="Times New Roman"/>
                <w:sz w:val="18"/>
                <w:szCs w:val="18"/>
                <w:color w:val="auto"/>
              </w:rPr>
              <w:t>If all or any portion of the New Notes ceases to be deemed to be Tier 2 Capital, other than</w:t>
            </w:r>
          </w:p>
        </w:tc>
      </w:tr>
      <w:tr>
        <w:trPr>
          <w:trHeight w:val="216"/>
        </w:trPr>
        <w:tc>
          <w:tcPr>
            <w:tcW w:w="3360" w:type="dxa"/>
            <w:vAlign w:val="bottom"/>
            <w:tcBorders>
              <w:left w:val="single" w:sz="8" w:color="auto"/>
            </w:tcBorders>
          </w:tcPr>
          <w:p>
            <w:pPr>
              <w:spacing w:after="0"/>
              <w:rPr>
                <w:sz w:val="18"/>
                <w:szCs w:val="18"/>
                <w:color w:val="auto"/>
              </w:rPr>
            </w:pPr>
          </w:p>
        </w:tc>
        <w:tc>
          <w:tcPr>
            <w:tcW w:w="7660" w:type="dxa"/>
            <w:vAlign w:val="bottom"/>
            <w:tcBorders>
              <w:right w:val="single" w:sz="8" w:color="auto"/>
            </w:tcBorders>
          </w:tcPr>
          <w:p>
            <w:pPr>
              <w:ind w:left="860"/>
              <w:spacing w:after="0"/>
              <w:rPr>
                <w:sz w:val="20"/>
                <w:szCs w:val="20"/>
                <w:color w:val="auto"/>
              </w:rPr>
            </w:pPr>
            <w:r>
              <w:rPr>
                <w:rFonts w:ascii="Times New Roman" w:cs="Times New Roman" w:eastAsia="Times New Roman" w:hAnsi="Times New Roman"/>
                <w:sz w:val="18"/>
                <w:szCs w:val="18"/>
                <w:color w:val="auto"/>
              </w:rPr>
              <w:t>due to the limitation imposed on the capital treatment of subordinated debt during the five</w:t>
            </w:r>
          </w:p>
        </w:tc>
      </w:tr>
      <w:tr>
        <w:trPr>
          <w:trHeight w:val="216"/>
        </w:trPr>
        <w:tc>
          <w:tcPr>
            <w:tcW w:w="3360" w:type="dxa"/>
            <w:vAlign w:val="bottom"/>
            <w:tcBorders>
              <w:left w:val="single" w:sz="8" w:color="auto"/>
            </w:tcBorders>
          </w:tcPr>
          <w:p>
            <w:pPr>
              <w:spacing w:after="0"/>
              <w:rPr>
                <w:sz w:val="18"/>
                <w:szCs w:val="18"/>
                <w:color w:val="auto"/>
              </w:rPr>
            </w:pPr>
          </w:p>
        </w:tc>
        <w:tc>
          <w:tcPr>
            <w:tcW w:w="7660" w:type="dxa"/>
            <w:vAlign w:val="bottom"/>
            <w:tcBorders>
              <w:right w:val="single" w:sz="8" w:color="auto"/>
            </w:tcBorders>
          </w:tcPr>
          <w:p>
            <w:pPr>
              <w:ind w:left="860"/>
              <w:spacing w:after="0"/>
              <w:rPr>
                <w:sz w:val="20"/>
                <w:szCs w:val="20"/>
                <w:color w:val="auto"/>
              </w:rPr>
            </w:pPr>
            <w:r>
              <w:rPr>
                <w:rFonts w:ascii="Times New Roman" w:cs="Times New Roman" w:eastAsia="Times New Roman" w:hAnsi="Times New Roman"/>
                <w:sz w:val="18"/>
                <w:szCs w:val="18"/>
                <w:color w:val="auto"/>
              </w:rPr>
              <w:t>(5) years immediately preceding the maturity date of the New Notes, the Company will</w:t>
            </w:r>
          </w:p>
        </w:tc>
      </w:tr>
      <w:tr>
        <w:trPr>
          <w:trHeight w:val="216"/>
        </w:trPr>
        <w:tc>
          <w:tcPr>
            <w:tcW w:w="3360" w:type="dxa"/>
            <w:vAlign w:val="bottom"/>
            <w:tcBorders>
              <w:left w:val="single" w:sz="8" w:color="auto"/>
            </w:tcBorders>
          </w:tcPr>
          <w:p>
            <w:pPr>
              <w:spacing w:after="0"/>
              <w:rPr>
                <w:sz w:val="18"/>
                <w:szCs w:val="18"/>
                <w:color w:val="auto"/>
              </w:rPr>
            </w:pPr>
          </w:p>
        </w:tc>
        <w:tc>
          <w:tcPr>
            <w:tcW w:w="7660" w:type="dxa"/>
            <w:vAlign w:val="bottom"/>
            <w:tcBorders>
              <w:right w:val="single" w:sz="8" w:color="auto"/>
            </w:tcBorders>
          </w:tcPr>
          <w:p>
            <w:pPr>
              <w:ind w:left="860"/>
              <w:spacing w:after="0"/>
              <w:rPr>
                <w:sz w:val="20"/>
                <w:szCs w:val="20"/>
                <w:color w:val="auto"/>
              </w:rPr>
            </w:pPr>
            <w:r>
              <w:rPr>
                <w:rFonts w:ascii="Times New Roman" w:cs="Times New Roman" w:eastAsia="Times New Roman" w:hAnsi="Times New Roman"/>
                <w:sz w:val="18"/>
                <w:szCs w:val="18"/>
                <w:color w:val="auto"/>
              </w:rPr>
              <w:t>immediately notify the trustee and the holders thereof, and thereafter the Company and the</w:t>
            </w:r>
          </w:p>
        </w:tc>
      </w:tr>
      <w:tr>
        <w:trPr>
          <w:trHeight w:val="216"/>
        </w:trPr>
        <w:tc>
          <w:tcPr>
            <w:tcW w:w="3360" w:type="dxa"/>
            <w:vAlign w:val="bottom"/>
            <w:tcBorders>
              <w:left w:val="single" w:sz="8" w:color="auto"/>
            </w:tcBorders>
          </w:tcPr>
          <w:p>
            <w:pPr>
              <w:spacing w:after="0"/>
              <w:rPr>
                <w:sz w:val="18"/>
                <w:szCs w:val="18"/>
                <w:color w:val="auto"/>
              </w:rPr>
            </w:pPr>
          </w:p>
        </w:tc>
        <w:tc>
          <w:tcPr>
            <w:tcW w:w="7660" w:type="dxa"/>
            <w:vAlign w:val="bottom"/>
            <w:tcBorders>
              <w:right w:val="single" w:sz="8" w:color="auto"/>
            </w:tcBorders>
          </w:tcPr>
          <w:p>
            <w:pPr>
              <w:ind w:left="860"/>
              <w:spacing w:after="0"/>
              <w:rPr>
                <w:sz w:val="20"/>
                <w:szCs w:val="20"/>
                <w:color w:val="auto"/>
              </w:rPr>
            </w:pPr>
            <w:r>
              <w:rPr>
                <w:rFonts w:ascii="Times New Roman" w:cs="Times New Roman" w:eastAsia="Times New Roman" w:hAnsi="Times New Roman"/>
                <w:sz w:val="18"/>
                <w:szCs w:val="18"/>
                <w:color w:val="auto"/>
              </w:rPr>
              <w:t>holders will work together in good faith, subject to the terms of the New Notes, to execute</w:t>
            </w:r>
          </w:p>
        </w:tc>
      </w:tr>
      <w:tr>
        <w:trPr>
          <w:trHeight w:val="216"/>
        </w:trPr>
        <w:tc>
          <w:tcPr>
            <w:tcW w:w="3360" w:type="dxa"/>
            <w:vAlign w:val="bottom"/>
            <w:tcBorders>
              <w:left w:val="single" w:sz="8" w:color="auto"/>
            </w:tcBorders>
          </w:tcPr>
          <w:p>
            <w:pPr>
              <w:spacing w:after="0"/>
              <w:rPr>
                <w:sz w:val="18"/>
                <w:szCs w:val="18"/>
                <w:color w:val="auto"/>
              </w:rPr>
            </w:pPr>
          </w:p>
        </w:tc>
        <w:tc>
          <w:tcPr>
            <w:tcW w:w="7660" w:type="dxa"/>
            <w:vAlign w:val="bottom"/>
            <w:tcBorders>
              <w:right w:val="single" w:sz="8" w:color="auto"/>
            </w:tcBorders>
          </w:tcPr>
          <w:p>
            <w:pPr>
              <w:ind w:left="860"/>
              <w:spacing w:after="0"/>
              <w:rPr>
                <w:sz w:val="20"/>
                <w:szCs w:val="20"/>
                <w:color w:val="auto"/>
              </w:rPr>
            </w:pPr>
            <w:r>
              <w:rPr>
                <w:rFonts w:ascii="Times New Roman" w:cs="Times New Roman" w:eastAsia="Times New Roman" w:hAnsi="Times New Roman"/>
                <w:sz w:val="18"/>
                <w:szCs w:val="18"/>
                <w:color w:val="auto"/>
              </w:rPr>
              <w:t>and deliver all agreements as reasonably necessary in order to restructure the applicable</w:t>
            </w:r>
          </w:p>
        </w:tc>
      </w:tr>
      <w:tr>
        <w:trPr>
          <w:trHeight w:val="216"/>
        </w:trPr>
        <w:tc>
          <w:tcPr>
            <w:tcW w:w="3360" w:type="dxa"/>
            <w:vAlign w:val="bottom"/>
            <w:tcBorders>
              <w:left w:val="single" w:sz="8" w:color="auto"/>
            </w:tcBorders>
          </w:tcPr>
          <w:p>
            <w:pPr>
              <w:spacing w:after="0"/>
              <w:rPr>
                <w:sz w:val="18"/>
                <w:szCs w:val="18"/>
                <w:color w:val="auto"/>
              </w:rPr>
            </w:pPr>
          </w:p>
        </w:tc>
        <w:tc>
          <w:tcPr>
            <w:tcW w:w="7660" w:type="dxa"/>
            <w:vAlign w:val="bottom"/>
            <w:tcBorders>
              <w:right w:val="single" w:sz="8" w:color="auto"/>
            </w:tcBorders>
          </w:tcPr>
          <w:p>
            <w:pPr>
              <w:ind w:left="860"/>
              <w:spacing w:after="0"/>
              <w:rPr>
                <w:sz w:val="20"/>
                <w:szCs w:val="20"/>
                <w:color w:val="auto"/>
              </w:rPr>
            </w:pPr>
            <w:r>
              <w:rPr>
                <w:rFonts w:ascii="Times New Roman" w:cs="Times New Roman" w:eastAsia="Times New Roman" w:hAnsi="Times New Roman"/>
                <w:sz w:val="18"/>
                <w:szCs w:val="18"/>
                <w:color w:val="auto"/>
              </w:rPr>
              <w:t>portions of the obligations evidenced by the New Notes to qualify as Tier 2 Capital;</w:t>
            </w:r>
          </w:p>
        </w:tc>
      </w:tr>
      <w:tr>
        <w:trPr>
          <w:trHeight w:val="216"/>
        </w:trPr>
        <w:tc>
          <w:tcPr>
            <w:tcW w:w="3360" w:type="dxa"/>
            <w:vAlign w:val="bottom"/>
            <w:tcBorders>
              <w:left w:val="single" w:sz="8" w:color="auto"/>
            </w:tcBorders>
          </w:tcPr>
          <w:p>
            <w:pPr>
              <w:spacing w:after="0"/>
              <w:rPr>
                <w:sz w:val="18"/>
                <w:szCs w:val="18"/>
                <w:color w:val="auto"/>
              </w:rPr>
            </w:pPr>
          </w:p>
        </w:tc>
        <w:tc>
          <w:tcPr>
            <w:tcW w:w="7660" w:type="dxa"/>
            <w:vAlign w:val="bottom"/>
            <w:tcBorders>
              <w:right w:val="single" w:sz="8" w:color="auto"/>
            </w:tcBorders>
          </w:tcPr>
          <w:p>
            <w:pPr>
              <w:ind w:left="860"/>
              <w:spacing w:after="0"/>
              <w:rPr>
                <w:sz w:val="20"/>
                <w:szCs w:val="20"/>
                <w:color w:val="auto"/>
              </w:rPr>
            </w:pPr>
            <w:r>
              <w:rPr>
                <w:rFonts w:ascii="Times New Roman" w:cs="Times New Roman" w:eastAsia="Times New Roman" w:hAnsi="Times New Roman"/>
                <w:sz w:val="18"/>
                <w:szCs w:val="18"/>
                <w:color w:val="auto"/>
              </w:rPr>
              <w:t>provided, however, that the foregoing shall not limit the Company’s right to redeem the</w:t>
            </w:r>
          </w:p>
        </w:tc>
      </w:tr>
      <w:tr>
        <w:trPr>
          <w:trHeight w:val="216"/>
        </w:trPr>
        <w:tc>
          <w:tcPr>
            <w:tcW w:w="3360" w:type="dxa"/>
            <w:vAlign w:val="bottom"/>
            <w:tcBorders>
              <w:left w:val="single" w:sz="8" w:color="auto"/>
            </w:tcBorders>
          </w:tcPr>
          <w:p>
            <w:pPr>
              <w:spacing w:after="0"/>
              <w:rPr>
                <w:sz w:val="18"/>
                <w:szCs w:val="18"/>
                <w:color w:val="auto"/>
              </w:rPr>
            </w:pPr>
          </w:p>
        </w:tc>
        <w:tc>
          <w:tcPr>
            <w:tcW w:w="7660" w:type="dxa"/>
            <w:vAlign w:val="bottom"/>
            <w:tcBorders>
              <w:right w:val="single" w:sz="8" w:color="auto"/>
            </w:tcBorders>
          </w:tcPr>
          <w:p>
            <w:pPr>
              <w:ind w:left="860"/>
              <w:spacing w:after="0"/>
              <w:rPr>
                <w:sz w:val="20"/>
                <w:szCs w:val="20"/>
                <w:color w:val="auto"/>
              </w:rPr>
            </w:pPr>
            <w:r>
              <w:rPr>
                <w:rFonts w:ascii="Times New Roman" w:cs="Times New Roman" w:eastAsia="Times New Roman" w:hAnsi="Times New Roman"/>
                <w:sz w:val="18"/>
                <w:szCs w:val="18"/>
                <w:color w:val="auto"/>
              </w:rPr>
              <w:t>New Notes pursuant to the terms of the New Notes and the indenture, including upon the</w:t>
            </w:r>
          </w:p>
        </w:tc>
      </w:tr>
      <w:tr>
        <w:trPr>
          <w:trHeight w:val="234"/>
        </w:trPr>
        <w:tc>
          <w:tcPr>
            <w:tcW w:w="3360" w:type="dxa"/>
            <w:vAlign w:val="bottom"/>
            <w:tcBorders>
              <w:left w:val="single" w:sz="8" w:color="auto"/>
            </w:tcBorders>
          </w:tcPr>
          <w:p>
            <w:pPr>
              <w:spacing w:after="0"/>
              <w:rPr>
                <w:sz w:val="20"/>
                <w:szCs w:val="20"/>
                <w:color w:val="auto"/>
              </w:rPr>
            </w:pPr>
          </w:p>
        </w:tc>
        <w:tc>
          <w:tcPr>
            <w:tcW w:w="7660" w:type="dxa"/>
            <w:vAlign w:val="bottom"/>
            <w:tcBorders>
              <w:right w:val="single" w:sz="8" w:color="auto"/>
            </w:tcBorders>
          </w:tcPr>
          <w:p>
            <w:pPr>
              <w:ind w:left="860"/>
              <w:spacing w:after="0"/>
              <w:rPr>
                <w:sz w:val="20"/>
                <w:szCs w:val="20"/>
                <w:color w:val="auto"/>
              </w:rPr>
            </w:pPr>
            <w:r>
              <w:rPr>
                <w:rFonts w:ascii="Times New Roman" w:cs="Times New Roman" w:eastAsia="Times New Roman" w:hAnsi="Times New Roman"/>
                <w:sz w:val="18"/>
                <w:szCs w:val="18"/>
                <w:color w:val="auto"/>
              </w:rPr>
              <w:t>occurrence of a Tier 2 Capital Event.</w:t>
            </w:r>
          </w:p>
        </w:tc>
      </w:tr>
      <w:tr>
        <w:trPr>
          <w:trHeight w:val="441"/>
        </w:trPr>
        <w:tc>
          <w:tcPr>
            <w:tcW w:w="3360" w:type="dxa"/>
            <w:vAlign w:val="bottom"/>
            <w:tcBorders>
              <w:left w:val="single" w:sz="8" w:color="auto"/>
            </w:tcBorders>
          </w:tcPr>
          <w:p>
            <w:pPr>
              <w:spacing w:after="0"/>
              <w:rPr>
                <w:sz w:val="24"/>
                <w:szCs w:val="24"/>
                <w:color w:val="auto"/>
              </w:rPr>
            </w:pPr>
          </w:p>
        </w:tc>
        <w:tc>
          <w:tcPr>
            <w:tcW w:w="7660" w:type="dxa"/>
            <w:vAlign w:val="bottom"/>
            <w:tcBorders>
              <w:right w:val="single" w:sz="8" w:color="auto"/>
            </w:tcBorders>
          </w:tcPr>
          <w:p>
            <w:pPr>
              <w:ind w:left="860"/>
              <w:spacing w:after="0"/>
              <w:rPr>
                <w:sz w:val="20"/>
                <w:szCs w:val="20"/>
                <w:color w:val="auto"/>
              </w:rPr>
            </w:pPr>
            <w:r>
              <w:rPr>
                <w:rFonts w:ascii="Times New Roman" w:cs="Times New Roman" w:eastAsia="Times New Roman" w:hAnsi="Times New Roman"/>
                <w:sz w:val="18"/>
                <w:szCs w:val="18"/>
                <w:color w:val="auto"/>
              </w:rPr>
              <w:t>The New Notes are not subject to repayment at the option of the holders and there is no</w:t>
            </w:r>
          </w:p>
        </w:tc>
      </w:tr>
      <w:tr>
        <w:trPr>
          <w:trHeight w:val="234"/>
        </w:trPr>
        <w:tc>
          <w:tcPr>
            <w:tcW w:w="3360" w:type="dxa"/>
            <w:vAlign w:val="bottom"/>
            <w:tcBorders>
              <w:left w:val="single" w:sz="8" w:color="auto"/>
            </w:tcBorders>
          </w:tcPr>
          <w:p>
            <w:pPr>
              <w:spacing w:after="0"/>
              <w:rPr>
                <w:sz w:val="20"/>
                <w:szCs w:val="20"/>
                <w:color w:val="auto"/>
              </w:rPr>
            </w:pPr>
          </w:p>
        </w:tc>
        <w:tc>
          <w:tcPr>
            <w:tcW w:w="7660" w:type="dxa"/>
            <w:vAlign w:val="bottom"/>
            <w:tcBorders>
              <w:right w:val="single" w:sz="8" w:color="auto"/>
            </w:tcBorders>
          </w:tcPr>
          <w:p>
            <w:pPr>
              <w:ind w:left="860"/>
              <w:spacing w:after="0"/>
              <w:rPr>
                <w:sz w:val="20"/>
                <w:szCs w:val="20"/>
                <w:color w:val="auto"/>
              </w:rPr>
            </w:pPr>
            <w:r>
              <w:rPr>
                <w:rFonts w:ascii="Times New Roman" w:cs="Times New Roman" w:eastAsia="Times New Roman" w:hAnsi="Times New Roman"/>
                <w:sz w:val="18"/>
                <w:szCs w:val="18"/>
                <w:color w:val="auto"/>
              </w:rPr>
              <w:t>sinking fund for the New Notes.</w:t>
            </w:r>
          </w:p>
        </w:tc>
      </w:tr>
      <w:tr>
        <w:trPr>
          <w:trHeight w:val="441"/>
        </w:trPr>
        <w:tc>
          <w:tcPr>
            <w:tcW w:w="336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No Limitations On Indebtedness</w:t>
            </w:r>
          </w:p>
        </w:tc>
        <w:tc>
          <w:tcPr>
            <w:tcW w:w="7660" w:type="dxa"/>
            <w:vAlign w:val="bottom"/>
            <w:tcBorders>
              <w:right w:val="single" w:sz="8" w:color="auto"/>
            </w:tcBorders>
          </w:tcPr>
          <w:p>
            <w:pPr>
              <w:ind w:left="860"/>
              <w:spacing w:after="0"/>
              <w:rPr>
                <w:sz w:val="20"/>
                <w:szCs w:val="20"/>
                <w:color w:val="auto"/>
              </w:rPr>
            </w:pPr>
            <w:r>
              <w:rPr>
                <w:rFonts w:ascii="Times New Roman" w:cs="Times New Roman" w:eastAsia="Times New Roman" w:hAnsi="Times New Roman"/>
                <w:sz w:val="18"/>
                <w:szCs w:val="18"/>
                <w:color w:val="auto"/>
              </w:rPr>
              <w:t>The terms of the New Notes do not limit the amount of additional indebtedness the</w:t>
            </w:r>
          </w:p>
        </w:tc>
      </w:tr>
      <w:tr>
        <w:trPr>
          <w:trHeight w:val="216"/>
        </w:trPr>
        <w:tc>
          <w:tcPr>
            <w:tcW w:w="3360" w:type="dxa"/>
            <w:vAlign w:val="bottom"/>
            <w:tcBorders>
              <w:left w:val="single" w:sz="8" w:color="auto"/>
            </w:tcBorders>
          </w:tcPr>
          <w:p>
            <w:pPr>
              <w:spacing w:after="0"/>
              <w:rPr>
                <w:sz w:val="18"/>
                <w:szCs w:val="18"/>
                <w:color w:val="auto"/>
              </w:rPr>
            </w:pPr>
          </w:p>
        </w:tc>
        <w:tc>
          <w:tcPr>
            <w:tcW w:w="7660" w:type="dxa"/>
            <w:vAlign w:val="bottom"/>
            <w:tcBorders>
              <w:right w:val="single" w:sz="8" w:color="auto"/>
            </w:tcBorders>
          </w:tcPr>
          <w:p>
            <w:pPr>
              <w:ind w:left="860"/>
              <w:spacing w:after="0"/>
              <w:rPr>
                <w:sz w:val="20"/>
                <w:szCs w:val="20"/>
                <w:color w:val="auto"/>
              </w:rPr>
            </w:pPr>
            <w:r>
              <w:rPr>
                <w:rFonts w:ascii="Times New Roman" w:cs="Times New Roman" w:eastAsia="Times New Roman" w:hAnsi="Times New Roman"/>
                <w:sz w:val="18"/>
                <w:szCs w:val="18"/>
                <w:color w:val="auto"/>
              </w:rPr>
              <w:t>Company, the Bank or any of our respective subsidiaries may incur or the amount of other</w:t>
            </w:r>
          </w:p>
        </w:tc>
      </w:tr>
      <w:tr>
        <w:trPr>
          <w:trHeight w:val="234"/>
        </w:trPr>
        <w:tc>
          <w:tcPr>
            <w:tcW w:w="3360" w:type="dxa"/>
            <w:vAlign w:val="bottom"/>
            <w:tcBorders>
              <w:left w:val="single" w:sz="8" w:color="auto"/>
            </w:tcBorders>
          </w:tcPr>
          <w:p>
            <w:pPr>
              <w:spacing w:after="0"/>
              <w:rPr>
                <w:sz w:val="20"/>
                <w:szCs w:val="20"/>
                <w:color w:val="auto"/>
              </w:rPr>
            </w:pPr>
          </w:p>
        </w:tc>
        <w:tc>
          <w:tcPr>
            <w:tcW w:w="7660" w:type="dxa"/>
            <w:vAlign w:val="bottom"/>
            <w:tcBorders>
              <w:right w:val="single" w:sz="8" w:color="auto"/>
            </w:tcBorders>
          </w:tcPr>
          <w:p>
            <w:pPr>
              <w:ind w:left="860"/>
              <w:spacing w:after="0"/>
              <w:rPr>
                <w:sz w:val="20"/>
                <w:szCs w:val="20"/>
                <w:color w:val="auto"/>
              </w:rPr>
            </w:pPr>
            <w:r>
              <w:rPr>
                <w:rFonts w:ascii="Times New Roman" w:cs="Times New Roman" w:eastAsia="Times New Roman" w:hAnsi="Times New Roman"/>
                <w:sz w:val="18"/>
                <w:szCs w:val="18"/>
                <w:color w:val="auto"/>
              </w:rPr>
              <w:t>obligations ranking senior or equal to the New Notes that we may incur.</w:t>
            </w:r>
          </w:p>
        </w:tc>
      </w:tr>
      <w:tr>
        <w:trPr>
          <w:trHeight w:val="441"/>
        </w:trPr>
        <w:tc>
          <w:tcPr>
            <w:tcW w:w="336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Limited Indenture Covenants</w:t>
            </w:r>
          </w:p>
        </w:tc>
        <w:tc>
          <w:tcPr>
            <w:tcW w:w="7660" w:type="dxa"/>
            <w:vAlign w:val="bottom"/>
            <w:tcBorders>
              <w:right w:val="single" w:sz="8" w:color="auto"/>
            </w:tcBorders>
          </w:tcPr>
          <w:p>
            <w:pPr>
              <w:ind w:left="860"/>
              <w:spacing w:after="0"/>
              <w:rPr>
                <w:sz w:val="20"/>
                <w:szCs w:val="20"/>
                <w:color w:val="auto"/>
              </w:rPr>
            </w:pPr>
            <w:r>
              <w:rPr>
                <w:rFonts w:ascii="Times New Roman" w:cs="Times New Roman" w:eastAsia="Times New Roman" w:hAnsi="Times New Roman"/>
                <w:sz w:val="18"/>
                <w:szCs w:val="18"/>
                <w:color w:val="auto"/>
              </w:rPr>
              <w:t>The indenture governing the New Notes contains no financial covenants requiring us to</w:t>
            </w:r>
          </w:p>
        </w:tc>
      </w:tr>
      <w:tr>
        <w:trPr>
          <w:trHeight w:val="216"/>
        </w:trPr>
        <w:tc>
          <w:tcPr>
            <w:tcW w:w="3360" w:type="dxa"/>
            <w:vAlign w:val="bottom"/>
            <w:tcBorders>
              <w:left w:val="single" w:sz="8" w:color="auto"/>
            </w:tcBorders>
          </w:tcPr>
          <w:p>
            <w:pPr>
              <w:spacing w:after="0"/>
              <w:rPr>
                <w:sz w:val="18"/>
                <w:szCs w:val="18"/>
                <w:color w:val="auto"/>
              </w:rPr>
            </w:pPr>
          </w:p>
        </w:tc>
        <w:tc>
          <w:tcPr>
            <w:tcW w:w="7660" w:type="dxa"/>
            <w:vAlign w:val="bottom"/>
            <w:tcBorders>
              <w:right w:val="single" w:sz="8" w:color="auto"/>
            </w:tcBorders>
          </w:tcPr>
          <w:p>
            <w:pPr>
              <w:ind w:left="860"/>
              <w:spacing w:after="0"/>
              <w:rPr>
                <w:sz w:val="20"/>
                <w:szCs w:val="20"/>
                <w:color w:val="auto"/>
              </w:rPr>
            </w:pPr>
            <w:r>
              <w:rPr>
                <w:rFonts w:ascii="Times New Roman" w:cs="Times New Roman" w:eastAsia="Times New Roman" w:hAnsi="Times New Roman"/>
                <w:sz w:val="18"/>
                <w:szCs w:val="18"/>
                <w:color w:val="auto"/>
              </w:rPr>
              <w:t>achieve or maintain any minimum financial results relating to our financial position or</w:t>
            </w:r>
          </w:p>
        </w:tc>
      </w:tr>
      <w:tr>
        <w:trPr>
          <w:trHeight w:val="216"/>
        </w:trPr>
        <w:tc>
          <w:tcPr>
            <w:tcW w:w="3360" w:type="dxa"/>
            <w:vAlign w:val="bottom"/>
            <w:tcBorders>
              <w:left w:val="single" w:sz="8" w:color="auto"/>
            </w:tcBorders>
          </w:tcPr>
          <w:p>
            <w:pPr>
              <w:spacing w:after="0"/>
              <w:rPr>
                <w:sz w:val="18"/>
                <w:szCs w:val="18"/>
                <w:color w:val="auto"/>
              </w:rPr>
            </w:pPr>
          </w:p>
        </w:tc>
        <w:tc>
          <w:tcPr>
            <w:tcW w:w="7660" w:type="dxa"/>
            <w:vAlign w:val="bottom"/>
            <w:tcBorders>
              <w:right w:val="single" w:sz="8" w:color="auto"/>
            </w:tcBorders>
          </w:tcPr>
          <w:p>
            <w:pPr>
              <w:ind w:left="860"/>
              <w:spacing w:after="0"/>
              <w:rPr>
                <w:sz w:val="20"/>
                <w:szCs w:val="20"/>
                <w:color w:val="auto"/>
              </w:rPr>
            </w:pPr>
            <w:r>
              <w:rPr>
                <w:rFonts w:ascii="Times New Roman" w:cs="Times New Roman" w:eastAsia="Times New Roman" w:hAnsi="Times New Roman"/>
                <w:sz w:val="18"/>
                <w:szCs w:val="18"/>
                <w:color w:val="auto"/>
              </w:rPr>
              <w:t>results of operations or meet or exceed any financial ratios as a general matter or in order to</w:t>
            </w:r>
          </w:p>
        </w:tc>
      </w:tr>
      <w:tr>
        <w:trPr>
          <w:trHeight w:val="234"/>
        </w:trPr>
        <w:tc>
          <w:tcPr>
            <w:tcW w:w="3360" w:type="dxa"/>
            <w:vAlign w:val="bottom"/>
            <w:tcBorders>
              <w:left w:val="single" w:sz="8" w:color="auto"/>
            </w:tcBorders>
          </w:tcPr>
          <w:p>
            <w:pPr>
              <w:spacing w:after="0"/>
              <w:rPr>
                <w:sz w:val="20"/>
                <w:szCs w:val="20"/>
                <w:color w:val="auto"/>
              </w:rPr>
            </w:pPr>
          </w:p>
        </w:tc>
        <w:tc>
          <w:tcPr>
            <w:tcW w:w="7660" w:type="dxa"/>
            <w:vAlign w:val="bottom"/>
            <w:tcBorders>
              <w:right w:val="single" w:sz="8" w:color="auto"/>
            </w:tcBorders>
          </w:tcPr>
          <w:p>
            <w:pPr>
              <w:ind w:left="860"/>
              <w:spacing w:after="0"/>
              <w:rPr>
                <w:sz w:val="20"/>
                <w:szCs w:val="20"/>
                <w:color w:val="auto"/>
              </w:rPr>
            </w:pPr>
            <w:r>
              <w:rPr>
                <w:rFonts w:ascii="Times New Roman" w:cs="Times New Roman" w:eastAsia="Times New Roman" w:hAnsi="Times New Roman"/>
                <w:sz w:val="18"/>
                <w:szCs w:val="18"/>
                <w:color w:val="auto"/>
              </w:rPr>
              <w:t>incur additional indebtedness or obligations or to maintain any reserves.</w:t>
            </w:r>
          </w:p>
        </w:tc>
      </w:tr>
      <w:tr>
        <w:trPr>
          <w:trHeight w:val="172"/>
        </w:trPr>
        <w:tc>
          <w:tcPr>
            <w:tcW w:w="3360" w:type="dxa"/>
            <w:vAlign w:val="bottom"/>
            <w:tcBorders>
              <w:left w:val="single" w:sz="8" w:color="auto"/>
              <w:bottom w:val="single" w:sz="8" w:color="auto"/>
            </w:tcBorders>
          </w:tcPr>
          <w:p>
            <w:pPr>
              <w:spacing w:after="0"/>
              <w:rPr>
                <w:sz w:val="14"/>
                <w:szCs w:val="14"/>
                <w:color w:val="auto"/>
              </w:rPr>
            </w:pPr>
          </w:p>
        </w:tc>
        <w:tc>
          <w:tcPr>
            <w:tcW w:w="7660" w:type="dxa"/>
            <w:vAlign w:val="bottom"/>
            <w:tcBorders>
              <w:bottom w:val="single" w:sz="8" w:color="auto"/>
              <w:right w:val="single" w:sz="8" w:color="auto"/>
            </w:tcBorders>
          </w:tcPr>
          <w:p>
            <w:pPr>
              <w:spacing w:after="0"/>
              <w:rPr>
                <w:sz w:val="14"/>
                <w:szCs w:val="14"/>
                <w:color w:val="auto"/>
              </w:rPr>
            </w:pPr>
          </w:p>
        </w:tc>
      </w:tr>
      <w:tr>
        <w:trPr>
          <w:trHeight w:val="361"/>
        </w:trPr>
        <w:tc>
          <w:tcPr>
            <w:tcW w:w="3360" w:type="dxa"/>
            <w:vAlign w:val="bottom"/>
          </w:tcPr>
          <w:p>
            <w:pPr>
              <w:spacing w:after="0"/>
              <w:rPr>
                <w:sz w:val="24"/>
                <w:szCs w:val="24"/>
                <w:color w:val="auto"/>
              </w:rPr>
            </w:pPr>
          </w:p>
        </w:tc>
        <w:tc>
          <w:tcPr>
            <w:tcW w:w="7660" w:type="dxa"/>
            <w:vAlign w:val="bottom"/>
          </w:tcPr>
          <w:p>
            <w:pPr>
              <w:ind w:left="2100"/>
              <w:spacing w:after="0"/>
              <w:rPr>
                <w:sz w:val="20"/>
                <w:szCs w:val="20"/>
                <w:color w:val="auto"/>
              </w:rPr>
            </w:pPr>
            <w:r>
              <w:rPr>
                <w:rFonts w:ascii="Times New Roman" w:cs="Times New Roman" w:eastAsia="Times New Roman" w:hAnsi="Times New Roman"/>
                <w:sz w:val="18"/>
                <w:szCs w:val="18"/>
                <w:color w:val="auto"/>
              </w:rPr>
              <w:t>7</w:t>
            </w:r>
          </w:p>
        </w:tc>
      </w:tr>
    </w:tbl>
    <w:p>
      <w:pPr>
        <w:sectPr>
          <w:pgSz w:w="11900" w:h="16838" w:orient="portrait"/>
          <w:cols w:equalWidth="0" w:num="1">
            <w:col w:w="11140"/>
          </w:cols>
          <w:pgMar w:left="320" w:top="455" w:right="4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9" w:lineRule="exact"/>
        <w:rPr>
          <w:sz w:val="20"/>
          <w:szCs w:val="20"/>
          <w:color w:val="auto"/>
        </w:rPr>
      </w:pPr>
    </w:p>
    <w:tbl>
      <w:tblPr>
        <w:tblLayout w:type="fixed"/>
        <w:tblInd w:w="130" w:type="dxa"/>
        <w:tblCellMar>
          <w:top w:w="0" w:type="dxa"/>
          <w:left w:w="0" w:type="dxa"/>
          <w:bottom w:w="0" w:type="dxa"/>
          <w:right w:w="0" w:type="dxa"/>
        </w:tblCellMar>
      </w:tblPr>
      <w:tr>
        <w:trPr>
          <w:trHeight w:val="376"/>
        </w:trPr>
        <w:tc>
          <w:tcPr>
            <w:tcW w:w="3140" w:type="dxa"/>
            <w:vAlign w:val="bottom"/>
            <w:tcBorders>
              <w:top w:val="single" w:sz="8" w:color="auto"/>
              <w:left w:val="single" w:sz="8" w:color="auto"/>
            </w:tcBorders>
          </w:tcPr>
          <w:p>
            <w:pPr>
              <w:spacing w:after="0"/>
              <w:rPr>
                <w:sz w:val="24"/>
                <w:szCs w:val="24"/>
                <w:color w:val="auto"/>
              </w:rPr>
            </w:pPr>
          </w:p>
        </w:tc>
        <w:tc>
          <w:tcPr>
            <w:tcW w:w="7880" w:type="dxa"/>
            <w:vAlign w:val="bottom"/>
            <w:tcBorders>
              <w:top w:val="single" w:sz="8" w:color="auto"/>
              <w:right w:val="single" w:sz="8" w:color="auto"/>
            </w:tcBorders>
          </w:tcPr>
          <w:p>
            <w:pPr>
              <w:ind w:left="1080"/>
              <w:spacing w:after="0"/>
              <w:rPr>
                <w:sz w:val="20"/>
                <w:szCs w:val="20"/>
                <w:color w:val="auto"/>
              </w:rPr>
            </w:pPr>
            <w:r>
              <w:rPr>
                <w:rFonts w:ascii="Times New Roman" w:cs="Times New Roman" w:eastAsia="Times New Roman" w:hAnsi="Times New Roman"/>
                <w:sz w:val="18"/>
                <w:szCs w:val="18"/>
                <w:color w:val="auto"/>
              </w:rPr>
              <w:t>Moreover, neither the indenture nor the New Notes contain any covenants prohibiting us</w:t>
            </w:r>
          </w:p>
        </w:tc>
      </w:tr>
      <w:tr>
        <w:trPr>
          <w:trHeight w:val="216"/>
        </w:trPr>
        <w:tc>
          <w:tcPr>
            <w:tcW w:w="3140" w:type="dxa"/>
            <w:vAlign w:val="bottom"/>
            <w:tcBorders>
              <w:left w:val="single" w:sz="8" w:color="auto"/>
            </w:tcBorders>
          </w:tcPr>
          <w:p>
            <w:pPr>
              <w:spacing w:after="0"/>
              <w:rPr>
                <w:sz w:val="18"/>
                <w:szCs w:val="18"/>
                <w:color w:val="auto"/>
              </w:rPr>
            </w:pPr>
          </w:p>
        </w:tc>
        <w:tc>
          <w:tcPr>
            <w:tcW w:w="7880" w:type="dxa"/>
            <w:vAlign w:val="bottom"/>
            <w:tcBorders>
              <w:right w:val="single" w:sz="8" w:color="auto"/>
            </w:tcBorders>
          </w:tcPr>
          <w:p>
            <w:pPr>
              <w:ind w:left="1080"/>
              <w:spacing w:after="0"/>
              <w:rPr>
                <w:sz w:val="20"/>
                <w:szCs w:val="20"/>
                <w:color w:val="auto"/>
              </w:rPr>
            </w:pPr>
            <w:r>
              <w:rPr>
                <w:rFonts w:ascii="Times New Roman" w:cs="Times New Roman" w:eastAsia="Times New Roman" w:hAnsi="Times New Roman"/>
                <w:sz w:val="18"/>
                <w:szCs w:val="18"/>
                <w:color w:val="auto"/>
              </w:rPr>
              <w:t>from, or limiting our right to, grant liens on our assets to secure our indebtedness or other</w:t>
            </w:r>
          </w:p>
        </w:tc>
      </w:tr>
      <w:tr>
        <w:trPr>
          <w:trHeight w:val="216"/>
        </w:trPr>
        <w:tc>
          <w:tcPr>
            <w:tcW w:w="3140" w:type="dxa"/>
            <w:vAlign w:val="bottom"/>
            <w:tcBorders>
              <w:left w:val="single" w:sz="8" w:color="auto"/>
            </w:tcBorders>
          </w:tcPr>
          <w:p>
            <w:pPr>
              <w:spacing w:after="0"/>
              <w:rPr>
                <w:sz w:val="18"/>
                <w:szCs w:val="18"/>
                <w:color w:val="auto"/>
              </w:rPr>
            </w:pPr>
          </w:p>
        </w:tc>
        <w:tc>
          <w:tcPr>
            <w:tcW w:w="7880" w:type="dxa"/>
            <w:vAlign w:val="bottom"/>
            <w:tcBorders>
              <w:right w:val="single" w:sz="8" w:color="auto"/>
            </w:tcBorders>
          </w:tcPr>
          <w:p>
            <w:pPr>
              <w:ind w:left="1080"/>
              <w:spacing w:after="0"/>
              <w:rPr>
                <w:sz w:val="20"/>
                <w:szCs w:val="20"/>
                <w:color w:val="auto"/>
              </w:rPr>
            </w:pPr>
            <w:r>
              <w:rPr>
                <w:rFonts w:ascii="Times New Roman" w:cs="Times New Roman" w:eastAsia="Times New Roman" w:hAnsi="Times New Roman"/>
                <w:sz w:val="18"/>
                <w:szCs w:val="18"/>
                <w:color w:val="auto"/>
              </w:rPr>
              <w:t>obligations that are senior in right of payment to the New Notes, to repurchase our stock or</w:t>
            </w:r>
          </w:p>
        </w:tc>
      </w:tr>
      <w:tr>
        <w:trPr>
          <w:trHeight w:val="216"/>
        </w:trPr>
        <w:tc>
          <w:tcPr>
            <w:tcW w:w="3140" w:type="dxa"/>
            <w:vAlign w:val="bottom"/>
            <w:tcBorders>
              <w:left w:val="single" w:sz="8" w:color="auto"/>
            </w:tcBorders>
          </w:tcPr>
          <w:p>
            <w:pPr>
              <w:spacing w:after="0"/>
              <w:rPr>
                <w:sz w:val="18"/>
                <w:szCs w:val="18"/>
                <w:color w:val="auto"/>
              </w:rPr>
            </w:pPr>
          </w:p>
        </w:tc>
        <w:tc>
          <w:tcPr>
            <w:tcW w:w="7880" w:type="dxa"/>
            <w:vAlign w:val="bottom"/>
            <w:tcBorders>
              <w:right w:val="single" w:sz="8" w:color="auto"/>
            </w:tcBorders>
          </w:tcPr>
          <w:p>
            <w:pPr>
              <w:ind w:left="1080"/>
              <w:spacing w:after="0"/>
              <w:rPr>
                <w:sz w:val="20"/>
                <w:szCs w:val="20"/>
                <w:color w:val="auto"/>
              </w:rPr>
            </w:pPr>
            <w:r>
              <w:rPr>
                <w:rFonts w:ascii="Times New Roman" w:cs="Times New Roman" w:eastAsia="Times New Roman" w:hAnsi="Times New Roman"/>
                <w:sz w:val="18"/>
                <w:szCs w:val="18"/>
                <w:color w:val="auto"/>
              </w:rPr>
              <w:t>other securities, including any of the New Notes, or to pay dividends or make other</w:t>
            </w:r>
          </w:p>
        </w:tc>
      </w:tr>
      <w:tr>
        <w:trPr>
          <w:trHeight w:val="216"/>
        </w:trPr>
        <w:tc>
          <w:tcPr>
            <w:tcW w:w="3140" w:type="dxa"/>
            <w:vAlign w:val="bottom"/>
            <w:tcBorders>
              <w:left w:val="single" w:sz="8" w:color="auto"/>
            </w:tcBorders>
          </w:tcPr>
          <w:p>
            <w:pPr>
              <w:spacing w:after="0"/>
              <w:rPr>
                <w:sz w:val="18"/>
                <w:szCs w:val="18"/>
                <w:color w:val="auto"/>
              </w:rPr>
            </w:pPr>
          </w:p>
        </w:tc>
        <w:tc>
          <w:tcPr>
            <w:tcW w:w="7880" w:type="dxa"/>
            <w:vAlign w:val="bottom"/>
            <w:tcBorders>
              <w:right w:val="single" w:sz="8" w:color="auto"/>
            </w:tcBorders>
          </w:tcPr>
          <w:p>
            <w:pPr>
              <w:ind w:left="1080"/>
              <w:spacing w:after="0"/>
              <w:rPr>
                <w:sz w:val="20"/>
                <w:szCs w:val="20"/>
                <w:color w:val="auto"/>
              </w:rPr>
            </w:pPr>
            <w:r>
              <w:rPr>
                <w:rFonts w:ascii="Times New Roman" w:cs="Times New Roman" w:eastAsia="Times New Roman" w:hAnsi="Times New Roman"/>
                <w:sz w:val="18"/>
                <w:szCs w:val="18"/>
                <w:color w:val="auto"/>
              </w:rPr>
              <w:t>distributions to our shareholders (except, in the case of dividends or other distributions on</w:t>
            </w:r>
          </w:p>
        </w:tc>
      </w:tr>
      <w:tr>
        <w:trPr>
          <w:trHeight w:val="216"/>
        </w:trPr>
        <w:tc>
          <w:tcPr>
            <w:tcW w:w="3140" w:type="dxa"/>
            <w:vAlign w:val="bottom"/>
            <w:tcBorders>
              <w:left w:val="single" w:sz="8" w:color="auto"/>
            </w:tcBorders>
          </w:tcPr>
          <w:p>
            <w:pPr>
              <w:spacing w:after="0"/>
              <w:rPr>
                <w:sz w:val="18"/>
                <w:szCs w:val="18"/>
                <w:color w:val="auto"/>
              </w:rPr>
            </w:pPr>
          </w:p>
        </w:tc>
        <w:tc>
          <w:tcPr>
            <w:tcW w:w="7880" w:type="dxa"/>
            <w:vAlign w:val="bottom"/>
            <w:tcBorders>
              <w:right w:val="single" w:sz="8" w:color="auto"/>
            </w:tcBorders>
          </w:tcPr>
          <w:p>
            <w:pPr>
              <w:ind w:left="1080"/>
              <w:spacing w:after="0"/>
              <w:rPr>
                <w:sz w:val="20"/>
                <w:szCs w:val="20"/>
                <w:color w:val="auto"/>
              </w:rPr>
            </w:pPr>
            <w:r>
              <w:rPr>
                <w:rFonts w:ascii="Times New Roman" w:cs="Times New Roman" w:eastAsia="Times New Roman" w:hAnsi="Times New Roman"/>
                <w:sz w:val="18"/>
                <w:szCs w:val="18"/>
                <w:color w:val="auto"/>
              </w:rPr>
              <w:t>junior securities, upon our failure to timely pay the principal of or interest on the New</w:t>
            </w:r>
          </w:p>
        </w:tc>
      </w:tr>
      <w:tr>
        <w:trPr>
          <w:trHeight w:val="234"/>
        </w:trPr>
        <w:tc>
          <w:tcPr>
            <w:tcW w:w="3140" w:type="dxa"/>
            <w:vAlign w:val="bottom"/>
            <w:tcBorders>
              <w:left w:val="single" w:sz="8" w:color="auto"/>
            </w:tcBorders>
          </w:tcPr>
          <w:p>
            <w:pPr>
              <w:spacing w:after="0"/>
              <w:rPr>
                <w:sz w:val="20"/>
                <w:szCs w:val="20"/>
                <w:color w:val="auto"/>
              </w:rPr>
            </w:pPr>
          </w:p>
        </w:tc>
        <w:tc>
          <w:tcPr>
            <w:tcW w:w="7880" w:type="dxa"/>
            <w:vAlign w:val="bottom"/>
            <w:tcBorders>
              <w:right w:val="single" w:sz="8" w:color="auto"/>
            </w:tcBorders>
          </w:tcPr>
          <w:p>
            <w:pPr>
              <w:ind w:left="1080"/>
              <w:spacing w:after="0"/>
              <w:rPr>
                <w:sz w:val="20"/>
                <w:szCs w:val="20"/>
                <w:color w:val="auto"/>
              </w:rPr>
            </w:pPr>
            <w:r>
              <w:rPr>
                <w:rFonts w:ascii="Times New Roman" w:cs="Times New Roman" w:eastAsia="Times New Roman" w:hAnsi="Times New Roman"/>
                <w:sz w:val="18"/>
                <w:szCs w:val="18"/>
                <w:color w:val="auto"/>
              </w:rPr>
              <w:t>Notes, when the same becomes due and payable).</w:t>
            </w:r>
          </w:p>
        </w:tc>
      </w:tr>
      <w:tr>
        <w:trPr>
          <w:trHeight w:val="441"/>
        </w:trPr>
        <w:tc>
          <w:tcPr>
            <w:tcW w:w="314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Listing; No Public Market</w:t>
            </w:r>
          </w:p>
        </w:tc>
        <w:tc>
          <w:tcPr>
            <w:tcW w:w="7880" w:type="dxa"/>
            <w:vAlign w:val="bottom"/>
            <w:tcBorders>
              <w:right w:val="single" w:sz="8" w:color="auto"/>
            </w:tcBorders>
          </w:tcPr>
          <w:p>
            <w:pPr>
              <w:ind w:left="1080"/>
              <w:spacing w:after="0"/>
              <w:rPr>
                <w:sz w:val="20"/>
                <w:szCs w:val="20"/>
                <w:color w:val="auto"/>
              </w:rPr>
            </w:pPr>
            <w:r>
              <w:rPr>
                <w:rFonts w:ascii="Times New Roman" w:cs="Times New Roman" w:eastAsia="Times New Roman" w:hAnsi="Times New Roman"/>
                <w:sz w:val="18"/>
                <w:szCs w:val="18"/>
                <w:color w:val="auto"/>
              </w:rPr>
              <w:t>The New Notes are a new issue of securities with no established trading market and we do</w:t>
            </w:r>
          </w:p>
        </w:tc>
      </w:tr>
      <w:tr>
        <w:trPr>
          <w:trHeight w:val="216"/>
        </w:trPr>
        <w:tc>
          <w:tcPr>
            <w:tcW w:w="3140" w:type="dxa"/>
            <w:vAlign w:val="bottom"/>
            <w:tcBorders>
              <w:left w:val="single" w:sz="8" w:color="auto"/>
            </w:tcBorders>
          </w:tcPr>
          <w:p>
            <w:pPr>
              <w:spacing w:after="0"/>
              <w:rPr>
                <w:sz w:val="18"/>
                <w:szCs w:val="18"/>
                <w:color w:val="auto"/>
              </w:rPr>
            </w:pPr>
          </w:p>
        </w:tc>
        <w:tc>
          <w:tcPr>
            <w:tcW w:w="7880" w:type="dxa"/>
            <w:vAlign w:val="bottom"/>
            <w:tcBorders>
              <w:right w:val="single" w:sz="8" w:color="auto"/>
            </w:tcBorders>
          </w:tcPr>
          <w:p>
            <w:pPr>
              <w:ind w:left="1080"/>
              <w:spacing w:after="0"/>
              <w:rPr>
                <w:sz w:val="20"/>
                <w:szCs w:val="20"/>
                <w:color w:val="auto"/>
              </w:rPr>
            </w:pPr>
            <w:r>
              <w:rPr>
                <w:rFonts w:ascii="Times New Roman" w:cs="Times New Roman" w:eastAsia="Times New Roman" w:hAnsi="Times New Roman"/>
                <w:sz w:val="18"/>
                <w:szCs w:val="18"/>
                <w:color w:val="auto"/>
              </w:rPr>
              <w:t>not expect any public market to develop in the future for the New Notes. We do not intend</w:t>
            </w:r>
          </w:p>
        </w:tc>
      </w:tr>
      <w:tr>
        <w:trPr>
          <w:trHeight w:val="234"/>
        </w:trPr>
        <w:tc>
          <w:tcPr>
            <w:tcW w:w="3140" w:type="dxa"/>
            <w:vAlign w:val="bottom"/>
            <w:tcBorders>
              <w:left w:val="single" w:sz="8" w:color="auto"/>
            </w:tcBorders>
          </w:tcPr>
          <w:p>
            <w:pPr>
              <w:spacing w:after="0"/>
              <w:rPr>
                <w:sz w:val="20"/>
                <w:szCs w:val="20"/>
                <w:color w:val="auto"/>
              </w:rPr>
            </w:pPr>
          </w:p>
        </w:tc>
        <w:tc>
          <w:tcPr>
            <w:tcW w:w="7880" w:type="dxa"/>
            <w:vAlign w:val="bottom"/>
            <w:tcBorders>
              <w:right w:val="single" w:sz="8" w:color="auto"/>
            </w:tcBorders>
          </w:tcPr>
          <w:p>
            <w:pPr>
              <w:ind w:left="1080"/>
              <w:spacing w:after="0"/>
              <w:rPr>
                <w:sz w:val="20"/>
                <w:szCs w:val="20"/>
                <w:color w:val="auto"/>
              </w:rPr>
            </w:pPr>
            <w:r>
              <w:rPr>
                <w:rFonts w:ascii="Times New Roman" w:cs="Times New Roman" w:eastAsia="Times New Roman" w:hAnsi="Times New Roman"/>
                <w:sz w:val="18"/>
                <w:szCs w:val="18"/>
                <w:color w:val="auto"/>
              </w:rPr>
              <w:t>to list the New Notes on any national securities exchange or quotation system.</w:t>
            </w:r>
          </w:p>
        </w:tc>
      </w:tr>
      <w:tr>
        <w:trPr>
          <w:trHeight w:val="441"/>
        </w:trPr>
        <w:tc>
          <w:tcPr>
            <w:tcW w:w="314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Risk Factors</w:t>
            </w:r>
          </w:p>
        </w:tc>
        <w:tc>
          <w:tcPr>
            <w:tcW w:w="7880" w:type="dxa"/>
            <w:vAlign w:val="bottom"/>
            <w:tcBorders>
              <w:right w:val="single" w:sz="8" w:color="auto"/>
            </w:tcBorders>
          </w:tcPr>
          <w:p>
            <w:pPr>
              <w:ind w:left="1080"/>
              <w:spacing w:after="0"/>
              <w:rPr>
                <w:sz w:val="20"/>
                <w:szCs w:val="20"/>
                <w:color w:val="auto"/>
              </w:rPr>
            </w:pPr>
            <w:r>
              <w:rPr>
                <w:rFonts w:ascii="Times New Roman" w:cs="Times New Roman" w:eastAsia="Times New Roman" w:hAnsi="Times New Roman"/>
                <w:sz w:val="18"/>
                <w:szCs w:val="18"/>
                <w:color w:val="auto"/>
              </w:rPr>
              <w:t>See “Risk Factors” beginning on page 7 of this prospectus, as well as in our reports filed</w:t>
            </w:r>
          </w:p>
        </w:tc>
      </w:tr>
      <w:tr>
        <w:trPr>
          <w:trHeight w:val="216"/>
        </w:trPr>
        <w:tc>
          <w:tcPr>
            <w:tcW w:w="3140" w:type="dxa"/>
            <w:vAlign w:val="bottom"/>
            <w:tcBorders>
              <w:left w:val="single" w:sz="8" w:color="auto"/>
            </w:tcBorders>
          </w:tcPr>
          <w:p>
            <w:pPr>
              <w:spacing w:after="0"/>
              <w:rPr>
                <w:sz w:val="18"/>
                <w:szCs w:val="18"/>
                <w:color w:val="auto"/>
              </w:rPr>
            </w:pPr>
          </w:p>
        </w:tc>
        <w:tc>
          <w:tcPr>
            <w:tcW w:w="7880" w:type="dxa"/>
            <w:vAlign w:val="bottom"/>
            <w:tcBorders>
              <w:right w:val="single" w:sz="8" w:color="auto"/>
            </w:tcBorders>
          </w:tcPr>
          <w:p>
            <w:pPr>
              <w:ind w:left="1080"/>
              <w:spacing w:after="0"/>
              <w:rPr>
                <w:sz w:val="20"/>
                <w:szCs w:val="20"/>
                <w:color w:val="auto"/>
              </w:rPr>
            </w:pPr>
            <w:r>
              <w:rPr>
                <w:rFonts w:ascii="Times New Roman" w:cs="Times New Roman" w:eastAsia="Times New Roman" w:hAnsi="Times New Roman"/>
                <w:sz w:val="18"/>
                <w:szCs w:val="18"/>
                <w:color w:val="auto"/>
              </w:rPr>
              <w:t>with the SEC, and other information included or incorporated by reference in this</w:t>
            </w:r>
          </w:p>
        </w:tc>
      </w:tr>
      <w:tr>
        <w:trPr>
          <w:trHeight w:val="216"/>
        </w:trPr>
        <w:tc>
          <w:tcPr>
            <w:tcW w:w="3140" w:type="dxa"/>
            <w:vAlign w:val="bottom"/>
            <w:tcBorders>
              <w:left w:val="single" w:sz="8" w:color="auto"/>
            </w:tcBorders>
          </w:tcPr>
          <w:p>
            <w:pPr>
              <w:spacing w:after="0"/>
              <w:rPr>
                <w:sz w:val="18"/>
                <w:szCs w:val="18"/>
                <w:color w:val="auto"/>
              </w:rPr>
            </w:pPr>
          </w:p>
        </w:tc>
        <w:tc>
          <w:tcPr>
            <w:tcW w:w="7880" w:type="dxa"/>
            <w:vAlign w:val="bottom"/>
            <w:tcBorders>
              <w:right w:val="single" w:sz="8" w:color="auto"/>
            </w:tcBorders>
          </w:tcPr>
          <w:p>
            <w:pPr>
              <w:ind w:left="1080"/>
              <w:spacing w:after="0"/>
              <w:rPr>
                <w:sz w:val="20"/>
                <w:szCs w:val="20"/>
                <w:color w:val="auto"/>
              </w:rPr>
            </w:pPr>
            <w:r>
              <w:rPr>
                <w:rFonts w:ascii="Times New Roman" w:cs="Times New Roman" w:eastAsia="Times New Roman" w:hAnsi="Times New Roman"/>
                <w:sz w:val="18"/>
                <w:szCs w:val="18"/>
                <w:color w:val="auto"/>
              </w:rPr>
              <w:t>prospectus for a discussion of factors you should consider carefully before deciding to</w:t>
            </w:r>
          </w:p>
        </w:tc>
      </w:tr>
      <w:tr>
        <w:trPr>
          <w:trHeight w:val="234"/>
        </w:trPr>
        <w:tc>
          <w:tcPr>
            <w:tcW w:w="3140" w:type="dxa"/>
            <w:vAlign w:val="bottom"/>
            <w:tcBorders>
              <w:left w:val="single" w:sz="8" w:color="auto"/>
            </w:tcBorders>
          </w:tcPr>
          <w:p>
            <w:pPr>
              <w:spacing w:after="0"/>
              <w:rPr>
                <w:sz w:val="20"/>
                <w:szCs w:val="20"/>
                <w:color w:val="auto"/>
              </w:rPr>
            </w:pPr>
          </w:p>
        </w:tc>
        <w:tc>
          <w:tcPr>
            <w:tcW w:w="7880" w:type="dxa"/>
            <w:vAlign w:val="bottom"/>
            <w:tcBorders>
              <w:right w:val="single" w:sz="8" w:color="auto"/>
            </w:tcBorders>
          </w:tcPr>
          <w:p>
            <w:pPr>
              <w:ind w:left="1080"/>
              <w:spacing w:after="0"/>
              <w:rPr>
                <w:sz w:val="20"/>
                <w:szCs w:val="20"/>
                <w:color w:val="auto"/>
              </w:rPr>
            </w:pPr>
            <w:r>
              <w:rPr>
                <w:rFonts w:ascii="Times New Roman" w:cs="Times New Roman" w:eastAsia="Times New Roman" w:hAnsi="Times New Roman"/>
                <w:sz w:val="18"/>
                <w:szCs w:val="18"/>
                <w:color w:val="auto"/>
              </w:rPr>
              <w:t>participate in the exchange offer.</w:t>
            </w:r>
          </w:p>
        </w:tc>
      </w:tr>
      <w:tr>
        <w:trPr>
          <w:trHeight w:val="459"/>
        </w:trPr>
        <w:tc>
          <w:tcPr>
            <w:tcW w:w="314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Trustee</w:t>
            </w:r>
          </w:p>
        </w:tc>
        <w:tc>
          <w:tcPr>
            <w:tcW w:w="7880" w:type="dxa"/>
            <w:vAlign w:val="bottom"/>
            <w:tcBorders>
              <w:right w:val="single" w:sz="8" w:color="auto"/>
            </w:tcBorders>
          </w:tcPr>
          <w:p>
            <w:pPr>
              <w:ind w:left="1080"/>
              <w:spacing w:after="0"/>
              <w:rPr>
                <w:sz w:val="20"/>
                <w:szCs w:val="20"/>
                <w:color w:val="auto"/>
              </w:rPr>
            </w:pPr>
            <w:r>
              <w:rPr>
                <w:rFonts w:ascii="Times New Roman" w:cs="Times New Roman" w:eastAsia="Times New Roman" w:hAnsi="Times New Roman"/>
                <w:sz w:val="18"/>
                <w:szCs w:val="18"/>
                <w:color w:val="auto"/>
              </w:rPr>
              <w:t>Wilmington Trust, National Association.</w:t>
            </w:r>
          </w:p>
        </w:tc>
      </w:tr>
      <w:tr>
        <w:trPr>
          <w:trHeight w:val="454"/>
        </w:trPr>
        <w:tc>
          <w:tcPr>
            <w:tcW w:w="314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Governing Law</w:t>
            </w:r>
          </w:p>
        </w:tc>
        <w:tc>
          <w:tcPr>
            <w:tcW w:w="7880" w:type="dxa"/>
            <w:vAlign w:val="bottom"/>
            <w:tcBorders>
              <w:right w:val="single" w:sz="8" w:color="auto"/>
            </w:tcBorders>
          </w:tcPr>
          <w:p>
            <w:pPr>
              <w:ind w:left="1080"/>
              <w:spacing w:after="0"/>
              <w:rPr>
                <w:sz w:val="20"/>
                <w:szCs w:val="20"/>
                <w:color w:val="auto"/>
              </w:rPr>
            </w:pPr>
            <w:r>
              <w:rPr>
                <w:rFonts w:ascii="Times New Roman" w:cs="Times New Roman" w:eastAsia="Times New Roman" w:hAnsi="Times New Roman"/>
                <w:sz w:val="18"/>
                <w:szCs w:val="18"/>
                <w:color w:val="auto"/>
              </w:rPr>
              <w:t>The New Notes and the indenture will be governed by and construed in accordance with</w:t>
            </w:r>
          </w:p>
        </w:tc>
      </w:tr>
      <w:tr>
        <w:trPr>
          <w:trHeight w:val="234"/>
        </w:trPr>
        <w:tc>
          <w:tcPr>
            <w:tcW w:w="3140" w:type="dxa"/>
            <w:vAlign w:val="bottom"/>
            <w:tcBorders>
              <w:left w:val="single" w:sz="8" w:color="auto"/>
            </w:tcBorders>
          </w:tcPr>
          <w:p>
            <w:pPr>
              <w:spacing w:after="0"/>
              <w:rPr>
                <w:sz w:val="20"/>
                <w:szCs w:val="20"/>
                <w:color w:val="auto"/>
              </w:rPr>
            </w:pPr>
          </w:p>
        </w:tc>
        <w:tc>
          <w:tcPr>
            <w:tcW w:w="7880" w:type="dxa"/>
            <w:vAlign w:val="bottom"/>
            <w:tcBorders>
              <w:right w:val="single" w:sz="8" w:color="auto"/>
            </w:tcBorders>
          </w:tcPr>
          <w:p>
            <w:pPr>
              <w:ind w:left="1080"/>
              <w:spacing w:after="0"/>
              <w:rPr>
                <w:sz w:val="20"/>
                <w:szCs w:val="20"/>
                <w:color w:val="auto"/>
              </w:rPr>
            </w:pPr>
            <w:r>
              <w:rPr>
                <w:rFonts w:ascii="Times New Roman" w:cs="Times New Roman" w:eastAsia="Times New Roman" w:hAnsi="Times New Roman"/>
                <w:sz w:val="18"/>
                <w:szCs w:val="18"/>
                <w:color w:val="auto"/>
              </w:rPr>
              <w:t>the laws of the State of New York.</w:t>
            </w:r>
          </w:p>
        </w:tc>
      </w:tr>
      <w:tr>
        <w:trPr>
          <w:trHeight w:val="172"/>
        </w:trPr>
        <w:tc>
          <w:tcPr>
            <w:tcW w:w="3140" w:type="dxa"/>
            <w:vAlign w:val="bottom"/>
            <w:tcBorders>
              <w:left w:val="single" w:sz="8" w:color="auto"/>
              <w:bottom w:val="single" w:sz="8" w:color="auto"/>
            </w:tcBorders>
          </w:tcPr>
          <w:p>
            <w:pPr>
              <w:spacing w:after="0"/>
              <w:rPr>
                <w:sz w:val="14"/>
                <w:szCs w:val="14"/>
                <w:color w:val="auto"/>
              </w:rPr>
            </w:pPr>
          </w:p>
        </w:tc>
        <w:tc>
          <w:tcPr>
            <w:tcW w:w="7880" w:type="dxa"/>
            <w:vAlign w:val="bottom"/>
            <w:tcBorders>
              <w:bottom w:val="single" w:sz="8" w:color="auto"/>
              <w:right w:val="single" w:sz="8" w:color="auto"/>
            </w:tcBorders>
          </w:tcPr>
          <w:p>
            <w:pPr>
              <w:spacing w:after="0"/>
              <w:rPr>
                <w:sz w:val="14"/>
                <w:szCs w:val="14"/>
                <w:color w:val="auto"/>
              </w:rPr>
            </w:pPr>
          </w:p>
        </w:tc>
      </w:tr>
      <w:tr>
        <w:trPr>
          <w:trHeight w:val="361"/>
        </w:trPr>
        <w:tc>
          <w:tcPr>
            <w:tcW w:w="3140" w:type="dxa"/>
            <w:vAlign w:val="bottom"/>
          </w:tcPr>
          <w:p>
            <w:pPr>
              <w:spacing w:after="0"/>
              <w:rPr>
                <w:sz w:val="24"/>
                <w:szCs w:val="24"/>
                <w:color w:val="auto"/>
              </w:rPr>
            </w:pPr>
          </w:p>
        </w:tc>
        <w:tc>
          <w:tcPr>
            <w:tcW w:w="7880" w:type="dxa"/>
            <w:vAlign w:val="bottom"/>
          </w:tcPr>
          <w:p>
            <w:pPr>
              <w:ind w:left="2320"/>
              <w:spacing w:after="0"/>
              <w:rPr>
                <w:sz w:val="20"/>
                <w:szCs w:val="20"/>
                <w:color w:val="auto"/>
              </w:rPr>
            </w:pPr>
            <w:r>
              <w:rPr>
                <w:rFonts w:ascii="Times New Roman" w:cs="Times New Roman" w:eastAsia="Times New Roman" w:hAnsi="Times New Roman"/>
                <w:sz w:val="18"/>
                <w:szCs w:val="18"/>
                <w:color w:val="auto"/>
              </w:rPr>
              <w:t>8</w:t>
            </w:r>
          </w:p>
        </w:tc>
      </w:tr>
    </w:tbl>
    <w:p>
      <w:pPr>
        <w:sectPr>
          <w:pgSz w:w="11900" w:h="16838" w:orient="portrait"/>
          <w:cols w:equalWidth="0" w:num="1">
            <w:col w:w="11140"/>
          </w:cols>
          <w:pgMar w:left="320" w:top="455" w:right="4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9"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In consultation with your own advisors, you should carefully consider, among other matters, the factors set forth below as well as the other information included or incorporated by reference in this prospectus before deciding whether to participate in the exchange offer. In particular, you should carefully consider, among other things, the factors described under the caption “Risk Factors” in our Annual Report on Form 10-K for the fiscal year ended December 31, 2024 and the factors described under the caption “Risk Factors” in our Quarterly Reports on Form 10-Q for the fiscal quarter ended March 31, 2025, June 30, 2025 and the fiscal quarter ended September 30, 2025, each of which is incorporated herein by reference, as updated by our subsequently filed Quarterly Reports on Form 10-Q and Current Reports on Form 8-K. If any of the risks contained in or incorporated by reference into this prospectus develop into actual events, our business, financial condition, liquidity, results of operations and prospects could be materially and adversely affected, the value of the New Notes could decline, our ability to repay the New Notes may be impaired, and you may lose all or part of your investment. Some statements in this prospectus, including statements in the following risk factors, constitute forward-looking statements. See the “Special Note Regarding Forward-Looking Statements” section in this prospectus.</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Our Business</w:t>
      </w:r>
    </w:p>
    <w:p>
      <w:pPr>
        <w:spacing w:after="0" w:line="121"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For a discussion of certain risks applicable to our business and operations, please refer to the section entitled “Risk Factors” in Part I, Item 1A of our Annual Report on Form 10-K for the fiscal year ended December 31, 2024 and the section entitled “Risk Factors” in Part II, Item 1A of our Quarterly Reports on Form 10-Q for the fiscal quarter ended March 31, 2025 and the fiscal quarter ended June 30, 2025.</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the Exchange Offer</w:t>
      </w:r>
    </w:p>
    <w:p>
      <w:pPr>
        <w:spacing w:after="0" w:line="117" w:lineRule="exact"/>
        <w:rPr>
          <w:sz w:val="20"/>
          <w:szCs w:val="20"/>
          <w:color w:val="auto"/>
        </w:rPr>
      </w:pPr>
    </w:p>
    <w:p>
      <w:pPr>
        <w:ind w:left="120" w:right="6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you do not properly tender your Old Notes, you will continue to hold unregistered Old Notes and your ability to transfer Old Notes will be adversely affected.</w:t>
      </w:r>
    </w:p>
    <w:p>
      <w:pPr>
        <w:spacing w:after="0" w:line="51"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We will only issue New Notes in exchange for Old Notes that you timely and properly tender. Therefore, you should allow sufficient time to ensure timely delivery of the Old Notes and you should carefully follow the instructions on how to tender your Old Notes. Neither we nor the exchange agent are required to tell you of any defects or irregularities with respect to your tender of Old Notes. See “The Exchange Offer—Procedures for Tendering Old Notes.”</w:t>
      </w:r>
    </w:p>
    <w:p>
      <w:pPr>
        <w:spacing w:after="0" w:line="180" w:lineRule="exact"/>
        <w:rPr>
          <w:sz w:val="20"/>
          <w:szCs w:val="20"/>
          <w:color w:val="auto"/>
        </w:rPr>
      </w:pPr>
    </w:p>
    <w:p>
      <w:pPr>
        <w:jc w:val="both"/>
        <w:ind w:left="120" w:firstLine="440"/>
        <w:spacing w:after="0" w:line="261" w:lineRule="auto"/>
        <w:rPr>
          <w:sz w:val="20"/>
          <w:szCs w:val="20"/>
          <w:color w:val="auto"/>
        </w:rPr>
      </w:pPr>
      <w:r>
        <w:rPr>
          <w:rFonts w:ascii="Times New Roman" w:cs="Times New Roman" w:eastAsia="Times New Roman" w:hAnsi="Times New Roman"/>
          <w:sz w:val="18"/>
          <w:szCs w:val="18"/>
          <w:color w:val="auto"/>
        </w:rPr>
        <w:t>If you do not exchange your Old Notes for New Notes in the exchange offer, you will continue to be subject to the restrictions on transfer of your Old Notes described in the legend on the certificates for your Old Notes. In general, you may only offer or sell the Old Notes if they are registered under the Securities Act and applicable state securities laws, or you offer and sell under an exemption from these requirements. We do not plan to register any sale of the Old Notes under the Securities Act.</w:t>
      </w:r>
    </w:p>
    <w:p>
      <w:pPr>
        <w:spacing w:after="0" w:line="180" w:lineRule="exact"/>
        <w:rPr>
          <w:sz w:val="20"/>
          <w:szCs w:val="20"/>
          <w:color w:val="auto"/>
        </w:rPr>
      </w:pPr>
    </w:p>
    <w:p>
      <w:pPr>
        <w:ind w:left="120" w:right="380" w:firstLine="440"/>
        <w:spacing w:after="0" w:line="282" w:lineRule="auto"/>
        <w:rPr>
          <w:sz w:val="20"/>
          <w:szCs w:val="20"/>
          <w:color w:val="auto"/>
        </w:rPr>
      </w:pPr>
      <w:r>
        <w:rPr>
          <w:rFonts w:ascii="Times New Roman" w:cs="Times New Roman" w:eastAsia="Times New Roman" w:hAnsi="Times New Roman"/>
          <w:sz w:val="18"/>
          <w:szCs w:val="18"/>
          <w:color w:val="auto"/>
        </w:rPr>
        <w:t>The tender of Old Notes under the exchange offer will reduce the principal amount of the Old Notes outstanding, which may have an adverse effect upon, and increase the volatility of, the market price of the Old Notes due to reduction in liquidity.</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You may not receive New Notes in the exchange offer if you do not properly follow the exchange offer procedures.</w:t>
      </w:r>
    </w:p>
    <w:p>
      <w:pPr>
        <w:spacing w:after="0" w:line="121"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We will issue New Notes in exchange for your Old Notes only if you properly tender the Old Notes before expiration of the exchange offer. Neither we nor the exchange agent are required to tell you of any defects or irregularities with respect to your tender of Old Notes. If you are the beneficial holder of Old Notes that are held through your broker, dealer, commercial bank, trust company or other nominee, and you wish to tender such Old</w:t>
      </w:r>
    </w:p>
    <w:p>
      <w:pPr>
        <w:spacing w:after="0" w:line="11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100"/>
          </w:cols>
          <w:pgMar w:left="320" w:top="455" w:right="47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80"/>
        <w:spacing w:after="0" w:line="282" w:lineRule="auto"/>
        <w:rPr>
          <w:sz w:val="20"/>
          <w:szCs w:val="20"/>
          <w:color w:val="auto"/>
        </w:rPr>
      </w:pPr>
      <w:r>
        <w:rPr>
          <w:rFonts w:ascii="Times New Roman" w:cs="Times New Roman" w:eastAsia="Times New Roman" w:hAnsi="Times New Roman"/>
          <w:sz w:val="18"/>
          <w:szCs w:val="18"/>
          <w:color w:val="auto"/>
        </w:rPr>
        <w:t>Notes in the exchange offer, you should promptly contact the person through whom your Old Notes are held and instruct that person to tender on your behalf in accordance with the procedures described in this prospectus and the accompanying transmittal letter.</w:t>
      </w:r>
    </w:p>
    <w:p>
      <w:pPr>
        <w:spacing w:after="0" w:line="266" w:lineRule="exact"/>
        <w:rPr>
          <w:sz w:val="20"/>
          <w:szCs w:val="20"/>
          <w:color w:val="auto"/>
        </w:rPr>
      </w:pPr>
    </w:p>
    <w:p>
      <w:pPr>
        <w:ind w:left="120"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liquidity of any trading market that currently exists for the Old Notes may be adversely affected by the exchange offer, and holders who fail to participate in the exchange offer may find it more difficult to sell their Old Notes after the exchange offer is completed.</w:t>
      </w:r>
    </w:p>
    <w:p>
      <w:pPr>
        <w:spacing w:after="0" w:line="51"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To the extent tenders of Old Notes for exchange in the exchange offer are accepted by us and the exchange offer is completed, the trading market for the Old Notes that remain outstanding following the completion of the exchange offer may be significantly more limited. The remaining Old Notes may command lower prices than comparable issues of securities with greater market liquidity and, if they currently qualify for inclusion in certain indices, may no longer qualify for inclusion. Reduced market values and reduced liquidity may also make the trading prices of the remaining Old Notes more volatile. As a result, the market prices for the Old Notes that remain outstanding after the completion of the exchange offer may be adversely affected as a result of the exchange offer.</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Some holders who exchange their Old Notes may be deemed to be underwriters.</w:t>
      </w:r>
    </w:p>
    <w:p>
      <w:pPr>
        <w:spacing w:after="0" w:line="121" w:lineRule="exact"/>
        <w:rPr>
          <w:sz w:val="20"/>
          <w:szCs w:val="20"/>
          <w:color w:val="auto"/>
        </w:rPr>
      </w:pPr>
    </w:p>
    <w:p>
      <w:pPr>
        <w:ind w:left="120" w:firstLine="440"/>
        <w:spacing w:after="0" w:line="274" w:lineRule="auto"/>
        <w:rPr>
          <w:sz w:val="20"/>
          <w:szCs w:val="20"/>
          <w:color w:val="auto"/>
        </w:rPr>
      </w:pPr>
      <w:r>
        <w:rPr>
          <w:rFonts w:ascii="Times New Roman" w:cs="Times New Roman" w:eastAsia="Times New Roman" w:hAnsi="Times New Roman"/>
          <w:sz w:val="17"/>
          <w:szCs w:val="17"/>
          <w:color w:val="auto"/>
        </w:rPr>
        <w:t>Based on interpretations of the staff of the SEC contained in certain no action letters addressed to other parties, we believe that you may offer for resale, resell or otherwise transfer the New Notes without compliance with the registration and prospectus delivery requirements of the Securities Act. However, in some instances described in this prospectus under “Plan of Distribution,” certain holders of New Notes will remain obligated to comply with the registration and prospectus delivery requirements of the Securities Act to transfer the New Notes. If such a holder transfers any New Notes without delivering a prospectus meeting the requirements of the Securities Act or without an applicable exemption from registration under the Securities Act, such a holder may incur liability under the Securities Act. We do not and will not assume, or indemnify such a holder against, such liability.</w:t>
      </w:r>
    </w:p>
    <w:p>
      <w:pPr>
        <w:spacing w:after="0" w:line="27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 exchange offer may be cancelled or delayed.</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consummation of the exchange offer is subject to, and conditional upon, the satisfaction or waiver of the conditions discussed under “The Exchange Offer—Conditions.” We may, at our option and in our sole discretion, waive any such conditions. Even if the exchange offer is completed, the exchange offer may not be completed on the schedule described in this prospectus. Accordingly, holders participating in the exchange offer may have to wait longer than expected to receive their New Notes, during which time such holders will not be able to effect transfers of their Old Notes tendered for exchange.</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the Notes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 notes will be unsecured and subordinated to any existing and future senior indebtedness.</w:t>
      </w:r>
    </w:p>
    <w:p>
      <w:pPr>
        <w:spacing w:after="0" w:line="121" w:lineRule="exact"/>
        <w:rPr>
          <w:sz w:val="20"/>
          <w:szCs w:val="20"/>
          <w:color w:val="auto"/>
        </w:rPr>
      </w:pPr>
    </w:p>
    <w:p>
      <w:pPr>
        <w:ind w:left="120" w:right="140" w:firstLine="440"/>
        <w:spacing w:after="0" w:line="255" w:lineRule="auto"/>
        <w:rPr>
          <w:sz w:val="20"/>
          <w:szCs w:val="20"/>
          <w:color w:val="auto"/>
        </w:rPr>
      </w:pPr>
      <w:r>
        <w:rPr>
          <w:rFonts w:ascii="Times New Roman" w:cs="Times New Roman" w:eastAsia="Times New Roman" w:hAnsi="Times New Roman"/>
          <w:sz w:val="18"/>
          <w:szCs w:val="18"/>
          <w:color w:val="auto"/>
        </w:rPr>
        <w:t xml:space="preserve">The notes will be subordinated obligations of the Company. Accordingly, they will be junior in right of payment to any existing and all future senior indebtedness, and in certain events of insolvency, to other financial obligations. Our senior indebtedness includes all indebtedness, except indebtedness that is expressly subordinated to or ranked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with the notes, subject to certain exceptions. The notes will rank equally with all other unsecured subordinated indebtedness of the Company issued in the future under the indenture between the Company, as issuer, and Wilmington Trust, National Association, as trustee (the “Indenture”). In addition, the notes will be structurally subordinated to all existing and future indebtedness, liabilities and other obligations, including deposits, of our subsidiaries, including the Bank. As of September 30, 2025, on a consolidated basis, we had liabilities of $2.6 billion, of which $2.5 billion rank senior to the notes and $11 million rank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with the notes.</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100"/>
          </w:cols>
          <w:pgMar w:left="320" w:top="455" w:right="47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In addition, the notes will not be secured by any of our assets. As a result, the notes will be effectively subordinated to all of our secured indebtedness to the extent of the value of the assets securing such indebtedness. The Indenture governing the notes does not limit the amount of senior indebtedness and other financial obligations or secured obligations that we or our subsidiaries may incur.</w:t>
      </w:r>
    </w:p>
    <w:p>
      <w:pPr>
        <w:spacing w:after="0" w:line="176"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As a result of the subordination provisions described above, holders of the notes may not be fully repaid in the event of our bankruptcy, liquidation or reorganization.</w:t>
      </w:r>
    </w:p>
    <w:p>
      <w:pPr>
        <w:spacing w:after="0" w:line="266" w:lineRule="exact"/>
        <w:rPr>
          <w:sz w:val="20"/>
          <w:szCs w:val="20"/>
          <w:color w:val="auto"/>
        </w:rPr>
      </w:pPr>
    </w:p>
    <w:p>
      <w:pPr>
        <w:jc w:val="both"/>
        <w:ind w:left="120" w:right="1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notes will not be insured or guaranteed by the FDIC, any other governmental agency or any of our subsidiaries. The notes will be structurally subordinated to the indebtedness and other liabilities of our subsidiaries, which means that creditors of our subsidiaries generally will be paid from those subsidiaries’ assets before holders of the notes would have any claims to those assets.</w:t>
      </w:r>
    </w:p>
    <w:p>
      <w:pPr>
        <w:spacing w:after="0" w:line="67"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The notes are not savings accounts, deposits or other obligations of the Bank or any of our non-bank subsidiaries and are not insured or guaranteed by the FDIC or any other governmental agency or public or private insurer. The notes are obligations of the Company only and are neither obligations of, nor guaranteed by, any of our subsidiaries. The notes will be structurally subordinated to all existing and future indebtedness and other liabilities of our subsidiaries, which means that creditors of our subsidiaries (including, in the case of the Bank, its depositors) generally will be paid from those subsidiaries’ assets before holders of the notes would have any claims to those assets. Even if we become a creditor of any of our subsidiaries, our rights as a creditor would be subordinate to any security interest in the assets of that subsidiary and any debt of that subsidiary senior to that held by us, and our rights could otherwise be subordinated to the rights of other creditors and depositors of that subsidiary. Furthermore, none of our subsidiaries is under any obligation to make payments to us, and any payments to us would depend on the earnings or financial condition of our subsidiaries and various business considerations. Statutory, contractual or other restrictions also limit our subsidiaries’ ability to pay dividends or make distributions, loans or advances to us. For these reasons, we may not have access to any assets or cash flows of our subsidiaries to make interest and principal payments on the notes.</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 notes include limited covenants and do not restrict our ability to incur additional debt.</w:t>
      </w:r>
    </w:p>
    <w:p>
      <w:pPr>
        <w:spacing w:after="0" w:line="121" w:lineRule="exact"/>
        <w:rPr>
          <w:sz w:val="20"/>
          <w:szCs w:val="20"/>
          <w:color w:val="auto"/>
        </w:rPr>
      </w:pPr>
    </w:p>
    <w:p>
      <w:pPr>
        <w:ind w:left="120" w:right="120" w:firstLine="440"/>
        <w:spacing w:after="0" w:line="256" w:lineRule="auto"/>
        <w:rPr>
          <w:sz w:val="20"/>
          <w:szCs w:val="20"/>
          <w:color w:val="auto"/>
        </w:rPr>
      </w:pPr>
      <w:r>
        <w:rPr>
          <w:rFonts w:ascii="Times New Roman" w:cs="Times New Roman" w:eastAsia="Times New Roman" w:hAnsi="Times New Roman"/>
          <w:sz w:val="18"/>
          <w:szCs w:val="18"/>
          <w:color w:val="auto"/>
        </w:rPr>
        <w:t>The notes do not contain any financial covenants that would require us to achieve or maintain any minimum financial results relating to our financial condition, liquidity or results of operations or meet or exceed certain financial ratios as a general matter or to incur additional indebtedness or obligations or to maintain any reserves. Moreover, the notes do not contain any covenants prohibiting or limiting us or our subsidiaries from granting liens on assets to secure indebtedness or other obligations, repurchasing our stock or other securities, including any of the notes, or paying dividends or make other distributions to our shareholders. The notes do not contain any provision that would provide protection to the holders of the notes against a material decline in our credit quality.</w:t>
      </w:r>
    </w:p>
    <w:p>
      <w:pPr>
        <w:spacing w:after="0" w:line="187" w:lineRule="exact"/>
        <w:rPr>
          <w:sz w:val="20"/>
          <w:szCs w:val="20"/>
          <w:color w:val="auto"/>
        </w:rPr>
      </w:pPr>
    </w:p>
    <w:p>
      <w:pPr>
        <w:ind w:left="120" w:right="180" w:firstLine="440"/>
        <w:spacing w:after="0" w:line="258" w:lineRule="auto"/>
        <w:rPr>
          <w:sz w:val="20"/>
          <w:szCs w:val="20"/>
          <w:color w:val="auto"/>
        </w:rPr>
      </w:pPr>
      <w:r>
        <w:rPr>
          <w:rFonts w:ascii="Times New Roman" w:cs="Times New Roman" w:eastAsia="Times New Roman" w:hAnsi="Times New Roman"/>
          <w:sz w:val="18"/>
          <w:szCs w:val="18"/>
          <w:color w:val="auto"/>
        </w:rPr>
        <w:t>In addition, the notes do not limit the amount of additional indebtedness of the Company, the Bank or any of our other subsidiaries may incur or the amount of other obligations that the Company or the Bank may incur ranking senior or equal to the indebtedness evidenced by the notes. The issuance or guarantee of any such securities or the incurrence of any such other liabilities may reduce the amount, if any, recoverable by holders of the notes in the event of our insolvency, bankruptcy, liquidation, dissolution, winding up or similar proceeding, and may limit our ability to meet our obligations under the notes.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Payments on the notes will depend on receipt of dividends and distributions from our subsidiaries</w:t>
      </w:r>
    </w:p>
    <w:p>
      <w:pPr>
        <w:spacing w:after="0" w:line="121" w:lineRule="exact"/>
        <w:rPr>
          <w:sz w:val="20"/>
          <w:szCs w:val="20"/>
          <w:color w:val="auto"/>
        </w:rPr>
      </w:pPr>
    </w:p>
    <w:p>
      <w:pPr>
        <w:ind w:left="120" w:right="540" w:firstLine="440"/>
        <w:spacing w:after="0" w:line="282" w:lineRule="auto"/>
        <w:rPr>
          <w:sz w:val="20"/>
          <w:szCs w:val="20"/>
          <w:color w:val="auto"/>
        </w:rPr>
      </w:pPr>
      <w:r>
        <w:rPr>
          <w:rFonts w:ascii="Times New Roman" w:cs="Times New Roman" w:eastAsia="Times New Roman" w:hAnsi="Times New Roman"/>
          <w:sz w:val="18"/>
          <w:szCs w:val="18"/>
          <w:color w:val="auto"/>
        </w:rPr>
        <w:t>We are a bank holding company and we conduct substantially all of our operations through subsidiaries, including the Bank. We depend on dividends, distributions and other payments from our subsidiaries to meet our obligations, including to fund payments on the notes.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120"/>
          </w:cols>
          <w:pgMar w:left="320" w:top="455" w:right="45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We may generally declare a dividend from retained net profits which accrued prior to the preceding two years, but we must, before the declaration of a dividend on our common stock, under applicable Florida law, carry 20% of our net profits for such preceding period as is covered by the dividend to our surplus fund, until the same shall at least equal the amount of our common stock and preferred stock, if any, then issued and outstanding. Under Florida law, we are prohibited from declaring a dividend at any time at which our net income from the current year combined with the retained net income from the preceding two years is a loss or which would cause our capital accounts to fall below the minimum amount required by law, regulation, order, or any written agreement with a state or federal regulatory agency. Furthermore, under applicable FDIC regulations and policy, the Bank must obtain the prior approval of the FDIC before effecting a cash dividend or other capital distribution. Similarly, we have agreed to notify the Federal Reserve before declaring and paying any dividends on our Class A common stock. As of September 30, 2025, the Bank would need prior regulatory approval to pay a dividend to the Company. Also, the Company’s right to participate in a distribution of assets upon a subsidiary’s liquidation or reorganization is subject to the prior claims of the subsidiary’s creditors. In the event the Bank is unable to pay dividends to us, we may not be able to service any debt we may incur, which could have a material adverse effect on our business, financial condition, results of operations and growth prospects.</w:t>
      </w:r>
    </w:p>
    <w:p>
      <w:pPr>
        <w:spacing w:after="0" w:line="190"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The Bank also may not pay dividends if payment would cause it to become undercapitalized or if it is already undercapitalized and must maintain a common equity Tier 1 capital conservation buffer of greater than 2.5% to avoid becoming subject to restrictions on capital distributions, including dividends. Further, contractual or other restrictions may also limit our subsidiaries’ abilities to pay dividends or make distributions, loans or advances to us. See the information under “Regulation and Supervision” in Item 1, “Business,” in our annual report on Form 10-K for the year ended December 31, 2024. For these reasons, we may not have access to any assets or cash flow of our subsidiaries to make principal or interest payments on the notes.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generate sufficient cash to service all of our debt, including the notes.</w:t>
      </w:r>
    </w:p>
    <w:p>
      <w:pPr>
        <w:spacing w:after="0" w:line="121" w:lineRule="exact"/>
        <w:rPr>
          <w:sz w:val="20"/>
          <w:szCs w:val="20"/>
          <w:color w:val="auto"/>
        </w:rPr>
      </w:pPr>
    </w:p>
    <w:p>
      <w:pPr>
        <w:ind w:left="120" w:right="140" w:firstLine="440"/>
        <w:spacing w:after="0" w:line="255" w:lineRule="auto"/>
        <w:rPr>
          <w:sz w:val="20"/>
          <w:szCs w:val="20"/>
          <w:color w:val="auto"/>
        </w:rPr>
      </w:pPr>
      <w:r>
        <w:rPr>
          <w:rFonts w:ascii="Times New Roman" w:cs="Times New Roman" w:eastAsia="Times New Roman" w:hAnsi="Times New Roman"/>
          <w:sz w:val="18"/>
          <w:szCs w:val="18"/>
          <w:color w:val="auto"/>
        </w:rPr>
        <w:t>Our ability to make scheduled payments of principal and interest, or to satisfy our obligations in respect of our debt or to refinance our debt, will depend on our future performance of our operating subsidiaries. Prevailing economic conditions (including interest rates), regulatory constraints, including, without limitation, limiting distributions to us from the Bank and required capital levels with respect to the Bank and financial, business and other factors, many of which are beyond our control, will also affect our ability to meet these needs. Our subsidiaries may not be able to generate sufficient cash flows from operations, or we may be unable to obtain future borrowings in an amount sufficient to enable us to pay our debt, or to fund our other liquidity needs. We may need to refinance all or a portion of our debt on or before maturity. We may not be able to refinance any of our debt when needed (including, without limitation, upon commencement of the floating rate period) on commercially reasonable terms or at all.</w:t>
      </w:r>
    </w:p>
    <w:p>
      <w:pPr>
        <w:spacing w:after="0" w:line="293" w:lineRule="exact"/>
        <w:rPr>
          <w:sz w:val="20"/>
          <w:szCs w:val="20"/>
          <w:color w:val="auto"/>
        </w:rPr>
      </w:pPr>
    </w:p>
    <w:p>
      <w:pPr>
        <w:ind w:lef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Regulatory guidelines may restrict our ability to pay the principal of, and accrued and unpaid interest on, the notes, regardless of whether we are the subject of an insolvency proceeding.</w:t>
      </w:r>
    </w:p>
    <w:p>
      <w:pPr>
        <w:spacing w:after="0" w:line="51"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As a bank holding company, our ability to pay the principal of, and interest on, the notes is subject to the rules and guidelines of the Federal Reserve regarding capital adequacy. We intend to treat the notes as “Tier 2 capital” under these rules and guidelines. The Federal Reserve guidelines generally require us to review the effects of the cash payment of Tier 2 capital instruments, such as the notes, on our overall financial condition. The guidelines also require that we review our net income for the current and past four fiscal quarters, and the amounts we have paid on Tier 2 capital instruments for those periods, as well as our projected rate of earnings retention. Moreover, pursuant to federal law and Federal Reserve regulations, as a bank holding company, we are required to act as a source of financial and managerial strength to the Bank and commit resources to its support, including, without limitation, the guarantee of its capital plans if it is undercapitalized. Such support may be required at times when we may not otherwise be inclined or able to provide it. As a result of the foregoing, we may be unable to pay accrued interest on the notes on one or more of the scheduled interest payment dates, or at any other time, or the principal of the notes at the maturity of the notes.</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120"/>
          </w:cols>
          <w:pgMar w:left="320" w:top="455" w:right="45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If we were to be the subject of a bankruptcy proceeding under Chapter 11 of the U.S. Bankruptcy Code, then the bankruptcy trustee would be deemed to have assumed, and would be required to cure, immediately any deficit under any commitment we have to any of the federal banking agencies to maintain the capital of the Bank, and any other insured depository institution for which we have such a responsibility, and any claim for breach of such obligation would generally have priority over most other unsecured claims.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 notes are subject to limited rights of acceleration.</w:t>
      </w:r>
    </w:p>
    <w:p>
      <w:pPr>
        <w:spacing w:after="0" w:line="121"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Payment of principal of the notes may be accelerated only in the case of certain bankruptcy-related events with respect to us. As a result, you have no right to accelerate the payment of principal of the notes if we fail to pay principal of or interest on the notes or if we fail in the performance of any of our other obligations under the notes. Our regulators can, in the event we or the Bank become subject to an enforcement action, prohibit the Bank from paying dividends to us, and prevent our payment of interest or principal on the notes and any dividends on our capital stock, but such limits will not permit acceleration of the notes.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An active trading market for the notes may not develop.</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The notes constitute a new issue of securities for which there is no existing trading market. We do not intend to apply for listing of the notes on any securities exchange or for quotation of the notes in any automated dealer quotation system. We cannot provide you with any assurance regarding whether a trading market for the notes will develop, the ability of holders of the notes to sell their notes or the prices at which holders may be able to sell their notes. You should also be aware that there may be a limited number of buyers when you decide to sell your notes. This may affect the price you receive for your notes or your ability to sell your notes at all. Investors in the notes may not be able to sell the notes at all or may not be able to sell the notes at prices that will provide them with a yield comparable to similar investments that have a developed secondary market, and may consequently suffer from increased pricing volatility and market risk.</w:t>
      </w:r>
    </w:p>
    <w:p>
      <w:pPr>
        <w:spacing w:after="0" w:line="293" w:lineRule="exact"/>
        <w:rPr>
          <w:sz w:val="20"/>
          <w:szCs w:val="20"/>
          <w:color w:val="auto"/>
        </w:rPr>
      </w:pPr>
    </w:p>
    <w:p>
      <w:pPr>
        <w:ind w:left="120" w:right="8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a trading market for the notes develops, changes in the debt markets, among others, could adversely affect your ability to liquidate your investment in the notes and the market price of the notes.</w:t>
      </w:r>
    </w:p>
    <w:p>
      <w:pPr>
        <w:spacing w:after="0" w:line="51" w:lineRule="exact"/>
        <w:rPr>
          <w:sz w:val="20"/>
          <w:szCs w:val="20"/>
          <w:color w:val="auto"/>
        </w:rPr>
      </w:pPr>
    </w:p>
    <w:p>
      <w:pPr>
        <w:ind w:left="120" w:right="20" w:firstLine="440"/>
        <w:spacing w:after="0" w:line="269" w:lineRule="auto"/>
        <w:rPr>
          <w:sz w:val="20"/>
          <w:szCs w:val="20"/>
          <w:color w:val="auto"/>
        </w:rPr>
      </w:pPr>
      <w:r>
        <w:rPr>
          <w:rFonts w:ascii="Times New Roman" w:cs="Times New Roman" w:eastAsia="Times New Roman" w:hAnsi="Times New Roman"/>
          <w:sz w:val="17"/>
          <w:szCs w:val="17"/>
          <w:color w:val="auto"/>
        </w:rPr>
        <w:t>If a market develops for the notes, the prices at which holders may be able to sell their notes may be affected, potentially adversely, by a number of factors. These factors include: the method of calculating the principal, premium, if any, interest or other amounts payable, if any, on the notes; the time remaining to the maturity of the notes; the ranking of the notes; the redemption or repayment features of the notes; the aggregate amount outstanding of the notes; the outstanding amount of subordinated notes with terms identical to the notes offered hereby; the prevailing interest rates being paid by other companies similar to us; changes in U.S. interest rates; whether the ratings on the notes or us provided by any rating agency have changed; our financial condition, financial performance and future prospects; the level, direction and volatility of market interest rates generally; general economic conditions of the capital markets in the United States; geopolitical conditions and other financial, political, regulatory, and judicial events that affect the capital markets generally; the extent of any market-making activities, if any, with respect to the notes; and the operating performance of the Bank. The condition of the financial markets and prevailing interest rates have fluctuated significantly in the past and are likely to fluctuate in the future. Such fluctuations could adversely affect the trading market (if any) for, and the market price of, the notes. Often, the only way to liquidate your investment in the notes prior to maturity will be to sell the notes. At that time, there may be a very illiquid market for the notes or no market at all.</w:t>
      </w:r>
    </w:p>
    <w:p>
      <w:pPr>
        <w:spacing w:after="0" w:line="286" w:lineRule="exact"/>
        <w:rPr>
          <w:sz w:val="20"/>
          <w:szCs w:val="20"/>
          <w:color w:val="auto"/>
        </w:rPr>
      </w:pPr>
    </w:p>
    <w:p>
      <w:pPr>
        <w:ind w:left="120"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Beginning on the fifth anniversary of the issuance of the notes, or at any time in the case of certain events, the notes may be redeemed at our option, which limits the ability of holders of the notes to accrue interest over the full stated term of the notes.</w:t>
      </w:r>
    </w:p>
    <w:p>
      <w:pPr>
        <w:spacing w:after="0" w:line="51"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Subject to the prior approval of the Federal Reserve (or, as and if applicable, the rules of any appropriate successor bank regulatory agency), to the extent that such approval is then required under applicable laws or</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120"/>
          </w:cols>
          <w:pgMar w:left="320" w:top="455" w:right="45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regulations, including capital regulations, we may, at our option, redeem the notes (i) in whole or in part, beginning with the interest payment date on</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August 15, 2030 and on any interest payment date thereafter and (ii) in whole but not in part, at any time upon the occurrence of:</w:t>
      </w:r>
    </w:p>
    <w:p>
      <w:pPr>
        <w:spacing w:after="0" w:line="112" w:lineRule="exact"/>
        <w:rPr>
          <w:sz w:val="20"/>
          <w:szCs w:val="20"/>
          <w:color w:val="auto"/>
        </w:rPr>
      </w:pPr>
    </w:p>
    <w:p>
      <w:pPr>
        <w:ind w:left="1080" w:right="100" w:hanging="424"/>
        <w:spacing w:after="0" w:line="261" w:lineRule="auto"/>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“Tier 2 Capital Event,” which is defined in the Indenture to mean receipt by us of a legal opinion of counsel experienced in such matters to the effect that the notes no longer qualify, or within 120 days of the date of such legal opinion, will not qualify, as Tier 2 capital (or its then equivalent), as a result of a change in law or regulation, or interpretation or application thereof, by any judicial, legislative or regulatory authority that becomes effective after the date of issuance of the notes;</w:t>
      </w:r>
    </w:p>
    <w:p>
      <w:pPr>
        <w:spacing w:after="0" w:line="85" w:lineRule="exact"/>
        <w:rPr>
          <w:rFonts w:ascii="Times New Roman" w:cs="Times New Roman" w:eastAsia="Times New Roman" w:hAnsi="Times New Roman"/>
          <w:sz w:val="18"/>
          <w:szCs w:val="18"/>
          <w:color w:val="auto"/>
        </w:rPr>
      </w:pPr>
    </w:p>
    <w:p>
      <w:pPr>
        <w:ind w:left="1080" w:right="20" w:hanging="424"/>
        <w:spacing w:after="0" w:line="256" w:lineRule="auto"/>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“Tax Event,” which is defined in the Indenture to mean the receipt by us of a legal opinion of counsel experienced in such matters to the effect that, as a result of any amendment to, or change (including any final and adopted (or enacted) prospective change) in, the laws (or any regulations thereunder) of the United States or any political subdivision or taxing authority thereof or therein, or as a result of any official administrative pronouncement or judicial decision interpreting or applying such laws or regulations, there exists a material risk that interest payable by us on the notes is not, or within 120 days after the receipt of such opinion will not be, deductible by us, in whole or in part, for United States federal income tax purposes; or</w:t>
      </w:r>
    </w:p>
    <w:p>
      <w:pPr>
        <w:spacing w:after="0" w:line="92" w:lineRule="exact"/>
        <w:rPr>
          <w:rFonts w:ascii="Times New Roman" w:cs="Times New Roman" w:eastAsia="Times New Roman" w:hAnsi="Times New Roman"/>
          <w:sz w:val="18"/>
          <w:szCs w:val="18"/>
          <w:color w:val="auto"/>
        </w:rPr>
      </w:pPr>
    </w:p>
    <w:p>
      <w:pPr>
        <w:jc w:val="both"/>
        <w:ind w:left="1080" w:right="180" w:hanging="424"/>
        <w:spacing w:after="0" w:line="266" w:lineRule="auto"/>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“Investment Company Event,” which is defined in the Indenture to mean receipt by us of a legal opinion from counsel experienced in such matters to the effect that there is a material risk that we are, or within 120 days of the date of such legal opinion, will be, required to register as an investment company pursuant to the Investment Company Act of 1940, as amended,</w:t>
      </w:r>
    </w:p>
    <w:p>
      <w:pPr>
        <w:spacing w:after="0" w:line="176" w:lineRule="exact"/>
        <w:rPr>
          <w:sz w:val="20"/>
          <w:szCs w:val="20"/>
          <w:color w:val="auto"/>
        </w:rPr>
      </w:pPr>
    </w:p>
    <w:p>
      <w:pPr>
        <w:ind w:left="120" w:right="60"/>
        <w:spacing w:after="0" w:line="256" w:lineRule="auto"/>
        <w:rPr>
          <w:sz w:val="20"/>
          <w:szCs w:val="20"/>
          <w:color w:val="auto"/>
        </w:rPr>
      </w:pPr>
      <w:r>
        <w:rPr>
          <w:rFonts w:ascii="Times New Roman" w:cs="Times New Roman" w:eastAsia="Times New Roman" w:hAnsi="Times New Roman"/>
          <w:sz w:val="18"/>
          <w:szCs w:val="18"/>
          <w:color w:val="auto"/>
        </w:rPr>
        <w:t>in each case at a redemption price equal to 100% of the principal amount of the notes to be redeemed plus accrued and unpaid interest to, but not including, the date of redemption. Any redemption of the notes will be subject to prior approval of the Federal Reserve, to the extent such approval is then required. There can be no assurance that the Federal Reserve will approve any redemption of the notes that we may propose. Furthermore, you should not expect us to redeem any notes when they first become redeemable or on any particular date thereafter. If we redeem the notes for any reason, you will not have the opportunity to continue to accrue and be paid interest to the stated maturity date and you may not be able to reinvest the redemption proceeds you receive in a similar security or in securities bearing similar interest rates or yields.</w:t>
      </w:r>
    </w:p>
    <w:p>
      <w:pPr>
        <w:spacing w:after="0" w:line="187"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Investors should not expect us to redeem the notes on or after the date on which they become redeemable at our option. Under Federal Reserve regulations, unless the Federal Reserve authorizes us in writing to do otherwise, we are not permitted to redeem the notes unless they are replaced with other Tier 2 capital instruments or unless we can demonstrate to the satisfaction of the Federal Reserve that, following redemption, we will continue to hold capital commensurate with our risk.</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 amount of interest payable on the notes will vary after the fifth anniversary of the issuance of the notes.</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During the fixed rate period, the notes will bear interest at a fixed interest rate per annum. Thereafter, the notes will bear interest at a floating rate per annum equal to the Benchmark rate (which is expected to be Three-Month Term SOFR), plus a spread, subject to certain provisions of the notes. The per annum interest rate that is determined at the reference time for each interest period will apply to the entire quarterly interest period following such determination date even if the Benchmark rate increases during that period.</w:t>
      </w:r>
    </w:p>
    <w:p>
      <w:pPr>
        <w:spacing w:after="0" w:line="180"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Floating rate notes bear additional significant risks not associated with fixed rate debt securities. These risks include fluctuation of the interest rates and the possibility that you will receive an amount of interest that is lower than expected. We have no control over a number of matters, including, without limitation, economic, financial, and political events, that are important in determining the existence, magnitude, and longevity of market volatility and other risks and their impact on the value of, or payments made on, the notes. In recent years, interest rates have been volatile, and that volatility may be expected in the future.</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120"/>
          </w:cols>
          <w:pgMar w:left="320" w:top="455" w:right="4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Our published credit ratings may not reflect all risks of an investment in the notes.</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published credit ratings of us or our indebtedness are an assessment by rating agencies of our ability to pay our debts when due. These ratings are not recommendations to purchase, hold or sell the notes, inasmuch as the ratings do not comment as to market price or suitability for a particular investor, are limited in scope, and do not address all material risks relating to an investment in the notes, but rather reflect only the view of each rating agency at the time the rating is issued. The published credit ratings assigned to the notes may not reflect the potential impact of all risks related to structure and other factors on any trading market for, or trading value of, the notes.</w:t>
      </w:r>
    </w:p>
    <w:p>
      <w:pPr>
        <w:spacing w:after="0" w:line="183"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Accordingly, you should consult your own financial and legal advisors as to the risks entailed by an investment in the notes and the suitability of investing in the notes in light of your particular circumstances.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 downgrade in our credit ratings or the ratings of our subsidiaries could have a material adverse impact on us.</w:t>
      </w:r>
    </w:p>
    <w:p>
      <w:pPr>
        <w:spacing w:after="0" w:line="121"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Rating agencies continuously evaluate us and our subsidiaries, and their ratings of our long-term and short-term debt are based on a number of factors, including financial strength, as well as factors not entirely within our control, such as conditions affecting the financial services industry generally. In light of these reviews and the continued focus on the financial services industry generally, we and our subsidiaries may not be able to maintain our current credit ratings. Ratings downgrades by a rating agency could have a significant and immediate impact on our funding and liquidity through cash obligations, reduced funding capacity and collateral triggers. A reduction in our or our subsidiaries’ credit ratings could also increase our borrowing costs and limit access to the capital markets.</w:t>
      </w:r>
    </w:p>
    <w:p>
      <w:pPr>
        <w:spacing w:after="0" w:line="187" w:lineRule="exact"/>
        <w:rPr>
          <w:sz w:val="20"/>
          <w:szCs w:val="20"/>
          <w:color w:val="auto"/>
        </w:rPr>
      </w:pPr>
    </w:p>
    <w:p>
      <w:pPr>
        <w:ind w:left="120" w:right="200" w:firstLine="440"/>
        <w:spacing w:after="0" w:line="261" w:lineRule="auto"/>
        <w:rPr>
          <w:sz w:val="20"/>
          <w:szCs w:val="20"/>
          <w:color w:val="auto"/>
        </w:rPr>
      </w:pPr>
      <w:r>
        <w:rPr>
          <w:rFonts w:ascii="Times New Roman" w:cs="Times New Roman" w:eastAsia="Times New Roman" w:hAnsi="Times New Roman"/>
          <w:sz w:val="18"/>
          <w:szCs w:val="18"/>
          <w:color w:val="auto"/>
        </w:rPr>
        <w:t>Downgrades in the credit or financial strength ratings assigned to the counterparties with whom we transact could create the perception that our financial condition will be adversely impacted as a result of potential future defaults by such counterparties. Additionally, we could be adversely affected by a general, negative perception of financial institutions caused by the downgrade of other financial institutions. Accordingly, ratings downgrades for other financial institutions could affect the market price of our stock and could limit our access to or increase our cost of capital.</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Investors should not rely on indicative or historical data concerning SOFR.</w:t>
      </w:r>
    </w:p>
    <w:p>
      <w:pPr>
        <w:spacing w:after="0" w:line="121"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The interest rate during the floating rate period will be determined using Three-Month Term SOFR (unless a Benchmark Transition Event and its related Benchmark Replacement Date occur with respect to Three-Month Term SOFR, in which case the rate of interest will be based on the next-available Benchmark Replacement, which is the sum of Compounded SOFR and the Benchmark Replacement Adjustment). In the following discussion of SOFR, when we refer to the notes, we mean the notes at any time during the floating rate period when the interest rate on the notes is or will be determined based on SOFR, including Three-Month Term SOFR.</w:t>
      </w:r>
    </w:p>
    <w:p>
      <w:pPr>
        <w:spacing w:after="0" w:line="183" w:lineRule="exact"/>
        <w:rPr>
          <w:sz w:val="20"/>
          <w:szCs w:val="20"/>
          <w:color w:val="auto"/>
        </w:rPr>
      </w:pPr>
    </w:p>
    <w:p>
      <w:pPr>
        <w:ind w:left="120" w:right="180" w:firstLine="440"/>
        <w:spacing w:after="0" w:line="256" w:lineRule="auto"/>
        <w:rPr>
          <w:sz w:val="20"/>
          <w:szCs w:val="20"/>
          <w:color w:val="auto"/>
        </w:rPr>
      </w:pPr>
      <w:r>
        <w:rPr>
          <w:rFonts w:ascii="Times New Roman" w:cs="Times New Roman" w:eastAsia="Times New Roman" w:hAnsi="Times New Roman"/>
          <w:sz w:val="18"/>
          <w:szCs w:val="18"/>
          <w:color w:val="auto"/>
        </w:rPr>
        <w:t>SOFR is published by the Federal Reserve Bank of New York (“FRBNY”) and is intended to be a broad measure of the cost of borrowing cash overnight collateralized by U.S. Treasury securities. FRBNY reports that SOFR includes all trades in the Broad General Collateral Rate, plus bilateral U.S. Treasury repurchase agreement (“repo”) transactions cleared through the delivery-versus-payment service offered by the Fixed Income Clearing Corporation (the “FICC”), a subsidiary of DTC. SOFR is filtered by FRBNY to remove a portion of the foregoing transactions considered to be “specials.” According to FRBNY, “specials” are repos for specific-issue collateral which take place at cash-lending rates below those for general collateral repos because cash providers are willing to accept a lesser return on their cash in order to obtain a particular security.</w:t>
      </w:r>
    </w:p>
    <w:p>
      <w:pPr>
        <w:spacing w:after="0" w:line="187"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FRBNY reports that SOFR is calculated as a volume-weighted median of transaction-level tri-party repo data collected from The Bank of New York Mellon, which currently acts as the clearing bank for the tri-party</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080"/>
          </w:cols>
          <w:pgMar w:left="320" w:top="455" w:right="49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500"/>
        <w:spacing w:after="0" w:line="282" w:lineRule="auto"/>
        <w:rPr>
          <w:sz w:val="20"/>
          <w:szCs w:val="20"/>
          <w:color w:val="auto"/>
        </w:rPr>
      </w:pPr>
      <w:r>
        <w:rPr>
          <w:rFonts w:ascii="Times New Roman" w:cs="Times New Roman" w:eastAsia="Times New Roman" w:hAnsi="Times New Roman"/>
          <w:sz w:val="18"/>
          <w:szCs w:val="18"/>
          <w:color w:val="auto"/>
        </w:rPr>
        <w:t>repo market, as well as General Collateral Finance Repo transaction data and data on bilateral U.S. Treasury repo transactions cleared through the FICC’s delivery-versus-payment service. FRBNY states that it obtains information from DTCC Solutions LLC, an affiliate of DTC.</w:t>
      </w:r>
    </w:p>
    <w:p>
      <w:pPr>
        <w:spacing w:after="0" w:line="162"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FRBNY currently publishes SOFR daily on its website at https://www.newyorkfed.org/markets/reference-rates/sofr. FRBNY states on its publication page for SOFR that use of SOFR is subject to important disclaimers, limitations and indemnification obligations, including that FRBNY may alter the methods of calculation, publication schedule, rate revision practices or availability of SOFR at any time without notice. The foregoing Internet website is an inactive textual reference only, meaning that the information contained on the website is not part of this document or incorporated by reference herein or therein.</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Changes in SOFR could adversely affect holders of the notes.</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Because SOFR is published by FRBNY based on data received from other sources, we have no control over its determination, calculation or publication. There is no assurance that SOFR will not be discontinued or fundamentally altered in a manner that is materially adverse to the interests of investors in the notes. If the manner in which SOFR is calculated is changed, that change may result in a reduction in the amount of interest that accrues on the notes during the floating rate period, which may adversely affect the trading prices of the notes. Further, if the Benchmark rate on the notes during the floating rate period on any determination date declines to zero or becomes negative, the interest rate will be deemed to equal zero. In addition, once the Benchmark rate for the notes for each interest period during the floating rate period is determined by the Calculation Agent on the determination date, interest on the notes shall accrue at such Benchmark rate for the applicable interest period and will not be subject to change during such interest period. There is no assurance that changes in SOFR could not have a material adverse effect on the yield on, value of and market for the notes.</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Term SOFR and SOFR may be more volatile than other benchmark or market rates.</w:t>
      </w:r>
    </w:p>
    <w:p>
      <w:pPr>
        <w:spacing w:after="0" w:line="121"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Since the initial publication of SOFR, daily changes in the rate have, on occasion, been more volatile than daily changes in other benchmark or market rates during corresponding periods, and SOFR may bear little or no relation to the historical actual or indicative data. In addition, although changes in Three-Month Term SOFR and Compounded SOFR generally are not expected to be as volatile as changes in daily levels of SOFR, the return on and value of the notes may fluctuate more than floating rate securities that are linked to less volatile rates.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 interest rate for the notes during the applicable floating rate period may be determined based on a rate other than Three-Month Term SOFR.</w:t>
      </w:r>
    </w:p>
    <w:p>
      <w:pPr>
        <w:spacing w:after="0" w:line="121"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Under the terms of the notes, the interest rate on the notes for each interest period during the applicable floating rate period will be based on Three-Month Term SOFR, a forward-looking term rate for a tenor of three months that will be based on SOFR. SOFR has a very limited history, and the future performance of SOFR cannot be predicted based on its limited historical performance. The level of SOFR during the applicable floating rate period for the notes may bear little or no relation to historical actual or indicative data. Prior observed patterns, if any, in the behavior of market variables and their relation to SOFR, such as correlations, may change in the future. While some pre-publication historical data have been released by the FRBNY, such analysis inherently involves assumptions, estimates and approximations, and hypothetical or historical performance data are not indicative of, and have no bearing on, the potential performance of SOFR. The future performance of SOFR is therefore impossible to predict, and no future performance of SOFR may be inferred from any of the historical actual or indicative data. Changes in the levels of SOFR will affect the interest rate of the notes during the applicable floating rate period and accordingly will affect the return on the notes and the market price of the notes, but it is impossible to predict whether such levels will rise or fall.</w:t>
      </w:r>
    </w:p>
    <w:p>
      <w:pPr>
        <w:spacing w:after="0" w:line="194"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Under the terms of the notes, we are expressly authorized to make determinations, decisions or elections with respect to technical, administrative or operational matters that we decide are appropriate to reflect the use of</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120"/>
          </w:cols>
          <w:pgMar w:left="320" w:top="455" w:right="45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jc w:val="both"/>
        <w:ind w:left="120"/>
        <w:spacing w:after="0" w:line="289" w:lineRule="auto"/>
        <w:rPr>
          <w:sz w:val="20"/>
          <w:szCs w:val="20"/>
          <w:color w:val="auto"/>
        </w:rPr>
      </w:pPr>
      <w:r>
        <w:rPr>
          <w:rFonts w:ascii="Times New Roman" w:cs="Times New Roman" w:eastAsia="Times New Roman" w:hAnsi="Times New Roman"/>
          <w:sz w:val="17"/>
          <w:szCs w:val="17"/>
          <w:color w:val="auto"/>
        </w:rPr>
        <w:t>Three-Month Term SOFR as the interest rate basis for the notes, which are defined in the terms of the notes as “Three-Month Term SOFR Conventions.” Our determination and implementation of any Three-Month Term SOFR Conventions could result in adverse consequences to the amount of interest that accrues on the notes during the applicable floating rate period, which could adversely affect the return on, value of and market for the notes.</w:t>
      </w:r>
    </w:p>
    <w:p>
      <w:pPr>
        <w:spacing w:after="0" w:line="2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Any Benchmark Replacement may not be the economic equivalent of Three-Month Term SOFR.</w:t>
      </w:r>
    </w:p>
    <w:p>
      <w:pPr>
        <w:spacing w:after="0" w:line="121"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Under the benchmark transition provisions of the notes, if the Calculation Agent determines that a Benchmark Transition Event and its related Benchmark Replacement Date have occurred with respect to Three-Month Term SOFR, then the floating interest rate on the notes for each interest period during the floating rate period will be determined using the next-available Benchmark Replacement (which may include a related Benchmark Replacement Adjustment). However, the Benchmark Replacement may not be the economic equivalent of Three-Month Term SOFR. For example, Compounded SOFR, which is used as part of the first-available Benchmark Replacement, is the compounded average of the daily SOFR calculated in arrears, while Three-Month Term SOFR is intended to be a forward-looking rate with a tenor of three months. Further, the ISDA Fallback Rate, which is another Benchmark Replacement, may change over time.</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 implementation of Benchmark Replacement Conforming Changes could adversely affect holders of the notes.</w:t>
      </w:r>
    </w:p>
    <w:p>
      <w:pPr>
        <w:spacing w:after="0" w:line="121" w:lineRule="exact"/>
        <w:rPr>
          <w:sz w:val="20"/>
          <w:szCs w:val="20"/>
          <w:color w:val="auto"/>
        </w:rPr>
      </w:pPr>
    </w:p>
    <w:p>
      <w:pPr>
        <w:ind w:left="120" w:right="160" w:firstLine="440"/>
        <w:spacing w:after="0" w:line="272" w:lineRule="auto"/>
        <w:rPr>
          <w:sz w:val="20"/>
          <w:szCs w:val="20"/>
          <w:color w:val="auto"/>
        </w:rPr>
      </w:pPr>
      <w:r>
        <w:rPr>
          <w:rFonts w:ascii="Times New Roman" w:cs="Times New Roman" w:eastAsia="Times New Roman" w:hAnsi="Times New Roman"/>
          <w:sz w:val="17"/>
          <w:szCs w:val="17"/>
          <w:color w:val="auto"/>
        </w:rPr>
        <w:t>Under the benchmark transition provisions of the notes, if Three-Month Term SOFR has been discontinued or if a particular Benchmark Replacement or Benchmark Replacement Adjustment cannot be determined, then the next-available Benchmark Replacement or Benchmark Replacement Adjustment will apply. These replacement rates and adjustments may be selected or formulated by: (i) the Relevant Governmental Body;</w:t>
      </w:r>
    </w:p>
    <w:p>
      <w:pPr>
        <w:spacing w:after="0" w:line="2" w:lineRule="exact"/>
        <w:rPr>
          <w:sz w:val="20"/>
          <w:szCs w:val="20"/>
          <w:color w:val="auto"/>
        </w:rPr>
      </w:pPr>
    </w:p>
    <w:p>
      <w:pPr>
        <w:ind w:left="120" w:right="80" w:hanging="4"/>
        <w:spacing w:after="0" w:line="251" w:lineRule="auto"/>
        <w:tabs>
          <w:tab w:leader="none" w:pos="38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ISDA; or (iii) in certain circumstances, us. In addition, the benchmark transition provisions expressly authorize us to make certain changes, which are defined in the terms of the notes as “Benchmark Replacement Conforming Changes,” with respect to, among other things, the determination of interest periods, and the timing and frequency of determining rates and making payments of interest. The application of a Benchmark Replacement and Benchmark Replacement Adjustment, and any implementation of Benchmark Replacement Conforming Changes, could result in adverse consequences to the amount of interest that accrues on the notes during any interest period during the floating rate period, which could adversely affect the yield on, value of and market for the notes. Further, there is no assurance that the characteristics of any Benchmark Replacement will be similar to the then-current Benchmark rate that it is replacing, or that any Benchmark Replacement will produce the economic equivalent of the then-current Benchmark rate that it is replacing.</w:t>
      </w:r>
    </w:p>
    <w:p>
      <w:pPr>
        <w:spacing w:after="0" w:line="194"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Also, since SOFR is a relatively new market index, SOFR-linked debt securities likely will have no established trading market when issued, and an established trading market may never develop or may not be very liquid. Market terms for debt securities indexed to SOFR, such as the spread over the index reflected in interest rate provisions, may evolve over time, and trading prices of the notes may be lower than those of later-issued SOFR-linked debt securities as a result. Similarly, if SOFR does not prove to be widely used in securities similar to the notes, the trading price of the notes may be lower than those of debt securities linked to such rates that are more widely used. Debt securities indexed to SOFR (as the notes will be) may not be able to be sold at all or may not be able to be sold at prices that will provide a yield comparable to similar investments that have a developed secondary market, and may consequently suffer from increased pricing volatility and market risk.</w:t>
      </w:r>
    </w:p>
    <w:p>
      <w:pPr>
        <w:spacing w:after="0" w:line="293" w:lineRule="exact"/>
        <w:rPr>
          <w:sz w:val="20"/>
          <w:szCs w:val="20"/>
          <w:color w:val="auto"/>
        </w:rPr>
      </w:pPr>
    </w:p>
    <w:p>
      <w:pPr>
        <w:ind w:left="120"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or an affiliate of ours will or could have authority to make determinations and elections that could affect the return on, value of and market for the notes.</w:t>
      </w:r>
    </w:p>
    <w:p>
      <w:pPr>
        <w:spacing w:after="0" w:line="51"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Under the terms of the notes, we may make certain determinations, decisions and elections with respect to the Benchmark rate on the notes during the floating rate period, including, without limitation, any determination, decision or election required to be made by the Calculation Agent that the Calculation Agent fails to make. We</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120"/>
          </w:cols>
          <w:pgMar w:left="320" w:top="455" w:right="4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will make any such determination, decision or election in our sole discretion, and any such determination, decision or election that we make could affect the amount of interest that accrues on the notes during any interest period in the floating rate period. If the Calculation Agent fails, when required, to make a determination that a Benchmark Transition Event and its related Benchmark Replacement Date have occurred, or fails, when required, to determine the Benchmark Replacement and Benchmark Replacement Adjustment, then we will make those determinations in our sole discretion. Furthermore, we or an affiliate of ours may assume the duties of Calculation Agent. We will act as the initial Calculation Agent and we cannot assure you that we will appoint an independent third-party Calculation Agent at any time. Any exercise of discretion by us under the terms of the notes, including, without limitation, any discretion exercised by us or by an affiliate acting as Calculation Agent, could present a conflict of interest. In making the required determinations, decisions and elections, we or an affiliate of ours acting as Calculation Agent may have economic interests that are adverse to the interest of the holders of the notes, and those determinations, decisions or elections could have a material adverse effect on the yield on, value of and market for the notes. All determinations, decisions or elections by us, or by us or an affiliate acting as Calculation Agent, under the terms of the notes will be conclusive and binding absent manifest error.</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 notes may be issued with original issue discount for U.S. federal income tax purposes.</w:t>
      </w:r>
    </w:p>
    <w:p>
      <w:pPr>
        <w:spacing w:after="0" w:line="121" w:lineRule="exact"/>
        <w:rPr>
          <w:sz w:val="20"/>
          <w:szCs w:val="20"/>
          <w:color w:val="auto"/>
        </w:rPr>
      </w:pPr>
    </w:p>
    <w:p>
      <w:pPr>
        <w:ind w:left="120" w:right="220" w:firstLine="440"/>
        <w:spacing w:after="0" w:line="261" w:lineRule="auto"/>
        <w:rPr>
          <w:sz w:val="20"/>
          <w:szCs w:val="20"/>
          <w:color w:val="auto"/>
        </w:rPr>
      </w:pPr>
      <w:r>
        <w:rPr>
          <w:rFonts w:ascii="Times New Roman" w:cs="Times New Roman" w:eastAsia="Times New Roman" w:hAnsi="Times New Roman"/>
          <w:sz w:val="18"/>
          <w:szCs w:val="18"/>
          <w:color w:val="auto"/>
        </w:rPr>
        <w:t>The notes may be issued with original issue discount for U.S. federal income tax purposes. In such case, holders subject to U.S. federal income taxation, whether on the cash or accrual method of tax accounting, generally would be required to include any amounts representing original issue discount in gross income (as ordinary income) as the original issue discount accrues on a constant yield to maturity basis, in advance of the receipt of cash payments to which such income is attributable.</w:t>
      </w:r>
    </w:p>
    <w:p>
      <w:pPr>
        <w:spacing w:after="0" w:line="11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080"/>
          </w:cols>
          <w:pgMar w:left="320" w:top="455" w:right="49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We will not receive any cash proceeds from the exchange offer. In consideration for issuing the New Notes as contemplated by this prospectus, we will receive in exchange Old Notes in like principal amount. We intend to cancel all Old Notes received in exchange for New Notes in the exchange offer.</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100"/>
          </w:cols>
          <w:pgMar w:left="320" w:top="455" w:right="47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THE EXCHANGE OFFER</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In connection with the issuance of the Old Notes on August 14, 2025, we entered into a registration rights agreement with the initial purchasers of the Old Notes, which provides for the exchange offer we are making pursuant to this prospectus. The exchange offer will permit eligible holders of Old Notes to exchange their Old Notes for New Notes that are identical in all material respects with the Old Notes, except that:</w:t>
      </w:r>
    </w:p>
    <w:p>
      <w:pPr>
        <w:spacing w:after="0" w:line="81" w:lineRule="exact"/>
        <w:rPr>
          <w:sz w:val="20"/>
          <w:szCs w:val="20"/>
          <w:color w:val="auto"/>
        </w:rPr>
      </w:pPr>
    </w:p>
    <w:p>
      <w:pPr>
        <w:ind w:left="1080" w:right="500" w:hanging="424"/>
        <w:spacing w:after="0" w:line="282"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New Notes have been registered with the SEC under the Securities Act and, as a result, will not bear any legend restricting their transfer;</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New Notes bear different CUSIP numbers from the Old Notes;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New Notes generally will not be subject to transfer restrictions;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New Notes will not be entitled to registration rights under the registration rights agreement or otherwise; and</w:t>
      </w:r>
    </w:p>
    <w:p>
      <w:pPr>
        <w:spacing w:after="0" w:line="130" w:lineRule="exact"/>
        <w:rPr>
          <w:rFonts w:ascii="Times New Roman" w:cs="Times New Roman" w:eastAsia="Times New Roman" w:hAnsi="Times New Roman"/>
          <w:sz w:val="18"/>
          <w:szCs w:val="18"/>
          <w:color w:val="auto"/>
        </w:rPr>
      </w:pPr>
    </w:p>
    <w:p>
      <w:pPr>
        <w:ind w:left="1080" w:right="300" w:hanging="424"/>
        <w:spacing w:after="0" w:line="282"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because the New Notes will not be entitled to registration rights, holders of the New Notes will not have the right to additional interest under the circumstances described in the registration rights agreement relating to our fulfillment of our registration obligations.</w:t>
      </w:r>
    </w:p>
    <w:p>
      <w:pPr>
        <w:spacing w:after="0" w:line="162"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The New Notes will evidence the same debt as the Old Notes. Holders of the New Notes will be entitled to the benefits of the indenture. Accordingly, the New Notes and the Old Notes will be treated as a single series of debt securities under the indenture. Old Notes that are not tendered for exchange in the exchange offer will remain outstanding and interest on those Old Notes will continue to accrue at the applicable interest rate and be subject to the terms of the indenture.</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exchange offer does not depend on any minimum aggregate principal amount of Old Notes being tendered for exchange.</w:t>
      </w:r>
    </w:p>
    <w:p>
      <w:pPr>
        <w:spacing w:after="0" w:line="225"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We intend to conduct the exchange offer in accordance with the provisions of the registration rights agreement and the applicable requirements of the Exchange Act, and the related rules and regulations of the SEC applicable to transactions of this type.</w:t>
      </w:r>
    </w:p>
    <w:p>
      <w:pPr>
        <w:spacing w:after="0" w:line="162" w:lineRule="exact"/>
        <w:rPr>
          <w:sz w:val="20"/>
          <w:szCs w:val="20"/>
          <w:color w:val="auto"/>
        </w:rPr>
      </w:pPr>
    </w:p>
    <w:p>
      <w:pPr>
        <w:ind w:left="120" w:right="180" w:firstLine="440"/>
        <w:spacing w:after="0" w:line="256" w:lineRule="auto"/>
        <w:rPr>
          <w:sz w:val="20"/>
          <w:szCs w:val="20"/>
          <w:color w:val="auto"/>
        </w:rPr>
      </w:pPr>
      <w:r>
        <w:rPr>
          <w:rFonts w:ascii="Times New Roman" w:cs="Times New Roman" w:eastAsia="Times New Roman" w:hAnsi="Times New Roman"/>
          <w:sz w:val="18"/>
          <w:szCs w:val="18"/>
          <w:color w:val="auto"/>
        </w:rPr>
        <w:t>We will be deemed to have accepted validly tendered Old Notes when and if we have given oral or written notice to the exchange agent of our acceptance of such Old Notes. Subject to the terms and conditions of this exchange offer, delivery of New Notes will be made by the exchange agent promptly after receipt of our notice of acceptance. The exchange agent will act as agent for the holders of Old Notes tendering their Old Notes for the purpose of receiving New Notes from us in exchange for such tendered and accepted Old Notes. If any tendered Old Notes are not accepted for exchange because of an invalid tender, the occurrence of other events described in this prospectus or otherwise, we will return or cause to be returned the certificates for any unaccepted Old Notes, at our expense, to the tendering holder promptly after the expiration of the exchange offer.</w:t>
      </w:r>
    </w:p>
    <w:p>
      <w:pPr>
        <w:spacing w:after="0" w:line="187" w:lineRule="exact"/>
        <w:rPr>
          <w:sz w:val="20"/>
          <w:szCs w:val="20"/>
          <w:color w:val="auto"/>
        </w:rPr>
      </w:pPr>
    </w:p>
    <w:p>
      <w:pPr>
        <w:ind w:left="120" w:right="240" w:firstLine="440"/>
        <w:spacing w:after="0" w:line="261" w:lineRule="auto"/>
        <w:rPr>
          <w:sz w:val="20"/>
          <w:szCs w:val="20"/>
          <w:color w:val="auto"/>
        </w:rPr>
      </w:pPr>
      <w:r>
        <w:rPr>
          <w:rFonts w:ascii="Times New Roman" w:cs="Times New Roman" w:eastAsia="Times New Roman" w:hAnsi="Times New Roman"/>
          <w:sz w:val="18"/>
          <w:szCs w:val="18"/>
          <w:color w:val="auto"/>
        </w:rPr>
        <w:t>If a holder of Old Notes validly tenders Old Notes in the exchange offer, the tendering holder will not be required to pay us brokerage commissions or fees. In addition, subject to the instructions in the letter of transmittal and certain limited exceptions described in this prospectus, the tendering holder will not have to pay transfer taxes for the exchange of Old Notes. Subject to certain exceptions described in this prospectus, we will pay all of the expenses in connection with the exchange offer, other than certain applicable taxes. See “—Fees and Expenses.”</w:t>
      </w:r>
    </w:p>
    <w:p>
      <w:pPr>
        <w:spacing w:after="0" w:line="180"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Holders of outstanding Old Notes do not have any appraisal, dissenters’ or similar rights in connection with the exchange offer. Outstanding Old Notes which are not tendered, or are tendered but not accepted, in connection with the exchange offer will remain outstanding. See “Risk Factors— Risks Related to the Exchange Offer—If you do not properly tender your Old Notes, you will continue to hold unregistered Old Notes and your ability to transfer Old Notes will be adversely affected.”</w:t>
      </w:r>
    </w:p>
    <w:p>
      <w:pPr>
        <w:spacing w:after="0" w:line="11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060"/>
          </w:cols>
          <w:pgMar w:left="320" w:top="455" w:right="51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b w:val="1"/>
          <w:bCs w:val="1"/>
          <w:color w:val="auto"/>
        </w:rPr>
        <w:t>WE ARE NOT MAKING ANY RECOMMENDATION TO THE HOLDERS OF THE OUTSTANDING OLD NOTES AS TO WHETHER TO TENDER OR REFRAIN FROM TENDERING ALL OR ANY PORTION OF THEIR OUTSTANDING OLD NOTES IN THE EXCHANGE OFFER. IN ADDITION, WE HAVE NOT AUTHORIZED ANYONE TO MAKE ANY SUCH RECOMMENDATION. HOLDERS OF THE OUTSTANDING OLD NOTES MUST MAKE THEIR OWN DECISION WHETHER TO TENDER PURSUANT TO THE EXCHANGE OFFER, AND, IF SO, THE AGGREGATE PRINCIPAL AMOUNT OF OUTSTANDING OLD NOTES TO TENDER AFTER READING THIS PROSPECTUS AND THE LETTER OF TRANSMITTAL AND CONSULTING WITH THEIR ADVISERS, IF ANY, BASED ON THEIR FINANCIAL POSITION AND INDIVIDUAL REQUIREMENTS.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Registration Rights Agreement</w:t>
      </w:r>
    </w:p>
    <w:p>
      <w:pPr>
        <w:spacing w:after="0" w:line="121"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The following provides a summary of certain terms of the registration rights agreement. This summary is qualified in its entirety by reference to the complete version of the registration rights agreement, which is incorporated by reference as an exhibit to the registration statement of which this prospectus is a part.</w:t>
      </w:r>
    </w:p>
    <w:p>
      <w:pPr>
        <w:spacing w:after="0" w:line="176"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Under the terms of the registration rights agreement that we entered into with the purchasers of the Old Notes at the time we issued the Old Notes, we agreed to register the New Notes and undertake this exchange offer. This exchange offer is intended to satisfy the rights of holders of Old Notes under that registration rights agreement. After the exchange offer is completed, we will have no further obligations, except under the limited circumstances described below, to provide for any exchange or undertake any further registration with respect to the Old Notes.</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Under the terms of the registration rights agreement, we agreed, among other things, to:</w:t>
      </w:r>
    </w:p>
    <w:p>
      <w:pPr>
        <w:spacing w:after="0" w:line="131" w:lineRule="exact"/>
        <w:rPr>
          <w:sz w:val="20"/>
          <w:szCs w:val="20"/>
          <w:color w:val="auto"/>
        </w:rPr>
      </w:pPr>
    </w:p>
    <w:p>
      <w:pPr>
        <w:ind w:left="1080" w:right="680" w:hanging="424"/>
        <w:spacing w:after="0" w:line="266"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 a registration statement with the SEC under the Securities Act with respect to a registered offer to exchange the Old Notes for substantially identical notes that do not contain transfer restrictions and will be registered under the Securities Act no later than November 12, 2025, which is the 90th day after August 14, 2025;</w:t>
      </w:r>
    </w:p>
    <w:p>
      <w:pPr>
        <w:spacing w:after="0" w:line="81" w:lineRule="exact"/>
        <w:rPr>
          <w:rFonts w:ascii="Times New Roman" w:cs="Times New Roman" w:eastAsia="Times New Roman" w:hAnsi="Times New Roman"/>
          <w:sz w:val="18"/>
          <w:szCs w:val="18"/>
          <w:color w:val="auto"/>
        </w:rPr>
      </w:pPr>
    </w:p>
    <w:p>
      <w:pPr>
        <w:ind w:left="1080" w:right="220" w:hanging="424"/>
        <w:spacing w:after="0" w:line="282"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our commercially reasonable efforts to cause that registration statement to become effective no later than January 11, 2026, which is the date that is 150 days after August 14, 2025;</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commercially reasonable efforts to cause such registration statement to remain effective until the closing of the exchange offer; and</w:t>
      </w:r>
    </w:p>
    <w:p>
      <w:pPr>
        <w:spacing w:after="0" w:line="130" w:lineRule="exact"/>
        <w:rPr>
          <w:rFonts w:ascii="Times New Roman" w:cs="Times New Roman" w:eastAsia="Times New Roman" w:hAnsi="Times New Roman"/>
          <w:sz w:val="18"/>
          <w:szCs w:val="18"/>
          <w:color w:val="auto"/>
        </w:rPr>
      </w:pPr>
    </w:p>
    <w:p>
      <w:pPr>
        <w:ind w:left="1080" w:right="220" w:hanging="424"/>
        <w:spacing w:after="0" w:line="282"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our commercially reasonable efforts to consummate the exchange offer no later than 45 days after the effective date of the exchange offer registration statement.</w:t>
      </w:r>
    </w:p>
    <w:p>
      <w:pPr>
        <w:spacing w:after="0" w:line="162" w:lineRule="exact"/>
        <w:rPr>
          <w:sz w:val="20"/>
          <w:szCs w:val="20"/>
          <w:color w:val="auto"/>
        </w:rPr>
      </w:pPr>
    </w:p>
    <w:p>
      <w:pPr>
        <w:ind w:left="120" w:right="220" w:firstLine="440"/>
        <w:spacing w:after="0" w:line="266" w:lineRule="auto"/>
        <w:rPr>
          <w:sz w:val="20"/>
          <w:szCs w:val="20"/>
          <w:color w:val="auto"/>
        </w:rPr>
      </w:pPr>
      <w:r>
        <w:rPr>
          <w:rFonts w:ascii="Times New Roman" w:cs="Times New Roman" w:eastAsia="Times New Roman" w:hAnsi="Times New Roman"/>
          <w:sz w:val="18"/>
          <w:szCs w:val="18"/>
          <w:color w:val="auto"/>
        </w:rPr>
        <w:t>The registration rights agreement also requires us to commence the exchange offer promptly after the effectiveness of the registration statement and to keep the exchange offer open for not less than 20 business days, or longer if required by applicable law, after the date on which notice of the exchange offer is mailed to the holders of the Old Notes.</w:t>
      </w:r>
    </w:p>
    <w:p>
      <w:pPr>
        <w:spacing w:after="0" w:line="176"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We also agreed to issue and exchange New Notes for all Old Notes validly tendered and not validly withdrawn before the expiration of the exchange offer. We are sending this prospectus, together with a letter of transmittal, to all the holders of the Old Notes known to us. For each Old Note validly tendered to us in the exchange offer and not validly withdrawn, the holder will receive a New Note having a principal amount equal to the principal amount of the tendered Old Note. Old Notes may be exchanged, and New Notes will be issued, only in minimum denominations of $100,000 and integral multiples of $1,000 in excess thereof.</w:t>
      </w:r>
    </w:p>
    <w:p>
      <w:pPr>
        <w:spacing w:after="0" w:line="183" w:lineRule="exact"/>
        <w:rPr>
          <w:sz w:val="20"/>
          <w:szCs w:val="20"/>
          <w:color w:val="auto"/>
        </w:rPr>
      </w:pPr>
    </w:p>
    <w:p>
      <w:pPr>
        <w:ind w:left="120" w:right="400" w:firstLine="440"/>
        <w:spacing w:after="0" w:line="266" w:lineRule="auto"/>
        <w:rPr>
          <w:sz w:val="20"/>
          <w:szCs w:val="20"/>
          <w:color w:val="auto"/>
        </w:rPr>
      </w:pPr>
      <w:r>
        <w:rPr>
          <w:rFonts w:ascii="Times New Roman" w:cs="Times New Roman" w:eastAsia="Times New Roman" w:hAnsi="Times New Roman"/>
          <w:sz w:val="18"/>
          <w:szCs w:val="18"/>
          <w:color w:val="auto"/>
        </w:rPr>
        <w:t>We further agreed that under certain circumstances we would either file a shelf registration statement with the SEC or designate an existing effective shelf registration statement of ours that would allow resales by certain holders of the Old Notes in lieu of such holders participating in the exchange offer.</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100"/>
          </w:cols>
          <w:pgMar w:left="320" w:top="455" w:right="47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Eligibility; Transferability</w:t>
      </w:r>
    </w:p>
    <w:p>
      <w:pPr>
        <w:spacing w:after="0" w:line="121" w:lineRule="exact"/>
        <w:rPr>
          <w:sz w:val="20"/>
          <w:szCs w:val="20"/>
          <w:color w:val="auto"/>
        </w:rPr>
      </w:pPr>
    </w:p>
    <w:p>
      <w:pPr>
        <w:ind w:left="120" w:right="240" w:firstLine="440"/>
        <w:spacing w:after="0" w:line="261" w:lineRule="auto"/>
        <w:rPr>
          <w:sz w:val="20"/>
          <w:szCs w:val="20"/>
          <w:color w:val="auto"/>
        </w:rPr>
      </w:pPr>
      <w:r>
        <w:rPr>
          <w:rFonts w:ascii="Times New Roman" w:cs="Times New Roman" w:eastAsia="Times New Roman" w:hAnsi="Times New Roman"/>
          <w:sz w:val="18"/>
          <w:szCs w:val="18"/>
          <w:color w:val="auto"/>
        </w:rPr>
        <w:t>We are making this exchange offer in reliance on interpretations of the staff of the SEC set forth in several no-action letters provided to other parties. We have not sought our own no-action letter from the staff of the SEC with respect to this particular exchange offer. However, based on these existing SEC staff interpretations, we believe that you, or any other person receiving New Notes, may offer for resale, resell or otherwise transfer the New Notes without complying with the registration and prospectus delivery requirements of the U.S. federal securities laws, if:</w:t>
      </w:r>
    </w:p>
    <w:p>
      <w:pPr>
        <w:spacing w:after="0" w:line="85" w:lineRule="exact"/>
        <w:rPr>
          <w:sz w:val="20"/>
          <w:szCs w:val="20"/>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are not, nor is any such person, our affiliate as such term is defined under Rule 405 under the Securities Act;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are, or the person receiving the New Notes is, acquiring the New Notes in the ordinary course of business;</w:t>
      </w:r>
    </w:p>
    <w:p>
      <w:pPr>
        <w:spacing w:after="0" w:line="130"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do not, nor does any such person, have an arrangement or understanding with any person to participate in any distribution (within the meaning of the Securities Act) of the New Notes;</w:t>
      </w:r>
    </w:p>
    <w:p>
      <w:pPr>
        <w:spacing w:after="0" w:line="67"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are not, or any such person is not, a broker-dealer registered under the Exchange Act, and you are not engaged in or such person is not engaged in, and do not intend to engage in, any distribution (within the meaning of the Securities Act) of the New Notes;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are not acting on behalf of any person who could not truthfully make these statements.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To participate in the exchange offer, you must represent as a holder of Old Notes that each of these statements is true.</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 addition, in order for broker-dealers registered under the Exchange Act to participate in the exchange offer, each such broker-dealer must also</w:t>
      </w:r>
    </w:p>
    <w:p>
      <w:pPr>
        <w:spacing w:after="0" w:line="27" w:lineRule="exact"/>
        <w:rPr>
          <w:sz w:val="20"/>
          <w:szCs w:val="20"/>
          <w:color w:val="auto"/>
        </w:rPr>
      </w:pPr>
    </w:p>
    <w:p>
      <w:pPr>
        <w:ind w:left="120" w:hanging="4"/>
        <w:spacing w:after="0" w:line="251" w:lineRule="auto"/>
        <w:tabs>
          <w:tab w:leader="none" w:pos="33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 that it is participating in the exchange offer for its own account and is exchanging Old Notes acquired as a result of market-making activities or other trading activities; (ii) confirm that it has not entered into any arrangement or understanding with us or any of our affiliates to distribute the New Notes; and (iii) acknowledge that it will deliver a prospectus meeting the requirements of the Securities Act in connection with any resale of the New Notes. The letter of transmittal to be delivered in connection with a tender of the Old Notes states that by acknowledging that it will deliver, and by delivering, a prospectus, a broker-dealer will not be deemed to admit that it is an underwriter within the meaning of the Securities Act. This prospectus, as it may be amended or supplemented from time to time, may be used by a broker-dealer in connection with resale of the New Notes received in exchange for the Old Notes where such Old Notes were acquired by such broker-dealer as a result of market-making activities or other trading activities. We have agreed that, for a period of 180 days following the expiration date, we will use commercially reasonable efforts to maintain the effectiveness of the exchange offer registration statement to expedite or facilitate the disposition of any New Notes by such broker-dealers.</w:t>
      </w:r>
    </w:p>
    <w:p>
      <w:pPr>
        <w:spacing w:after="0" w:line="193"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Any holder of Old Notes (i) who is our affiliate, (ii) who does not acquire the New Notes in the ordinary course of business, (iii) who intends to participate in the exchange offer for the purpose of distributing the New Notes or (iv) who is a broker-dealer who purchased the Old Notes directly from us:</w:t>
      </w:r>
    </w:p>
    <w:p>
      <w:pPr>
        <w:spacing w:after="0" w:line="81" w:lineRule="exact"/>
        <w:rPr>
          <w:sz w:val="20"/>
          <w:szCs w:val="20"/>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not be able to rely on the interpretation of the staff of the SEC set forth in the no-action letters described above;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not be able to tender Old Notes in the exchange offer; and</w:t>
      </w:r>
    </w:p>
    <w:p>
      <w:pPr>
        <w:spacing w:after="0" w:line="130"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must comply with the registration and prospectus delivery requirements of the Securities Act in connection with any sale or transfer of the New Notes, unless the sale or transfer is made pursuant to an exemption from those requirements.</w:t>
      </w:r>
    </w:p>
    <w:p>
      <w:pPr>
        <w:spacing w:after="0" w:line="162" w:lineRule="exact"/>
        <w:rPr>
          <w:sz w:val="20"/>
          <w:szCs w:val="20"/>
          <w:color w:val="auto"/>
        </w:rPr>
      </w:pPr>
    </w:p>
    <w:p>
      <w:pPr>
        <w:ind w:left="120" w:right="420" w:firstLine="440"/>
        <w:spacing w:after="0" w:line="282" w:lineRule="auto"/>
        <w:rPr>
          <w:sz w:val="20"/>
          <w:szCs w:val="20"/>
          <w:color w:val="auto"/>
        </w:rPr>
      </w:pPr>
      <w:r>
        <w:rPr>
          <w:rFonts w:ascii="Times New Roman" w:cs="Times New Roman" w:eastAsia="Times New Roman" w:hAnsi="Times New Roman"/>
          <w:sz w:val="18"/>
          <w:szCs w:val="18"/>
          <w:color w:val="auto"/>
        </w:rPr>
        <w:t>The exchange offer is not being made to, nor will we accept tenders for exchange from, holders of Old Notes in any jurisdiction in which the exchange offer or the acceptance of the exchange offer would not be in compliance with the securities or blue sky laws of such jurisdiction.</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120"/>
          </w:cols>
          <w:pgMar w:left="320" w:top="455" w:right="45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Expiration of the Exchange Offer; Extensions; Amendments</w:t>
      </w:r>
    </w:p>
    <w:p>
      <w:pPr>
        <w:spacing w:after="0" w:line="121" w:lineRule="exact"/>
        <w:rPr>
          <w:sz w:val="20"/>
          <w:szCs w:val="20"/>
          <w:color w:val="auto"/>
        </w:rPr>
      </w:pPr>
    </w:p>
    <w:p>
      <w:pPr>
        <w:ind w:left="120" w:right="160" w:firstLine="440"/>
        <w:spacing w:after="0" w:line="258" w:lineRule="auto"/>
        <w:rPr>
          <w:sz w:val="20"/>
          <w:szCs w:val="20"/>
          <w:color w:val="auto"/>
        </w:rPr>
      </w:pPr>
      <w:r>
        <w:rPr>
          <w:rFonts w:ascii="Times New Roman" w:cs="Times New Roman" w:eastAsia="Times New Roman" w:hAnsi="Times New Roman"/>
          <w:sz w:val="18"/>
          <w:szCs w:val="18"/>
          <w:color w:val="auto"/>
        </w:rPr>
        <w:t>The exchange offer will expire at 11:59 p.m., New York City time on February 11, 2026, which we refer to as the “expiration date,” unless we extend the exchange offer. If we extend the exchange offer, the expiration date will be the latest date and time to which the exchange offer is extended. To extend the exchange offer, we will notify the exchange agent and each registered holder of the Old Notes of any extension before 9:00 a.m., New York City time on the next business day after the previously scheduled expiration date. During any such extension, all Old Notes previously tendered will remain subject to the exchange offer and may be accepted for exchange by us.</w:t>
      </w:r>
    </w:p>
    <w:p>
      <w:pPr>
        <w:spacing w:after="0" w:line="183" w:lineRule="exact"/>
        <w:rPr>
          <w:sz w:val="20"/>
          <w:szCs w:val="20"/>
          <w:color w:val="auto"/>
        </w:rPr>
      </w:pPr>
    </w:p>
    <w:p>
      <w:pPr>
        <w:ind w:left="120" w:right="180" w:firstLine="440"/>
        <w:spacing w:after="0" w:line="258" w:lineRule="auto"/>
        <w:rPr>
          <w:sz w:val="20"/>
          <w:szCs w:val="20"/>
          <w:color w:val="auto"/>
        </w:rPr>
      </w:pPr>
      <w:r>
        <w:rPr>
          <w:rFonts w:ascii="Times New Roman" w:cs="Times New Roman" w:eastAsia="Times New Roman" w:hAnsi="Times New Roman"/>
          <w:sz w:val="18"/>
          <w:szCs w:val="18"/>
          <w:color w:val="auto"/>
        </w:rPr>
        <w:t>We reserve the right to extend the exchange offer, delay accepting any tendered Old Notes or, if any of the conditions described below under the heading “—Conditions” have not been satisfied, to terminate the exchange offer. We also reserve the right to amend the terms of the exchange offer in any manner. We will give oral or written notice of any delay, extension, termination or amendment to the exchange agent. We will keep the exchange offer open for not less than 20 business days, or longer if required by applicable law, after the date on which notice of the exchange offer is mailed to holders of the Old Notes.</w:t>
      </w:r>
    </w:p>
    <w:p>
      <w:pPr>
        <w:spacing w:after="0" w:line="183"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If we amend the exchange offer in a manner that we consider material, we will disclose that amendment by means of a prospectus supplement, and we will extend the exchange offer so that at least five business days remain in the exchange offer following notice of the material change.</w:t>
      </w:r>
    </w:p>
    <w:p>
      <w:pPr>
        <w:spacing w:after="0" w:line="162" w:lineRule="exact"/>
        <w:rPr>
          <w:sz w:val="20"/>
          <w:szCs w:val="20"/>
          <w:color w:val="auto"/>
        </w:rPr>
      </w:pPr>
    </w:p>
    <w:p>
      <w:pPr>
        <w:ind w:left="120" w:right="540" w:firstLine="440"/>
        <w:spacing w:after="0" w:line="282" w:lineRule="auto"/>
        <w:rPr>
          <w:sz w:val="20"/>
          <w:szCs w:val="20"/>
          <w:color w:val="auto"/>
        </w:rPr>
      </w:pPr>
      <w:r>
        <w:rPr>
          <w:rFonts w:ascii="Times New Roman" w:cs="Times New Roman" w:eastAsia="Times New Roman" w:hAnsi="Times New Roman"/>
          <w:sz w:val="18"/>
          <w:szCs w:val="18"/>
          <w:color w:val="auto"/>
        </w:rPr>
        <w:t>If we determine to make a public announcement of any delay, extension, amendment or termination of the exchange offer, we will do so by making a timely release through an appropriate news agency.</w:t>
      </w:r>
    </w:p>
    <w:p>
      <w:pPr>
        <w:spacing w:after="0" w:line="162" w:lineRule="exact"/>
        <w:rPr>
          <w:sz w:val="20"/>
          <w:szCs w:val="20"/>
          <w:color w:val="auto"/>
        </w:rPr>
      </w:pPr>
    </w:p>
    <w:p>
      <w:pPr>
        <w:ind w:left="120" w:right="400" w:firstLine="440"/>
        <w:spacing w:after="0" w:line="282" w:lineRule="auto"/>
        <w:rPr>
          <w:sz w:val="20"/>
          <w:szCs w:val="20"/>
          <w:color w:val="auto"/>
        </w:rPr>
      </w:pPr>
      <w:r>
        <w:rPr>
          <w:rFonts w:ascii="Times New Roman" w:cs="Times New Roman" w:eastAsia="Times New Roman" w:hAnsi="Times New Roman"/>
          <w:sz w:val="18"/>
          <w:szCs w:val="18"/>
          <w:color w:val="auto"/>
        </w:rPr>
        <w:t>If we terminate or withdraw the exchange offer, we will promptly pay the consideration offered, or return any Old Notes deposited, under the exchange offer as required by Rule 14e-1(c) under the Exchange Act.</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Conditions</w:t>
      </w:r>
    </w:p>
    <w:p>
      <w:pPr>
        <w:spacing w:after="0" w:line="121"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The exchange offer is not conditioned on any minimum aggregate principal amount of Old Notes being tendered or accepted for exchange. Notwithstanding any other term of the exchange offer, we will not be required to accept for exchange, or issue any New Notes for, any Old Notes, and may terminate or amend the exchange offer before the acceptance of the Old Notes, if:</w:t>
      </w:r>
    </w:p>
    <w:p>
      <w:pPr>
        <w:spacing w:after="0" w:line="81" w:lineRule="exact"/>
        <w:rPr>
          <w:sz w:val="20"/>
          <w:szCs w:val="20"/>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Old Notes are tendered to us other than in accordance with the terms and conditions of the exchange offer;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determine that the exchange offer violates any law, statute, rule, regulation or interpretation by the staff of the SEC; or</w:t>
      </w:r>
    </w:p>
    <w:p>
      <w:pPr>
        <w:spacing w:after="0" w:line="130" w:lineRule="exact"/>
        <w:rPr>
          <w:rFonts w:ascii="Times New Roman" w:cs="Times New Roman" w:eastAsia="Times New Roman" w:hAnsi="Times New Roman"/>
          <w:sz w:val="18"/>
          <w:szCs w:val="18"/>
          <w:color w:val="auto"/>
        </w:rPr>
      </w:pPr>
    </w:p>
    <w:p>
      <w:pPr>
        <w:ind w:left="1080" w:right="300" w:hanging="424"/>
        <w:spacing w:after="0" w:line="282" w:lineRule="auto"/>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or proceeding is instituted or threatened in any court or by or before any governmental agency relating to the exchange offer which, in our judgment, could reasonably be expected to impair our ability to proceed with the exchange offer.</w:t>
      </w:r>
    </w:p>
    <w:p>
      <w:pPr>
        <w:spacing w:after="0" w:line="162"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The conditions listed above are for our sole benefit and may be asserted by us regardless of the circumstances giving rise to any of these conditions. We may waive these conditions in our absolute discretion in whole or in part at any time and from time to time prior to the expiration date. Our failure at any time to exercise any of the above rights will not be considered a waiver of that right, and that right will be considered an ongoing right which we may assert at any time and from time to time.</w:t>
      </w:r>
    </w:p>
    <w:p>
      <w:pPr>
        <w:spacing w:after="0" w:line="180"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In addition, we will not accept for exchange any Old Notes tendered, and no New Notes will be issued in exchange for those Old Notes, if at any time any stop order is threatened or issued by the SEC with respect to the registration statement for the exchange offer and the New Notes or the qualification of the indenture under the Trust Indenture Act of 1939 (the “Trust Indenture Act”). In any such event, we must use our commercially reasonable efforts to obtain the withdrawal of any stop order as soon as practicable.</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120"/>
          </w:cols>
          <w:pgMar w:left="320" w:top="455" w:right="45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Further, we will not be obligated to accept for exchange the Old Notes of any holder that has not made to us the representations described under “—Eligibility; Transferability” and “Plan of Distribution.”</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Procedures for Tendering Old Notes</w:t>
      </w:r>
    </w:p>
    <w:p>
      <w:pPr>
        <w:spacing w:after="0" w:line="121" w:lineRule="exact"/>
        <w:rPr>
          <w:sz w:val="20"/>
          <w:szCs w:val="20"/>
          <w:color w:val="auto"/>
        </w:rPr>
      </w:pPr>
    </w:p>
    <w:p>
      <w:pPr>
        <w:ind w:left="120" w:right="460" w:firstLine="440"/>
        <w:spacing w:after="0" w:line="266" w:lineRule="auto"/>
        <w:rPr>
          <w:sz w:val="20"/>
          <w:szCs w:val="20"/>
          <w:color w:val="auto"/>
        </w:rPr>
      </w:pPr>
      <w:r>
        <w:rPr>
          <w:rFonts w:ascii="Times New Roman" w:cs="Times New Roman" w:eastAsia="Times New Roman" w:hAnsi="Times New Roman"/>
          <w:sz w:val="18"/>
          <w:szCs w:val="18"/>
          <w:color w:val="auto"/>
        </w:rPr>
        <w:t>In order to participate in the exchange offer, you must validly tender your Old Notes to the exchange agent as described below. It is your responsibility to validly tender your Old Notes. We have the right to waive any defects. However, we are not required to waive defects and are not required to notify you of defects in your tender.</w:t>
      </w:r>
    </w:p>
    <w:p>
      <w:pPr>
        <w:spacing w:after="0" w:line="176" w:lineRule="exact"/>
        <w:rPr>
          <w:sz w:val="20"/>
          <w:szCs w:val="20"/>
          <w:color w:val="auto"/>
        </w:rPr>
      </w:pPr>
    </w:p>
    <w:p>
      <w:pPr>
        <w:ind w:left="120" w:right="260" w:firstLine="440"/>
        <w:spacing w:after="0" w:line="282" w:lineRule="auto"/>
        <w:rPr>
          <w:sz w:val="20"/>
          <w:szCs w:val="20"/>
          <w:color w:val="auto"/>
        </w:rPr>
      </w:pPr>
      <w:r>
        <w:rPr>
          <w:rFonts w:ascii="Times New Roman" w:cs="Times New Roman" w:eastAsia="Times New Roman" w:hAnsi="Times New Roman"/>
          <w:sz w:val="18"/>
          <w:szCs w:val="18"/>
          <w:color w:val="auto"/>
        </w:rPr>
        <w:t>If you have any questions or need help in exchanging your Old Notes, please call the exchange agent, whose address and phone number are set forth in “—Exchange Agent.”</w:t>
      </w:r>
    </w:p>
    <w:p>
      <w:pPr>
        <w:spacing w:after="0" w:line="162" w:lineRule="exact"/>
        <w:rPr>
          <w:sz w:val="20"/>
          <w:szCs w:val="20"/>
          <w:color w:val="auto"/>
        </w:rPr>
      </w:pPr>
    </w:p>
    <w:p>
      <w:pPr>
        <w:ind w:left="120" w:right="240" w:firstLine="440"/>
        <w:spacing w:after="0" w:line="266" w:lineRule="auto"/>
        <w:rPr>
          <w:sz w:val="20"/>
          <w:szCs w:val="20"/>
          <w:color w:val="auto"/>
        </w:rPr>
      </w:pPr>
      <w:r>
        <w:rPr>
          <w:rFonts w:ascii="Times New Roman" w:cs="Times New Roman" w:eastAsia="Times New Roman" w:hAnsi="Times New Roman"/>
          <w:sz w:val="18"/>
          <w:szCs w:val="18"/>
          <w:color w:val="auto"/>
        </w:rPr>
        <w:t>Certain of the Old Notes were issued in book-entry form and are currently represented by global certificates held for the account of DTC. Accordingly, DTC will be the only entity that can tender your Old Notes for New Notes. Therefore, to tender Old Notes subject to the exchange offer and to obtain New Notes you must:</w:t>
      </w:r>
    </w:p>
    <w:p>
      <w:pPr>
        <w:spacing w:after="0" w:line="81" w:lineRule="exact"/>
        <w:rPr>
          <w:sz w:val="20"/>
          <w:szCs w:val="20"/>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 with DTC’s ATOP procedures described below; and</w:t>
      </w:r>
    </w:p>
    <w:p>
      <w:pPr>
        <w:spacing w:after="0" w:line="130" w:lineRule="exact"/>
        <w:rPr>
          <w:rFonts w:ascii="Times New Roman" w:cs="Times New Roman" w:eastAsia="Times New Roman" w:hAnsi="Times New Roman"/>
          <w:sz w:val="18"/>
          <w:szCs w:val="18"/>
          <w:color w:val="auto"/>
        </w:rPr>
      </w:pPr>
    </w:p>
    <w:p>
      <w:pPr>
        <w:ind w:left="1080" w:hanging="424"/>
        <w:spacing w:after="0" w:line="266"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exchange agent must receive a timely confirmation of a book-entry transfer of the Old Notes into its account at DTC through ATOP pursuant to the procedure for book-entry transfer described below, along with a properly transmitted “agent’s message” (as defined below), before the expiration date of the exchange offer.</w:t>
      </w:r>
    </w:p>
    <w:p>
      <w:pPr>
        <w:spacing w:after="0" w:line="176"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Following receipt, the exchange agent will establish an ATOP account with DTC for purposes of the exchange offer promptly after the commencement of the exchange offer. Any financial institution that is a DTC participant, including your broker or bank, may make a book-entry tender of outstanding Old Notes by causing the book-entry transfer of such Old Notes into our ATOP account in accordance with DTC’s procedures for such transfers. In connection with the transfer, DTC must send an “agent’s message” to the exchange agent on or prior to 11:59 p.m., New York City time, on the expiration date of the exchange offer.</w:t>
      </w:r>
    </w:p>
    <w:p>
      <w:pPr>
        <w:spacing w:after="0" w:line="183"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The term “agent’s message” means a message transmitted by the DTC participants to DTC, and thereafter transmitted by DTC to the exchange agent, which states that DTC has received an express acknowledgement from the participant stating that such participant and beneficial holder agree to be bound by the terms of the exchange offer, including the letter of transmittal, and that the agreement may be enforced against such participant.</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Each agent’s message must include the following information:</w:t>
      </w:r>
    </w:p>
    <w:p>
      <w:pPr>
        <w:spacing w:after="0" w:line="131" w:lineRule="exact"/>
        <w:rPr>
          <w:sz w:val="20"/>
          <w:szCs w:val="20"/>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the beneficial owner tendering such Old Notes;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account number of the beneficial owner tendering such Old Notes;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principal amount of Old Notes tendered by such beneficial owner; and</w:t>
      </w:r>
    </w:p>
    <w:p>
      <w:pPr>
        <w:spacing w:after="0" w:line="130"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confirmation that the beneficial owner of the Old Notes has made the representations for our benefit set forth under “—Representations” below.</w:t>
      </w:r>
    </w:p>
    <w:p>
      <w:pPr>
        <w:spacing w:after="0" w:line="162"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The delivery of the Old Notes through DTC, and any transmission of an agent’s message through ATOP, is at the election and risk of the person tendering Old Notes. If we do not accept any tendered Old Notes for exchange or if Old Notes are submitted for a greater principal amount than the holder desires to exchange, the unaccepted or non-exchanged Old Notes will be returned, without expense, to their tendering holder. Such non-exchanged Old Notes will be credited to an account maintained with DTC. These actions will occur promptly after the expiration or termination of the exchange offer.</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100"/>
          </w:cols>
          <w:pgMar w:left="320" w:top="455" w:right="47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The tender by a holder of Old Notes that is not validly withdrawn prior to the expiration date of the exchange offer and that is accepted by us will constitute a binding agreement between us and the holder in accordance with the terms and subject to the conditions set forth in this prospectus and in the accompanying letter of transmittal. By using the ATOP procedures to exchange Old Notes, you will not be required to deliver a letter of transmittal to the exchange agent. However, you will be bound by its terms, and you will be deemed to have made the acknowledgements and the representations and warranties it contains, just as if you had signed it.</w:t>
      </w:r>
    </w:p>
    <w:p>
      <w:pPr>
        <w:spacing w:after="0" w:line="183" w:lineRule="exact"/>
        <w:rPr>
          <w:sz w:val="20"/>
          <w:szCs w:val="20"/>
          <w:color w:val="auto"/>
        </w:rPr>
      </w:pPr>
    </w:p>
    <w:p>
      <w:pPr>
        <w:jc w:val="both"/>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Certain of the Old Notes were issued in physical form to certain initial purchasers. Accordingly, such holders of Old Notes must physically tender their Old Notes for New Notes. Therefore, to tender Old Notes represented in physical form subject to the exchange offer and to obtain New Notes you must transmit to the exchange agent, at its address listed under “—Exchange Agent”:</w:t>
      </w:r>
    </w:p>
    <w:p>
      <w:pPr>
        <w:spacing w:after="0" w:line="81" w:lineRule="exact"/>
        <w:rPr>
          <w:sz w:val="20"/>
          <w:szCs w:val="20"/>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physical Old Note;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properly completed and duly executed letter of transmittal;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documents required by the letter of transmittal.</w:t>
      </w:r>
    </w:p>
    <w:p>
      <w:pPr>
        <w:spacing w:after="0" w:line="225" w:lineRule="exact"/>
        <w:rPr>
          <w:sz w:val="20"/>
          <w:szCs w:val="20"/>
          <w:color w:val="auto"/>
        </w:rPr>
      </w:pPr>
    </w:p>
    <w:p>
      <w:pPr>
        <w:jc w:val="both"/>
        <w:ind w:left="120" w:right="200" w:firstLine="440"/>
        <w:spacing w:after="0" w:line="261" w:lineRule="auto"/>
        <w:rPr>
          <w:sz w:val="20"/>
          <w:szCs w:val="20"/>
          <w:color w:val="auto"/>
        </w:rPr>
      </w:pPr>
      <w:r>
        <w:rPr>
          <w:rFonts w:ascii="Times New Roman" w:cs="Times New Roman" w:eastAsia="Times New Roman" w:hAnsi="Times New Roman"/>
          <w:sz w:val="18"/>
          <w:szCs w:val="18"/>
          <w:color w:val="auto"/>
        </w:rPr>
        <w:t>The tender by a holder of Old Notes represented in physical form that is not validly withdrawn prior to the expiration date of the exchange offer and that is accepted by us will constitute a binding agreement between us and the holder in accordance with the terms and subject to the conditions set forth in this prospectus and in the accompanying letter of transmittal. You will be required to deliver the physical note and a letter of transmittal to the exchange agent and will be bound by the letter of transmittal terms.</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There is no procedure for guaranteed late delivery of the Old Notes.</w:t>
      </w:r>
    </w:p>
    <w:p>
      <w:pPr>
        <w:spacing w:after="0" w:line="225"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We will determine all questions as to the validity, form, eligibility (including time of receipt) and acceptance and withdrawal of tendered Old Notes in our sole discretion. We reserve the absolute right to reject any and all Old Notes not properly tendered or any Old Notes whose acceptance by us would, in the opinion of our counsel, be unlawful. We also reserve the right to waive any defects, irregularities or conditions of tender as to any particular Old Notes either before or after the expiration date. Our interpretation of the terms and conditions of the exchange offer (including the instructions in the accompanying letter of transmittal) will be final and binding on all parties. Unless waived, any defects or irregularities in connection with tenders of Old Notes must be cured within a time period we will reasonably determine. Although we intend to request the exchange agent to notify holders of defects or irregularities relating to tenders of Old Notes, neither we, the exchange agent nor any other person will have any duty or incur any liability for failure to give such notification. Tenders of Old Notes will not be considered to have been made until such defects or irregularities have been cured or waived. If we waive any terms or conditions with respect to a noteholder, we will extend the same waiver to all noteholders with respect to that term or condition. Any Old Notes received by the exchange agent that are not validly tendered and as to which the defects or irregularities have not been cured or waived will be returned by the exchange agent, without expense, to the tendering holders, unless otherwise provided in the accompanying letter of transmittal, promptly following the expiration date of the exchange offer.</w:t>
      </w:r>
    </w:p>
    <w:p>
      <w:pPr>
        <w:spacing w:after="0" w:line="29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Representations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By tendering Old Notes, each holder is deemed to have represented to us that:</w:t>
      </w:r>
    </w:p>
    <w:p>
      <w:pPr>
        <w:spacing w:after="0" w:line="131" w:lineRule="exact"/>
        <w:rPr>
          <w:sz w:val="20"/>
          <w:szCs w:val="20"/>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are not, nor is any such person, our affiliate as such term is defined under Rule 405 under the Securities Act;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are, or the person receiving the New Notes is, acquiring the New Notes in the ordinary course of business;</w:t>
      </w:r>
    </w:p>
    <w:p>
      <w:pPr>
        <w:spacing w:after="0" w:line="130"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do not, nor does any such person, have an arrangement or understanding with any person to participate in any distribution (within the meaning of the Securities Act) of the New Notes; and</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120"/>
          </w:cols>
          <w:pgMar w:left="320" w:top="455" w:right="45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line="266" w:lineRule="auto"/>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are a broker-dealer that will receive New Notes for your own account in exchange for Old Notes, you acquired those New Notes as a result of market-making or other trading activities and you will deliver a prospectus (or to the extent permitted by law, make available a prospectus to purchasers) in connection with any resale of such New Notes.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Proper Execution and Delivery of Letter of Transmittal</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Generally, an eligible institution must guarantee signatures on a letter of transmittal or notice of withdrawal unless:</w:t>
      </w:r>
    </w:p>
    <w:p>
      <w:pPr>
        <w:spacing w:after="0" w:line="131" w:lineRule="exact"/>
        <w:rPr>
          <w:sz w:val="20"/>
          <w:szCs w:val="20"/>
          <w:color w:val="auto"/>
        </w:rPr>
      </w:pPr>
    </w:p>
    <w:p>
      <w:pPr>
        <w:ind w:left="1080" w:hanging="424"/>
        <w:spacing w:after="0" w:line="282" w:lineRule="auto"/>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tender your Old Notes as the registered holder and the New Notes issued in exchange for your Old Notes are to be issued in your name and delivered to you at your registered address appearing on the security register for the Old Notes; or</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tender your Old Notes for the account of an eligible institution.</w:t>
      </w:r>
    </w:p>
    <w:p>
      <w:pPr>
        <w:spacing w:after="0" w:line="225" w:lineRule="exact"/>
        <w:rPr>
          <w:sz w:val="20"/>
          <w:szCs w:val="20"/>
          <w:color w:val="auto"/>
        </w:rPr>
      </w:pPr>
    </w:p>
    <w:p>
      <w:pPr>
        <w:ind w:left="120" w:right="260" w:firstLine="440"/>
        <w:spacing w:after="0" w:line="266" w:lineRule="auto"/>
        <w:rPr>
          <w:sz w:val="20"/>
          <w:szCs w:val="20"/>
          <w:color w:val="auto"/>
        </w:rPr>
      </w:pPr>
      <w:r>
        <w:rPr>
          <w:rFonts w:ascii="Times New Roman" w:cs="Times New Roman" w:eastAsia="Times New Roman" w:hAnsi="Times New Roman"/>
          <w:sz w:val="18"/>
          <w:szCs w:val="18"/>
          <w:color w:val="auto"/>
        </w:rPr>
        <w:t>For the purposes of this prospectus, an “eligible institution” means an “eligible guarantor institution” as defined by Rule 17Ad-15 under the Exchange Act which is a member of a recognized signature guarantee program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Securities Transfer Agents Medallion Program, Stock Exchange Medallion Program or New York Stock Exchange Medallion Signature Program).</w:t>
      </w:r>
    </w:p>
    <w:p>
      <w:pPr>
        <w:spacing w:after="0" w:line="176"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If the letter of transmittal is signed by the holder(s) of Old Notes tendered thereby, the signature(s) must correspond with the name(s) as written on the face of the Old Notes without alteration, enlargement or any change whatsoever. If any of the Old Notes tendered are held by two or more holders, all such holders must sign the letter of transmittal. If any of the Old Notes tendered thereby are registered in different names on different Old Notes, it will be necessary to complete, sign and submit as many separate letters of transmittal, and any accompanying documents, as there are different registrations of certificates.</w:t>
      </w:r>
    </w:p>
    <w:p>
      <w:pPr>
        <w:spacing w:after="0" w:line="183" w:lineRule="exact"/>
        <w:rPr>
          <w:sz w:val="20"/>
          <w:szCs w:val="20"/>
          <w:color w:val="auto"/>
        </w:rPr>
      </w:pPr>
    </w:p>
    <w:p>
      <w:pPr>
        <w:ind w:left="120" w:right="220" w:firstLine="440"/>
        <w:spacing w:after="0" w:line="266" w:lineRule="auto"/>
        <w:rPr>
          <w:sz w:val="20"/>
          <w:szCs w:val="20"/>
          <w:color w:val="auto"/>
        </w:rPr>
      </w:pPr>
      <w:r>
        <w:rPr>
          <w:rFonts w:ascii="Times New Roman" w:cs="Times New Roman" w:eastAsia="Times New Roman" w:hAnsi="Times New Roman"/>
          <w:sz w:val="18"/>
          <w:szCs w:val="18"/>
          <w:color w:val="auto"/>
        </w:rPr>
        <w:t>If Old Notes that are not tendered for exchange under the exchange offer are to be returned to a person other than the holder thereof, certificates for such Old Notes must be endorsed or accompanied by an appropriate instrument of transfer, signed exactly as the name of the registered owner appears on the certificates, with the signatures on the certificates or instruments of transfer guaranteed by an eligible institution.</w:t>
      </w:r>
    </w:p>
    <w:p>
      <w:pPr>
        <w:spacing w:after="0" w:line="176"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If the letter of transmittal is signed by a person other than the holder of any Old Notes listed therein, those Old Notes must be properly endorsed or accompanied by a properly completed bond power, signed by such holder exactly as such holder’s name appears on such Old Notes. If the letter of transmittal or any Old Notes, bond powers or other instruments of transfer are signed by trustees, executors, administrators, guardians, attorneys-in-fact, officers of corporations or others acting in a fiduciary or representative capacity, those persons should so indicate when signing, and, unless waived by us, evidence satisfactory to us of their authority to so act must be submitted with the letter of transmittal.</w:t>
      </w:r>
    </w:p>
    <w:p>
      <w:pPr>
        <w:spacing w:after="0" w:line="183"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No alternative, conditional, irregular or contingent tenders will be accepted. By executing the letter of transmittal (or facsimile thereof), the tendering holders of Old Notes waive any right to receive any notice of the acceptance for exchange of their Old Notes. Tendering holders should indicate in the applicable box in the letter of transmittal the name and address to which payments and/or substitute certificates evidencing Old Notes for amounts not tendered or not exchanged are to be issued or sent, if different from the name and address of the person signing the letter of transmittal. If no such instructions are given, Old Notes not tendered or exchanged will be returned to the tendering holder.</w:t>
      </w:r>
    </w:p>
    <w:p>
      <w:pPr>
        <w:spacing w:after="0" w:line="183" w:lineRule="exact"/>
        <w:rPr>
          <w:sz w:val="20"/>
          <w:szCs w:val="20"/>
          <w:color w:val="auto"/>
        </w:rPr>
      </w:pPr>
    </w:p>
    <w:p>
      <w:pPr>
        <w:ind w:left="120" w:right="200" w:firstLine="440"/>
        <w:spacing w:after="0" w:line="289" w:lineRule="auto"/>
        <w:rPr>
          <w:sz w:val="20"/>
          <w:szCs w:val="20"/>
          <w:color w:val="auto"/>
        </w:rPr>
      </w:pPr>
      <w:r>
        <w:rPr>
          <w:rFonts w:ascii="Times New Roman" w:cs="Times New Roman" w:eastAsia="Times New Roman" w:hAnsi="Times New Roman"/>
          <w:sz w:val="17"/>
          <w:szCs w:val="17"/>
          <w:color w:val="auto"/>
        </w:rPr>
        <w:t>All questions as to the validity, form, eligibility (including time of receipt), and acceptance and withdrawal of tendered Old Notes will be determined by us in our absolute discretion, which determination will be final and binding. We reserve the absolute right to reject any and all tendered Old Notes determined by us not to be in proper form or not to be properly tendered or any tendered Old Notes our acceptance of which would, in the</w:t>
      </w:r>
    </w:p>
    <w:p>
      <w:pPr>
        <w:spacing w:after="0" w:line="9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120"/>
          </w:cols>
          <w:pgMar w:left="320" w:top="455" w:right="45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opinion of our counsel, be unlawful. We also reserve the right to waive, in our absolute discretion, any defects, irregularities or conditions of tender as to particular Old Notes, whether or not waived in the case of other Old Notes. Our interpretation of the terms and conditions of the exchange offer (including the instructions in the letter of transmittal) will be final and binding on all parties. Unless waived, any defects or irregularities in connection with tenders of Old Notes must be cured within such time as we will determine. Although we intend to notify holders of defects or irregularities with respect to tenders of Old Notes, neither we, the exchange agent nor any other person will be under any duty to give such notification or will incur any liability for failure to give any such notification. Tenders of Old Notes will not be deemed to have been made until such defects or irregularities have been cured or waived. Any holder whose Old Notes have been mutilated, lost, stolen or destroyed will be responsible for obtaining replacement securities or for arranging for indemnification with the trustee of the Old Notes. Holders may contact the exchange agent for assistance with these matters.</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Withdrawal of Tenders</w:t>
      </w:r>
    </w:p>
    <w:p>
      <w:pPr>
        <w:spacing w:after="0" w:line="121" w:lineRule="exact"/>
        <w:rPr>
          <w:sz w:val="20"/>
          <w:szCs w:val="20"/>
          <w:color w:val="auto"/>
        </w:rPr>
      </w:pPr>
    </w:p>
    <w:p>
      <w:pPr>
        <w:ind w:left="120" w:right="180" w:firstLine="440"/>
        <w:spacing w:after="0" w:line="261" w:lineRule="auto"/>
        <w:rPr>
          <w:sz w:val="20"/>
          <w:szCs w:val="20"/>
          <w:color w:val="auto"/>
        </w:rPr>
      </w:pPr>
      <w:r>
        <w:rPr>
          <w:rFonts w:ascii="Times New Roman" w:cs="Times New Roman" w:eastAsia="Times New Roman" w:hAnsi="Times New Roman"/>
          <w:sz w:val="18"/>
          <w:szCs w:val="18"/>
          <w:color w:val="auto"/>
        </w:rPr>
        <w:t>Except as otherwise provided in this prospectus, you may validly withdraw your tender of Old Notes at any time prior to 11:59 p.m., New York City time, on the expiration date of the exchange offer. For a withdrawal for Old Notes represented by global certificates to be effective you must comply with the appropriate procedures of DTC’s ATOP system prior to 11:59 p.m., New York City time, on the expiration date of the exchange offer. Any such notice of withdrawal must:</w:t>
      </w:r>
    </w:p>
    <w:p>
      <w:pPr>
        <w:spacing w:after="0" w:line="85" w:lineRule="exact"/>
        <w:rPr>
          <w:sz w:val="20"/>
          <w:szCs w:val="20"/>
          <w:color w:val="auto"/>
        </w:rPr>
      </w:pPr>
    </w:p>
    <w:p>
      <w:pPr>
        <w:ind w:left="1080" w:hanging="424"/>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specify the name of the tendering holder of Old Notes;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amount of the Old Notes delivered for exchange;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specify the name and number of the account at DTC to be credited with the withdrawn Old Notes;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statement that such holder is withdrawing its election to have such Old Notes exchanged.</w:t>
      </w:r>
    </w:p>
    <w:p>
      <w:pPr>
        <w:spacing w:after="0" w:line="225"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For a withdrawal to be effective for Old Notes represented by physical certificates you must comply with the appropriate procedures prior to 11:59 p.m., New York City time, on the expiration date of the exchange offer. Any such notice of withdrawal must:</w:t>
      </w:r>
    </w:p>
    <w:p>
      <w:pPr>
        <w:spacing w:after="0" w:line="67" w:lineRule="exact"/>
        <w:rPr>
          <w:sz w:val="20"/>
          <w:szCs w:val="20"/>
          <w:color w:val="auto"/>
        </w:rPr>
      </w:pPr>
    </w:p>
    <w:p>
      <w:pPr>
        <w:ind w:left="1080" w:hanging="424"/>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specify the name of the tendering holder of Old Notes;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amount of the Old Notes delivered for exchange;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statement that such holder is withdrawing its election to have such Old Notes exchanged.</w:t>
      </w:r>
    </w:p>
    <w:p>
      <w:pPr>
        <w:spacing w:after="0" w:line="225" w:lineRule="exact"/>
        <w:rPr>
          <w:sz w:val="20"/>
          <w:szCs w:val="20"/>
          <w:color w:val="auto"/>
        </w:rPr>
      </w:pPr>
    </w:p>
    <w:p>
      <w:pPr>
        <w:ind w:left="120" w:right="200" w:firstLine="440"/>
        <w:spacing w:after="0" w:line="256" w:lineRule="auto"/>
        <w:rPr>
          <w:sz w:val="20"/>
          <w:szCs w:val="20"/>
          <w:color w:val="auto"/>
        </w:rPr>
      </w:pPr>
      <w:r>
        <w:rPr>
          <w:rFonts w:ascii="Times New Roman" w:cs="Times New Roman" w:eastAsia="Times New Roman" w:hAnsi="Times New Roman"/>
          <w:sz w:val="18"/>
          <w:szCs w:val="18"/>
          <w:color w:val="auto"/>
        </w:rPr>
        <w:t>We will determine all questions as to the validity, form and eligibility (including time of receipt) of such withdrawal notices. Any Old Notes so withdrawn will be considered not to have been validly tendered for purposes of the applicable exchange offer, and no New Notes will be issued in exchange for such Old Notes unless the Old Notes withdrawn are validly re-tendered. Any Old Notes which have been tendered but which are not accepted for exchange or which are withdrawn will be returned to the holder, without expense to such holder, promptly after withdrawal, rejection of tender or termination of the applicable exchange offer. Validly withdrawn Old Notes may be re-tendered by following one of the procedures described above under “—Procedures for Tendering” at any time prior to the expiration date of the exchange offer.</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Exchange Agent</w:t>
      </w:r>
    </w:p>
    <w:p>
      <w:pPr>
        <w:spacing w:after="0" w:line="121" w:lineRule="exact"/>
        <w:rPr>
          <w:sz w:val="20"/>
          <w:szCs w:val="20"/>
          <w:color w:val="auto"/>
        </w:rPr>
      </w:pPr>
    </w:p>
    <w:p>
      <w:pPr>
        <w:ind w:left="120" w:right="1000" w:firstLine="440"/>
        <w:spacing w:after="0" w:line="282" w:lineRule="auto"/>
        <w:rPr>
          <w:sz w:val="20"/>
          <w:szCs w:val="20"/>
          <w:color w:val="auto"/>
        </w:rPr>
      </w:pPr>
      <w:r>
        <w:rPr>
          <w:rFonts w:ascii="Times New Roman" w:cs="Times New Roman" w:eastAsia="Times New Roman" w:hAnsi="Times New Roman"/>
          <w:sz w:val="18"/>
          <w:szCs w:val="18"/>
          <w:color w:val="auto"/>
        </w:rPr>
        <w:t>Wilmington Trust, National Association, has been appointed the exchange agent for this exchange offer. Letters of transmittal and all correspondence in connection with this exchange offer should be sent or delivered</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120"/>
          </w:cols>
          <w:pgMar w:left="320" w:top="455" w:right="45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by each holder of Old Notes, or a beneficial owner’s commercial bank, broker, dealer, trust company or other nominee, to the exchange agent as follows:</w:t>
      </w:r>
    </w:p>
    <w:p>
      <w:pPr>
        <w:sectPr>
          <w:pgSz w:w="11900" w:h="16838" w:orient="portrait"/>
          <w:cols w:equalWidth="0" w:num="1">
            <w:col w:w="11120"/>
          </w:cols>
          <w:pgMar w:left="320" w:top="455" w:right="459" w:bottom="1440" w:gutter="0" w:footer="0" w:header="0"/>
        </w:sectPr>
      </w:pPr>
    </w:p>
    <w:p>
      <w:pPr>
        <w:spacing w:after="0" w:line="264" w:lineRule="exact"/>
        <w:rPr>
          <w:sz w:val="20"/>
          <w:szCs w:val="20"/>
          <w:color w:val="auto"/>
        </w:rPr>
      </w:pPr>
    </w:p>
    <w:p>
      <w:pPr>
        <w:ind w:left="120" w:right="2020"/>
        <w:spacing w:after="0" w:line="282" w:lineRule="auto"/>
        <w:rPr>
          <w:sz w:val="20"/>
          <w:szCs w:val="20"/>
          <w:color w:val="auto"/>
        </w:rPr>
      </w:pPr>
      <w:r>
        <w:rPr>
          <w:rFonts w:ascii="Times New Roman" w:cs="Times New Roman" w:eastAsia="Times New Roman" w:hAnsi="Times New Roman"/>
          <w:sz w:val="18"/>
          <w:szCs w:val="18"/>
          <w:color w:val="auto"/>
        </w:rPr>
        <w:t>By Registered or Certified Mail, Overnight Courier, or Hand Delivery:</w:t>
      </w:r>
    </w:p>
    <w:p>
      <w:pPr>
        <w:spacing w:after="0" w:line="200" w:lineRule="exact"/>
        <w:rPr>
          <w:sz w:val="20"/>
          <w:szCs w:val="20"/>
          <w:color w:val="auto"/>
        </w:rPr>
      </w:pPr>
    </w:p>
    <w:p>
      <w:pPr>
        <w:spacing w:after="0" w:line="39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Telephone:</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Email:</w:t>
      </w:r>
    </w:p>
    <w:p>
      <w:pPr>
        <w:spacing w:after="0" w:line="20" w:lineRule="exact"/>
        <w:rPr>
          <w:sz w:val="20"/>
          <w:szCs w:val="20"/>
          <w:color w:val="auto"/>
        </w:rPr>
      </w:pPr>
      <w:r>
        <w:rPr>
          <w:sz w:val="20"/>
          <w:szCs w:val="20"/>
          <w:color w:val="auto"/>
        </w:rPr>
        <w:br w:type="column"/>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Wilmington Trust, National Association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Rodney Square North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1100 North Market Street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Wilmington, Delaware 19890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Attention: Workflow Management – 5th Floor</w:t>
      </w:r>
    </w:p>
    <w:p>
      <w:pPr>
        <w:spacing w:after="0" w:line="21" w:lineRule="exact"/>
        <w:rPr>
          <w:sz w:val="20"/>
          <w:szCs w:val="20"/>
          <w:color w:val="auto"/>
        </w:rPr>
      </w:pPr>
    </w:p>
    <w:p>
      <w:pPr>
        <w:ind w:right="3100" w:firstLine="1"/>
        <w:spacing w:after="0" w:line="290" w:lineRule="auto"/>
        <w:tabs>
          <w:tab w:leader="none" w:pos="435"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636-6470 DTC@Wilmingtontrust.com</w:t>
      </w:r>
    </w:p>
    <w:p>
      <w:pPr>
        <w:spacing w:after="0" w:line="157" w:lineRule="exact"/>
        <w:rPr>
          <w:sz w:val="20"/>
          <w:szCs w:val="20"/>
          <w:color w:val="auto"/>
        </w:rPr>
      </w:pPr>
    </w:p>
    <w:p>
      <w:pPr>
        <w:sectPr>
          <w:pgSz w:w="11900" w:h="16838" w:orient="portrait"/>
          <w:cols w:equalWidth="0" w:num="2">
            <w:col w:w="5240" w:space="720"/>
            <w:col w:w="5160"/>
          </w:cols>
          <w:pgMar w:left="320" w:top="455" w:right="459" w:bottom="1440" w:gutter="0" w:footer="0" w:header="0"/>
          <w:type w:val="continuous"/>
        </w:sect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Delivery to an address other than as listed above does not constitute a valid delivery. We will pay the exchange agent reasonable and customary fees for its services and will reimburse it for its reasonable, out-of-pocket expenses in connection with this exchange offer.</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Fees and Expenses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will bear the expenses of soliciting tenders of the Old Notes and issuance of the New Notes. The principal solicitation is being made by mail.</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However, we may make additional solicitations by email, telephone or in person by our officers and employees and those of our affiliates.</w:t>
      </w:r>
    </w:p>
    <w:p>
      <w:pPr>
        <w:spacing w:after="0" w:line="207" w:lineRule="exact"/>
        <w:rPr>
          <w:sz w:val="20"/>
          <w:szCs w:val="20"/>
          <w:color w:val="auto"/>
        </w:rPr>
      </w:pPr>
    </w:p>
    <w:p>
      <w:pPr>
        <w:ind w:left="120" w:right="240" w:firstLine="440"/>
        <w:spacing w:after="0" w:line="261" w:lineRule="auto"/>
        <w:rPr>
          <w:sz w:val="20"/>
          <w:szCs w:val="20"/>
          <w:color w:val="auto"/>
        </w:rPr>
      </w:pPr>
      <w:r>
        <w:rPr>
          <w:rFonts w:ascii="Times New Roman" w:cs="Times New Roman" w:eastAsia="Times New Roman" w:hAnsi="Times New Roman"/>
          <w:sz w:val="18"/>
          <w:szCs w:val="18"/>
          <w:color w:val="auto"/>
        </w:rPr>
        <w:t>We have not retained any dealer-manager in connection with the exchange offer and will not make any payments to broker-dealers or others soliciting acceptances of the exchange offer. As indicated above, we will, however, pay the exchange agent reasonable and customary fees for its services and reimburse it for its related reasonable out-of-pocket expenses. We will also pay any other cash expenses that we incur in connection with the exchange offer.</w:t>
      </w:r>
    </w:p>
    <w:p>
      <w:pPr>
        <w:spacing w:after="0" w:line="180"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Except as described below, we will pay all transfer taxes, if any, applicable to the exchange of Old Notes under the exchange offer. The tendering holder will be required to pay any transfer taxes, whether imposed on the registered holder or any other person, if:</w:t>
      </w:r>
    </w:p>
    <w:p>
      <w:pPr>
        <w:spacing w:after="0" w:line="67" w:lineRule="exact"/>
        <w:rPr>
          <w:sz w:val="20"/>
          <w:szCs w:val="20"/>
          <w:color w:val="auto"/>
        </w:rPr>
      </w:pPr>
    </w:p>
    <w:p>
      <w:pPr>
        <w:ind w:left="1080" w:right="140" w:hanging="424"/>
        <w:spacing w:after="0" w:line="282" w:lineRule="auto"/>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Notes and/or substitute Old Notes not exchanged are to be delivered to, or registered or issued in the name of, any person other than the registered holder of the Old Notes so exchanged;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tendered Old Notes are registered in the name of any person other than the person signing the letter of transmittal;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transfer tax is imposed for any reason other than the exchange of Old Notes under the exchange offer.</w:t>
      </w:r>
    </w:p>
    <w:p>
      <w:pPr>
        <w:spacing w:after="0" w:line="225"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If satisfactory evidence of payment of transfer taxes is not submitted with the letter of transmittal, the amount of any transfer taxes will be billed to the tendering holder.</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Accounting Treatment</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will record the New Notes at the same carrying value as the Old Notes reflected in our accounting records on the date of the exchange.</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Accordingly, we will not recognize any gain or loss for accounting purposes upon completion of the exchange offer.</w:t>
      </w:r>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Consequences of Failure to Exchange</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Old Notes that are not exchanged will remain “restricted securities” within the meaning of Rule 144(a)(3) under the Securities Act.</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120"/>
          </w:cols>
          <w:pgMar w:left="320" w:top="455" w:right="459" w:bottom="1440" w:gutter="0" w:footer="0" w:header="0"/>
          <w:type w:val="continuous"/>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Accordingly, they may not be offered, sold, pledged or otherwise transferred except:</w:t>
      </w:r>
    </w:p>
    <w:p>
      <w:pPr>
        <w:spacing w:after="0" w:line="131" w:lineRule="exact"/>
        <w:rPr>
          <w:sz w:val="20"/>
          <w:szCs w:val="20"/>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us or to any of our subsidiaries;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a registration statement which has been declared effective under the Securities Act;</w:t>
      </w:r>
    </w:p>
    <w:p>
      <w:pPr>
        <w:spacing w:after="0" w:line="130" w:lineRule="exact"/>
        <w:rPr>
          <w:rFonts w:ascii="Times New Roman" w:cs="Times New Roman" w:eastAsia="Times New Roman" w:hAnsi="Times New Roman"/>
          <w:sz w:val="18"/>
          <w:szCs w:val="18"/>
          <w:color w:val="auto"/>
        </w:rPr>
      </w:pPr>
    </w:p>
    <w:p>
      <w:pPr>
        <w:ind w:left="1080" w:right="40" w:hanging="424"/>
        <w:spacing w:after="0" w:line="261" w:lineRule="auto"/>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so long as the Old Notes are eligible for resale pursuant to Rule 144A under the Securities Act, to a person the holder of the Old Notes and any person acting on its behalf reasonably believes is a “qualified institutional buyer” as defined in Rule 144A, that purchases for its own account or for the account of another qualified institutional buyer, in each case to whom notice is given that the transfer is being made in reliance on Rule 144A; or</w:t>
      </w:r>
    </w:p>
    <w:p>
      <w:pPr>
        <w:spacing w:after="0" w:line="85" w:lineRule="exact"/>
        <w:rPr>
          <w:rFonts w:ascii="Times New Roman" w:cs="Times New Roman" w:eastAsia="Times New Roman" w:hAnsi="Times New Roman"/>
          <w:sz w:val="18"/>
          <w:szCs w:val="18"/>
          <w:color w:val="auto"/>
        </w:rPr>
      </w:pPr>
    </w:p>
    <w:p>
      <w:pPr>
        <w:ind w:left="1080" w:right="20" w:hanging="424"/>
        <w:spacing w:after="0" w:line="266" w:lineRule="auto"/>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any other available exemption from the registration requirements of the Securities Act (in which case we and the trustee shall have the right to require the delivery of an opinion of counsel (at the holder’s sole cost), certifications and/or other information satisfactory to us and the trustee);</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 each case subject to compliance with any applicable foreign, state or other securities laws.</w:t>
      </w:r>
    </w:p>
    <w:p>
      <w:pPr>
        <w:spacing w:after="0" w:line="225"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Upon completion of the exchange offer, due to the restrictions on transfer of the Old Notes and the absence of such restrictions applicable to the New Notes, it is likely that the market, if any, for Old Notes will be relatively less liquid than the market for New Notes. Consequently, holders of Old Notes who do not participate in the exchange offer could experience significant diminution in the value of their Old Notes, compared to the value of the New Notes. The holders of Old Notes not tendered will have no further registration rights, except that, under limited circumstances specified in the registration rights agreement, we may be required to file a shelf registration statement for a continuous offer of Old Notes.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Additional Information Regarding the Registration Rights Agreement</w:t>
      </w:r>
    </w:p>
    <w:p>
      <w:pPr>
        <w:spacing w:after="0" w:line="121"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As noted above, we are effecting the exchange offer to comply with the registration rights agreement. The registration rights agreement requires us to cause an exchange offer registration statement to be filed with the SEC under the Securities Act, use our commercially reasonable efforts to cause the registration statement to become effective, and satisfy certain other obligations, within certain time periods.</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 the event that:</w:t>
      </w:r>
    </w:p>
    <w:p>
      <w:pPr>
        <w:spacing w:after="0" w:line="131" w:lineRule="exact"/>
        <w:rPr>
          <w:sz w:val="20"/>
          <w:szCs w:val="20"/>
          <w:color w:val="auto"/>
        </w:rPr>
      </w:pPr>
    </w:p>
    <w:p>
      <w:pPr>
        <w:ind w:left="1080" w:hanging="424"/>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registration statement is not filed with the SEC on or prior November 12, 2025, which is the 90th day after August 14, 2025;</w:t>
      </w:r>
    </w:p>
    <w:p>
      <w:pPr>
        <w:spacing w:after="0" w:line="130" w:lineRule="exact"/>
        <w:rPr>
          <w:rFonts w:ascii="Times New Roman" w:cs="Times New Roman" w:eastAsia="Times New Roman" w:hAnsi="Times New Roman"/>
          <w:sz w:val="18"/>
          <w:szCs w:val="18"/>
          <w:color w:val="auto"/>
        </w:rPr>
      </w:pPr>
    </w:p>
    <w:p>
      <w:pPr>
        <w:ind w:left="1080" w:right="720" w:hanging="424"/>
        <w:spacing w:after="0" w:line="282" w:lineRule="auto"/>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registration statement has not been declared effective by the SEC on or prior to January 11, 2026, which is the 150th day after August 14, 2025; or</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exchange offer is not completed on or prior to the 45th day following the effective date of the registration statement;</w:t>
      </w:r>
    </w:p>
    <w:p>
      <w:pPr>
        <w:spacing w:after="0" w:line="225"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interest rate on the Old Notes will be increased by a rate of 0.25% per annum immediately following such registration default and will increase by 0.25% per annum immediately following each 90-day period during which additional interest accrues, but in no event will such increase exceed 0.50% per annum. Following the cure of all such registration defaults, the accrual of additional interest will cease and the interest rate will be immediately reduced to the original interest rate borne by the Old Notes.</w:t>
      </w:r>
    </w:p>
    <w:p>
      <w:pPr>
        <w:spacing w:after="0" w:line="180"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Our obligation to register the New Notes will terminate upon completion of the exchange offer. However, under certain limited circumstances specified in the registration rights agreement, we may be required to file a shelf registration statement for a continuous offer in connection with the Old Notes.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120"/>
          </w:cols>
          <w:pgMar w:left="320" w:top="455" w:right="45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DESCRIPTION OF THE NOTES</w:t>
      </w:r>
    </w:p>
    <w:p>
      <w:pPr>
        <w:spacing w:after="0" w:line="229"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On August 14, 2025, we issued $40 million in aggregate principal amount of our 7.625% Fixed-to-Floating Rate Subordinated Notes due 2035, which we have referred to in this prospectus as the Old Notes. The Old Notes were issued in a private placement transaction to certain institutional accredited investors and qualified institutional buyers, and as such, were not registered under the Securities Act. The Old Notes were issued under an indenture dated August 14, 2025, between the Company, as issuer, and Wilmington Trust, National Association, as trustee, which we have referred to in this prospectus as the “indenture.” The term “notes” refers collectively to the Old Notes and the New Notes.</w:t>
      </w:r>
    </w:p>
    <w:p>
      <w:pPr>
        <w:spacing w:after="0" w:line="183"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The New Notes will be issued under the indenture and will evidence the same debt as the Old Notes. The terms of the New Notes are identical in all material respects to those of the Old Notes, except that:</w:t>
      </w:r>
    </w:p>
    <w:p>
      <w:pPr>
        <w:spacing w:after="0" w:line="67" w:lineRule="exact"/>
        <w:rPr>
          <w:sz w:val="20"/>
          <w:szCs w:val="20"/>
          <w:color w:val="auto"/>
        </w:rPr>
      </w:pPr>
    </w:p>
    <w:p>
      <w:pPr>
        <w:ind w:left="1080" w:right="560" w:hanging="424"/>
        <w:spacing w:after="0" w:line="282" w:lineRule="auto"/>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New Notes have been registered with the SEC under the Securities Act and, as a result, will not bear any legend restricting their transfer;</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New Notes bear different CUSIP numbers from the Old Notes;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New Notes generally will not be subject to transfer restrictions;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New Notes will not be entitled to registration rights under the registration rights agreement or otherwise; and</w:t>
      </w:r>
    </w:p>
    <w:p>
      <w:pPr>
        <w:spacing w:after="0" w:line="130" w:lineRule="exact"/>
        <w:rPr>
          <w:rFonts w:ascii="Times New Roman" w:cs="Times New Roman" w:eastAsia="Times New Roman" w:hAnsi="Times New Roman"/>
          <w:sz w:val="18"/>
          <w:szCs w:val="18"/>
          <w:color w:val="auto"/>
        </w:rPr>
      </w:pPr>
    </w:p>
    <w:p>
      <w:pPr>
        <w:ind w:left="1080" w:right="360" w:hanging="424"/>
        <w:spacing w:after="0" w:line="282" w:lineRule="auto"/>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because the New Notes will not be entitled to registration rights, holders of the New Notes will not have the right to additional interest under the circumstances described in the registration rights agreement relating to our fulfillment of our registration obligations.</w:t>
      </w:r>
    </w:p>
    <w:p>
      <w:pPr>
        <w:spacing w:after="0" w:line="162"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The New Notes will be issued only in registered form without coupons and in minimum denominations of $100,000 and any integral multiple of $1,000 in excess thereof. Unless otherwise required for institutional accredited investors, the New Notes will be evidenced by a global note deposited with the trustee for the New Notes, as custodian for The Depository Trust Company, or DTC, and transfers of beneficial interests will be facilitated only through records maintained by DTC and its participants.</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terms of the New Notes include those stated in the indenture and those made part of the indenture by reference to the Trust Indenture Act.</w:t>
      </w:r>
    </w:p>
    <w:p>
      <w:pPr>
        <w:spacing w:after="0" w:line="225"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following provides a summary of certain terms of the indenture and the New Notes. This summary is qualified in its entirety by reference to the complete version of the indenture, which is incorporated by reference as an exhibit to the registration statement of which this prospectus is a part, and to the form of New Notes, which is included as an exhibit to the registration statement of which this prospectus is a part. We urge you to read the indenture and the form of New Notes because those documents, not this summary description, define your rights as holders of the New Notes. Whenever we refer to the defined terms of the indenture in this prospectus without defining them, the terms have the meanings given to them in the indenture. You must look to the indenture for the most complete description of the information summarized in this prospectus.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The exchange offer for the New Notes will be for up to $40 million in aggregate principal amount of the Old Notes. The New Notes, together with any Old Notes that remain outstanding after the exchange offer, will be treated as a single class for all purposes of the indenture, including, without limitation, waivers, consents, amendments, redemptions and offers to purchase.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Principal, Maturity and Interest</w:t>
      </w:r>
    </w:p>
    <w:p>
      <w:pPr>
        <w:spacing w:after="0" w:line="121"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The New Notes have materially identical interest terms as the Old Notes except with respect to additional interest that may be earned on the Old Notes under circumstances relating to our registration obligations under</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120"/>
          </w:cols>
          <w:pgMar w:left="320" w:top="455" w:right="45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380"/>
        <w:spacing w:after="0" w:line="282" w:lineRule="auto"/>
        <w:rPr>
          <w:sz w:val="20"/>
          <w:szCs w:val="20"/>
          <w:color w:val="auto"/>
        </w:rPr>
      </w:pPr>
      <w:r>
        <w:rPr>
          <w:rFonts w:ascii="Times New Roman" w:cs="Times New Roman" w:eastAsia="Times New Roman" w:hAnsi="Times New Roman"/>
          <w:sz w:val="18"/>
          <w:szCs w:val="18"/>
          <w:color w:val="auto"/>
        </w:rPr>
        <w:t>the registration rights agreement. Interest on the notes will accrue from and including August 14, 2025. The notes will mature and become payable, unless earlier redeemed, on August 15, 2035.</w:t>
      </w:r>
    </w:p>
    <w:p>
      <w:pPr>
        <w:spacing w:after="0" w:line="162"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From and including August 14, 2025 to but excluding August 15, 2030 or earlier redemption date (the “Fixed Rate Period”), the New Notes will bear interest at a fixed rate equal to 7.625% per year, payable semi-annually in arrears on February 15 and August 15 of each year (each a “Fixed Interest Payment Date”), beginning on February 15, 2026, and interest will be computed on the basis of a 360-day year consisting of twelve 30-day months.</w:t>
      </w:r>
    </w:p>
    <w:p>
      <w:pPr>
        <w:spacing w:after="0" w:line="180"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From and including August 15, 2030, to but excluding the maturity date or earlier redemption date (the “Floating Rate Period”), the New Notes will bear interest at an annual floating rate, reset quarterly, equal to the Benchmark rate (which is expected to be Three-Month Term SOFR), plus 422 basis points, provided however, that in the event the Three-Month Term SOFR is less than zero, Three-Month Term SOFR shall be deemed to be zero. A “Floating Interest Period” means, the period from, and including, each Floating Interest Payment Date to, but excluding, the next succeeding Floating Interest Payment Date, except for the initial Floating Interest Period, which will be the period from and including August 15, 2030 to, but excluding the next succeeding Floating Interest Payment Date.</w:t>
      </w:r>
    </w:p>
    <w:p>
      <w:pPr>
        <w:spacing w:after="0" w:line="187"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During the Floating Rate Period, interest on the New Notes will be payable quarterly in arrears on February 15, May 15, August 15 and November 15 of each year (each a “Floating Interest Payment Date” and, together with any Fixed Interest Payment Date, an “Interest Payment Date”), commencing on November 15, 2030 and interest will be computed on the basis of a 360-day year and the actual number of days elapsed and payable quarterly in arrears on each Floating Interest Payment Date.</w:t>
      </w:r>
    </w:p>
    <w:p>
      <w:pPr>
        <w:spacing w:after="0" w:line="180"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 xml:space="preserve">For the purpose of calculating the interest on the New Notes for each interest period during the Floating Rate Period when the Benchmark is Three-Month Term SOFR, Three-Month Term SOFR means the rate for Term SOFR for a tenor of three months that is published by the Term SOFR Administrator at the Reference Time for any Floating Interest Period, as determined by the Calculation Agent after giving effect to the Three-Month Term SOFR Conventions;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in the event Three-Month Term SOFR is less than zero, Three-Month Term SOFR shall be deemed to be zero. See “—Calculation Agent.”</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definitions apply to the following discussion of Three-Month Term SOFR:</w:t>
      </w:r>
    </w:p>
    <w:p>
      <w:pPr>
        <w:spacing w:after="0" w:line="225"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“Benchmark” means, initially, Three-Month Term SOFR; provided that, if the Calculation Agent determines on or prior to the Reference Time for any Floating Interest Period that a Benchmark Transition Event and its related Benchmark Replacement Date have occurred with respect to Three-Month Term SOFR or the then-current Benchmark, then “Benchmark” means the applicable Benchmark Replacement for such Floating Interest Period and any subsequent Floating Interest Periods.</w:t>
      </w:r>
    </w:p>
    <w:p>
      <w:pPr>
        <w:spacing w:after="0" w:line="180"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“Floating Interest Determination Date” means the date upon which the Floating Interest Rate is determined by the Calculation Agent pursuant to the Three-Month Term SOFR Conventions.</w:t>
      </w:r>
    </w:p>
    <w:p>
      <w:pPr>
        <w:spacing w:after="0" w:line="162" w:lineRule="exact"/>
        <w:rPr>
          <w:sz w:val="20"/>
          <w:szCs w:val="20"/>
          <w:color w:val="auto"/>
        </w:rPr>
      </w:pPr>
    </w:p>
    <w:p>
      <w:pPr>
        <w:jc w:val="both"/>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“FRBNY’s Website” means the website of the FRBNY at http://www.newyorkfed.org, or any successor source. The foregoing Internet website is an inactive textual reference only, meaning that the information contained on the website is not part of this prospectus supplement or the accompanying prospectus or incorporated by reference herein or therein.</w:t>
      </w:r>
    </w:p>
    <w:p>
      <w:pPr>
        <w:spacing w:after="0" w:line="176" w:lineRule="exact"/>
        <w:rPr>
          <w:sz w:val="20"/>
          <w:szCs w:val="20"/>
          <w:color w:val="auto"/>
        </w:rPr>
      </w:pPr>
    </w:p>
    <w:p>
      <w:pPr>
        <w:ind w:left="120" w:right="340" w:firstLine="440"/>
        <w:spacing w:after="0" w:line="282" w:lineRule="auto"/>
        <w:rPr>
          <w:sz w:val="20"/>
          <w:szCs w:val="20"/>
          <w:color w:val="auto"/>
        </w:rPr>
      </w:pPr>
      <w:r>
        <w:rPr>
          <w:rFonts w:ascii="Times New Roman" w:cs="Times New Roman" w:eastAsia="Times New Roman" w:hAnsi="Times New Roman"/>
          <w:sz w:val="18"/>
          <w:szCs w:val="18"/>
          <w:color w:val="auto"/>
        </w:rPr>
        <w:t>“Interest Period” means (i) during the Fixed Rate Period, each six-month period beginning on a Fixed Interest Payment Date or (ii) during the Floating Rate Period, each Floating Interest Period.</w:t>
      </w:r>
    </w:p>
    <w:p>
      <w:pPr>
        <w:spacing w:after="0" w:line="162" w:lineRule="exact"/>
        <w:rPr>
          <w:sz w:val="20"/>
          <w:szCs w:val="20"/>
          <w:color w:val="auto"/>
        </w:rPr>
      </w:pPr>
    </w:p>
    <w:p>
      <w:pPr>
        <w:ind w:left="120" w:right="760" w:firstLine="440"/>
        <w:spacing w:after="0" w:line="282" w:lineRule="auto"/>
        <w:rPr>
          <w:sz w:val="20"/>
          <w:szCs w:val="20"/>
          <w:color w:val="auto"/>
        </w:rPr>
      </w:pPr>
      <w:r>
        <w:rPr>
          <w:rFonts w:ascii="Times New Roman" w:cs="Times New Roman" w:eastAsia="Times New Roman" w:hAnsi="Times New Roman"/>
          <w:sz w:val="18"/>
          <w:szCs w:val="18"/>
          <w:color w:val="auto"/>
        </w:rPr>
        <w:t>“Reference Time” with respect to any determination of a Benchmark means: (i) if the Benchmark is Three-Month Term SOFR, the time determined by the Calculation Agent after giving effect to the Three-Month</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100"/>
          </w:cols>
          <w:pgMar w:left="320" w:top="455" w:right="47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Term SOFR Conventions, and (ii) if the Benchmark is not Three-Month Term SOFR, the time determined by the Calculation Agent after giving effect to the Benchmark Replacement Conforming Changes.</w:t>
      </w:r>
    </w:p>
    <w:p>
      <w:pPr>
        <w:spacing w:after="0" w:line="162" w:lineRule="exact"/>
        <w:rPr>
          <w:sz w:val="20"/>
          <w:szCs w:val="20"/>
          <w:color w:val="auto"/>
        </w:rPr>
      </w:pPr>
    </w:p>
    <w:p>
      <w:pPr>
        <w:ind w:left="120" w:right="300" w:firstLine="440"/>
        <w:spacing w:after="0" w:line="282" w:lineRule="auto"/>
        <w:rPr>
          <w:sz w:val="20"/>
          <w:szCs w:val="20"/>
          <w:color w:val="auto"/>
        </w:rPr>
      </w:pPr>
      <w:r>
        <w:rPr>
          <w:rFonts w:ascii="Times New Roman" w:cs="Times New Roman" w:eastAsia="Times New Roman" w:hAnsi="Times New Roman"/>
          <w:sz w:val="18"/>
          <w:szCs w:val="18"/>
          <w:color w:val="auto"/>
        </w:rPr>
        <w:t>“Relevant Governmental Body” means the Federal Reserve and/or the FRBNY, or a committee officially endorsed or convened by the Federal Reserve and/or the FRBNY or any successor thereto.</w:t>
      </w:r>
    </w:p>
    <w:p>
      <w:pPr>
        <w:spacing w:after="0" w:line="162" w:lineRule="exact"/>
        <w:rPr>
          <w:sz w:val="20"/>
          <w:szCs w:val="20"/>
          <w:color w:val="auto"/>
        </w:rPr>
      </w:pPr>
    </w:p>
    <w:p>
      <w:pPr>
        <w:ind w:left="120" w:right="500" w:firstLine="440"/>
        <w:spacing w:after="0" w:line="282" w:lineRule="auto"/>
        <w:rPr>
          <w:sz w:val="20"/>
          <w:szCs w:val="20"/>
          <w:color w:val="auto"/>
        </w:rPr>
      </w:pPr>
      <w:r>
        <w:rPr>
          <w:rFonts w:ascii="Times New Roman" w:cs="Times New Roman" w:eastAsia="Times New Roman" w:hAnsi="Times New Roman"/>
          <w:sz w:val="18"/>
          <w:szCs w:val="18"/>
          <w:color w:val="auto"/>
        </w:rPr>
        <w:t>“SOFR” means the daily Secured Overnight Financing Rate provided by the FRBNY, as the administrator of the benchmark (or a successor administrator), on the FRBNY’s Website.</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“Term SOFR” means the forward-looking term rate for the Corresponding Tenor based on SOFR as published by the Term SOFR Administrator.</w:t>
      </w:r>
    </w:p>
    <w:p>
      <w:pPr>
        <w:spacing w:after="0" w:line="225"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“Term SOFR Administrator” means CME Group Benchmark Administration Limited (or a successor administrator of Three-Month Term SOFR selected by the Calculation Agent in its reasonable discretion).</w:t>
      </w:r>
    </w:p>
    <w:p>
      <w:pPr>
        <w:spacing w:after="0" w:line="162"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 xml:space="preserve">“Three-Month Term SOFR” means the rate for Term SOFR for a tenor of three months that is published by the Term SOFR Administrator at the Reference Time for any Floating Interest Period, as determined by the Calculation Agent after giving effect to the Three-Month Term SOFR Conventions;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in the event Three-Month Term SOFR is less than zero, Three-Month Term SOFR shall be deemed to be zero.</w:t>
      </w:r>
    </w:p>
    <w:p>
      <w:pPr>
        <w:spacing w:after="0" w:line="176"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“Three-Month Term SOFR Conventions” means any determination, decision or election with respect to any technical, administrative or operational matter (including with respect to the manner and timing of the publication of Three-Month Term SOFR, or changes to the definition of “Floating Interest Period,” timing and frequency of determining Three-Month Term SOFR with respect to each Floating Interest Period and making payments of interest, rounding of amounts or tenors, and other administrative matters) that the Calculation Agent or the Company decides may be appropriate to reflect the use of Three-Month Term SOFR as the Benchmark in a manner substantially consistent with market practice (or, if the Calculation Agent or the Company decides that adoption of any portion of such market practice is not administratively feasible or if the Calculation Agent or the Company determines that no market practice for the use of Three-Month Term SOFR exists, in such other manner as the Calculation Agent or the Company determines is reasonably necessary).</w:t>
      </w:r>
    </w:p>
    <w:p>
      <w:pPr>
        <w:spacing w:after="0" w:line="192" w:lineRule="exact"/>
        <w:rPr>
          <w:sz w:val="20"/>
          <w:szCs w:val="20"/>
          <w:color w:val="auto"/>
        </w:rPr>
      </w:pPr>
    </w:p>
    <w:p>
      <w:pPr>
        <w:jc w:val="both"/>
        <w:ind w:left="120" w:right="640" w:firstLine="440"/>
        <w:spacing w:after="0" w:line="312" w:lineRule="auto"/>
        <w:rPr>
          <w:sz w:val="20"/>
          <w:szCs w:val="20"/>
          <w:color w:val="auto"/>
        </w:rPr>
      </w:pPr>
      <w:r>
        <w:rPr>
          <w:rFonts w:ascii="Times New Roman" w:cs="Times New Roman" w:eastAsia="Times New Roman" w:hAnsi="Times New Roman"/>
          <w:sz w:val="17"/>
          <w:szCs w:val="17"/>
          <w:color w:val="auto"/>
        </w:rPr>
        <w:t>The terms “Benchmark Replacement,” “Benchmark Replacement Conforming Changes,” “Benchmark Replacement Date,” “Benchmark Transition Event” and “Corresponding Tenor” have the meanings set forth below under the heading “—Effect of Benchmark Transition Event.”</w:t>
      </w:r>
    </w:p>
    <w:p>
      <w:pPr>
        <w:spacing w:after="0" w:line="140" w:lineRule="exact"/>
        <w:rPr>
          <w:sz w:val="20"/>
          <w:szCs w:val="20"/>
          <w:color w:val="auto"/>
        </w:rPr>
      </w:pPr>
    </w:p>
    <w:p>
      <w:pPr>
        <w:ind w:left="120" w:right="260" w:firstLine="440"/>
        <w:spacing w:after="0" w:line="254" w:lineRule="auto"/>
        <w:rPr>
          <w:sz w:val="20"/>
          <w:szCs w:val="20"/>
          <w:color w:val="auto"/>
        </w:rPr>
      </w:pPr>
      <w:r>
        <w:rPr>
          <w:rFonts w:ascii="Times New Roman" w:cs="Times New Roman" w:eastAsia="Times New Roman" w:hAnsi="Times New Roman"/>
          <w:sz w:val="18"/>
          <w:szCs w:val="18"/>
          <w:color w:val="auto"/>
        </w:rPr>
        <w:t>Notwithstanding the foregoing paragraphs related to the determination of interest, if the Calculation Agent determines prior to the relevant Floating Interest Determination Date that a Benchmark Transition Event and its related Benchmark Replacement Date (each as defined below) have occurred with respect to Three-Month Term SOFR, then the Company shall promptly provide notice of such determination to the holders and the provisions set forth below under the heading “—Effect of Benchmark Transition Event,” which we refer to as the “benchmark transition provisions,” will thereafter apply to all determinations, calculations and quotations made or obtained for the purposes of calculating the Floating Interest Rate payable on the New Notes during a relevant Floating Interest Period. In accordance with the benchmark transition provisions, after a Benchmark Transition Event and its related Benchmark Replacement Date have occurred, the interest rate on the New Notes for each interest period during the Floating Rate Period will be an annual rate equal to the sum of the applicable Benchmark Replacement plus 422 basis points.</w:t>
      </w:r>
    </w:p>
    <w:p>
      <w:pPr>
        <w:spacing w:after="0" w:line="192" w:lineRule="exact"/>
        <w:rPr>
          <w:sz w:val="20"/>
          <w:szCs w:val="20"/>
          <w:color w:val="auto"/>
        </w:rPr>
      </w:pPr>
    </w:p>
    <w:p>
      <w:pPr>
        <w:jc w:val="both"/>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Absent manifest error, the Calculation Agent’s determination of the interest rate for an interest period for the New Notes will be conclusive and binding on you, the trustee and us. The Calculation Agent’s determination of any interest rate, and its calculation of interest payments for any period, will be maintained on file at the Calculation Agent’s principal offices, will be made available to any holder of the New Notes upon request and will be provided to the trustee.</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100"/>
          </w:cols>
          <w:pgMar w:left="320" w:top="455" w:right="47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In the event that the maturity date, any earlier redemption date or any Fixed Interest Payment Date with respect to the Fixed Rate Period falls on a day that is not a business day, the payment of interest and principal due on that date shall be postponed to the next day that is a business day and no additional interest shall accrue as a result of that postponement. In the event that any Floating Interest Payment Date with respect to the Floating Rate Period, other than the maturity date or an earlier redemption date, falls on a day that is not a business day, the Floating Interest Payment Date shall be postponed to the next day that is a business day, in which case interest shall accrue to but excluding the date interest is paid. However, if the postponement would cause the day to fall in the next calendar month during the Floating Interest Period, the Floating Interest Payment Date shall instead be brought forward to the immediately preceding business day.</w:t>
      </w:r>
    </w:p>
    <w:p>
      <w:pPr>
        <w:spacing w:after="0" w:line="189"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If the Calculation Agent, determines that a Benchmark Transition Event and its related Benchmark Replacement Date have occurred with respect to Three-Month Term SOFR at any time when any of the New Notes are outstanding, then the Company shall promptly provide notice of such determination to the holders, with a copy to the trustee, and the foregoing provisions concerning the calculation of the interest rate and interest payments during the Floating Rate Period will be modified in accordance with the benchmark transition provisions. However, if for any reason the Benchmark Replacement has not been determined as of the relevant Floating Interest Determination Date, the Floating Interest Rate for the applicable Floating Interest Period will be equal to the Floating Interest Rate on the last Floating Interest Determination Date for the New Notes, as determined by the Calculation Agent. If the then-current Benchmark is Three-Month Term SOFR and any of the foregoing provisions concerning the calculation of the interest rate and the payment of interest during the Floating Interest Period are inconsistent with any of the Three-Month Term SOFR Conventions determined by the Company, then the relevant Three-Month Term SOFR Conventions will apply.</w:t>
      </w:r>
    </w:p>
    <w:p>
      <w:pPr>
        <w:spacing w:after="0" w:line="188" w:lineRule="exact"/>
        <w:rPr>
          <w:sz w:val="20"/>
          <w:szCs w:val="20"/>
          <w:color w:val="auto"/>
        </w:rPr>
      </w:pPr>
    </w:p>
    <w:p>
      <w:pPr>
        <w:ind w:left="120" w:right="700" w:firstLine="440"/>
        <w:spacing w:after="0" w:line="282" w:lineRule="auto"/>
        <w:rPr>
          <w:sz w:val="20"/>
          <w:szCs w:val="20"/>
          <w:color w:val="auto"/>
        </w:rPr>
      </w:pPr>
      <w:r>
        <w:rPr>
          <w:rFonts w:ascii="Times New Roman" w:cs="Times New Roman" w:eastAsia="Times New Roman" w:hAnsi="Times New Roman"/>
          <w:sz w:val="18"/>
          <w:szCs w:val="18"/>
          <w:color w:val="auto"/>
        </w:rPr>
        <w:t>We will make each interest payment to the holders of record of the notes at the close of business on the fifteenth calendar day prior to the applicable interest payment date.</w:t>
      </w:r>
    </w:p>
    <w:p>
      <w:pPr>
        <w:spacing w:after="0" w:line="162"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Principal of and interest on the notes will be payable, and the notes will be exchangeable and transferable, at the office or agency that we have designated and maintain for such purposes, which, initially, will be the corporate trust office of the trustee located at Wilmington Trust, National Association, 99 Wood Avenue South – Suite #1000, Attn: USCB Financial Holdings, Inc. Administrator; except that payment of interest may be made at our option by check mailed to the person entitled thereto as shown on the security register or by wire transfer to an account appropriately designated by the person entitled thereto.</w:t>
      </w:r>
    </w:p>
    <w:p>
      <w:pPr>
        <w:spacing w:after="0" w:line="183" w:lineRule="exact"/>
        <w:rPr>
          <w:sz w:val="20"/>
          <w:szCs w:val="20"/>
          <w:color w:val="auto"/>
        </w:rPr>
      </w:pPr>
    </w:p>
    <w:p>
      <w:pPr>
        <w:ind w:left="120" w:right="520" w:firstLine="440"/>
        <w:spacing w:after="0" w:line="266" w:lineRule="auto"/>
        <w:rPr>
          <w:sz w:val="20"/>
          <w:szCs w:val="20"/>
          <w:color w:val="auto"/>
        </w:rPr>
      </w:pPr>
      <w:r>
        <w:rPr>
          <w:rFonts w:ascii="Times New Roman" w:cs="Times New Roman" w:eastAsia="Times New Roman" w:hAnsi="Times New Roman"/>
          <w:sz w:val="18"/>
          <w:szCs w:val="18"/>
          <w:color w:val="auto"/>
        </w:rPr>
        <w:t>The term “business day” means any day other than a Saturday, Sunday or any day which is a federal holiday or other day on which banking institutions in the State of Florida, the Borough of Manhattan, New York, New York or the place of payment are authorized or obligated by law, regulation or executive order to close.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Subordination</w:t>
      </w:r>
    </w:p>
    <w:p>
      <w:pPr>
        <w:spacing w:after="0" w:line="121"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 xml:space="preserve">Our obligation to make any payment on account of the principal of, or interest on, the notes will be subordinate and junior in right of payment to the prior payment in full of all of our senior indebtedness. As of September 30, 2025, the Company and its consolidated subsidiaries had outstanding liabilities of $2.6 billion, of which $2.5 billion rank senior to the notes and $11 million rank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with the notes. The notes and the indenture do not contain any limitation on the amount of senior indebtedness that we may incur in the future.</w:t>
      </w:r>
    </w:p>
    <w:p>
      <w:pPr>
        <w:spacing w:after="0" w:line="180"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The term “senior indebtedness” means the principal of, and premium, if any, and interest, including interest accruing after the commencement of any bankruptcy proceeding relating to us, on, or substantially similar payments we make in respect of the following categories of debt, whether that debt was outstanding on the date of execution of the indenture or thereafter incurred, created or assumed:</w:t>
      </w:r>
    </w:p>
    <w:p>
      <w:pPr>
        <w:spacing w:after="0" w:line="81" w:lineRule="exact"/>
        <w:rPr>
          <w:sz w:val="20"/>
          <w:szCs w:val="20"/>
          <w:color w:val="auto"/>
        </w:rPr>
      </w:pPr>
    </w:p>
    <w:p>
      <w:pPr>
        <w:ind w:left="1080" w:right="40" w:hanging="424"/>
        <w:spacing w:after="0" w:line="282" w:lineRule="auto"/>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indebtedness for borrowed money, whether or not evidenced by notes, debentures, bonds, securities or other similar instruments issued under the provisions of any indenture, fiscal agency agreement,</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120"/>
          </w:cols>
          <w:pgMar w:left="320" w:top="455" w:right="45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100" w:right="220"/>
        <w:spacing w:after="0" w:line="282" w:lineRule="auto"/>
        <w:rPr>
          <w:sz w:val="20"/>
          <w:szCs w:val="20"/>
          <w:color w:val="auto"/>
        </w:rPr>
      </w:pPr>
      <w:r>
        <w:rPr>
          <w:rFonts w:ascii="Times New Roman" w:cs="Times New Roman" w:eastAsia="Times New Roman" w:hAnsi="Times New Roman"/>
          <w:sz w:val="18"/>
          <w:szCs w:val="18"/>
          <w:color w:val="auto"/>
        </w:rPr>
        <w:t>debenture or note purchase agreement or other agreement, including any senior debt securities that we may offer, and including, but not limited to, deposits of the Bank and our obligations to our general and secured creditors;</w:t>
      </w:r>
    </w:p>
    <w:p>
      <w:pPr>
        <w:spacing w:after="0" w:line="67" w:lineRule="exact"/>
        <w:rPr>
          <w:sz w:val="20"/>
          <w:szCs w:val="20"/>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indebtedness for money borrowed or represented by purchase money obligations, as defined below;</w:t>
      </w:r>
    </w:p>
    <w:p>
      <w:pPr>
        <w:spacing w:after="0" w:line="130" w:lineRule="exact"/>
        <w:rPr>
          <w:rFonts w:ascii="Times New Roman" w:cs="Times New Roman" w:eastAsia="Times New Roman" w:hAnsi="Times New Roman"/>
          <w:sz w:val="18"/>
          <w:szCs w:val="18"/>
          <w:color w:val="auto"/>
        </w:rPr>
      </w:pPr>
    </w:p>
    <w:p>
      <w:pPr>
        <w:ind w:left="1080" w:right="420" w:hanging="424"/>
        <w:spacing w:after="0" w:line="282" w:lineRule="auto"/>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obligations as lessee under leases of property whether made as part of a sale and leaseback transaction to which we are a party or otherwise;</w:t>
      </w:r>
    </w:p>
    <w:p>
      <w:pPr>
        <w:spacing w:after="0" w:line="67" w:lineRule="exact"/>
        <w:rPr>
          <w:rFonts w:ascii="Times New Roman" w:cs="Times New Roman" w:eastAsia="Times New Roman" w:hAnsi="Times New Roman"/>
          <w:sz w:val="18"/>
          <w:szCs w:val="18"/>
          <w:color w:val="auto"/>
        </w:rPr>
      </w:pPr>
    </w:p>
    <w:p>
      <w:pPr>
        <w:ind w:left="1080" w:right="620" w:hanging="424"/>
        <w:spacing w:after="0" w:line="282" w:lineRule="auto"/>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reimbursement and other obligations relating to letters of credit, bankers’ acceptances and similar obligations and direct credit substitutes;</w:t>
      </w:r>
    </w:p>
    <w:p>
      <w:pPr>
        <w:spacing w:after="0" w:line="67"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obligations in respect of interest rate swap, cap or other agreements, interest rate future or option contracts, currency swap agreements, currency future or option contracts, commodity contracts and other similar arrangements;</w:t>
      </w:r>
    </w:p>
    <w:p>
      <w:pPr>
        <w:spacing w:after="0" w:line="67" w:lineRule="exact"/>
        <w:rPr>
          <w:rFonts w:ascii="Times New Roman" w:cs="Times New Roman" w:eastAsia="Times New Roman" w:hAnsi="Times New Roman"/>
          <w:sz w:val="18"/>
          <w:szCs w:val="18"/>
          <w:color w:val="auto"/>
        </w:rPr>
      </w:pPr>
    </w:p>
    <w:p>
      <w:pPr>
        <w:ind w:left="1080" w:right="200" w:hanging="424"/>
        <w:spacing w:after="0" w:line="282" w:lineRule="auto"/>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our obligations issued or assumed as the deferred purchase price of property or services, but excluding trade accounts payable and accrued liabilities arising in the ordinary course of business;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obligation of ours to our general creditors;</w:t>
      </w:r>
    </w:p>
    <w:p>
      <w:pPr>
        <w:spacing w:after="0" w:line="130" w:lineRule="exact"/>
        <w:rPr>
          <w:rFonts w:ascii="Times New Roman" w:cs="Times New Roman" w:eastAsia="Times New Roman" w:hAnsi="Times New Roman"/>
          <w:sz w:val="18"/>
          <w:szCs w:val="18"/>
          <w:color w:val="auto"/>
        </w:rPr>
      </w:pPr>
    </w:p>
    <w:p>
      <w:pPr>
        <w:ind w:left="1080" w:right="540" w:hanging="424"/>
        <w:spacing w:after="0" w:line="282" w:lineRule="auto"/>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obligations of the type referred to in the bullets above of other persons for the payment as to which we are liable contingently or otherwise to pay or advance money as obligor, guarantor, endorser or otherwise;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obligations of the types referred to in the bullets above of other persons secured by a lien on any property or asset of ours;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deferrals, renewals or extensions of any of the indebtedness or obligations described in the bullets above.</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However, “senior indebtedness” excludes:</w:t>
      </w:r>
    </w:p>
    <w:p>
      <w:pPr>
        <w:spacing w:after="0" w:line="131" w:lineRule="exact"/>
        <w:rPr>
          <w:sz w:val="20"/>
          <w:szCs w:val="20"/>
          <w:color w:val="auto"/>
        </w:rPr>
      </w:pPr>
    </w:p>
    <w:p>
      <w:pPr>
        <w:ind w:left="1080" w:right="160" w:hanging="424"/>
        <w:spacing w:after="0" w:line="266"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subordinated debentures or junior subordinated debentures of ours underlying trust preferred securities issued by subsidiary trusts of the Company that were outstanding as of the date of the issuance of the Old Notes or that are issued after the date of such issuance by a subsidiary trust of the Company;</w:t>
      </w:r>
    </w:p>
    <w:p>
      <w:pPr>
        <w:spacing w:after="0" w:line="81"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indebtedness, obligation or liability that is subordinated to indebtedness, obligations or liabilities of the Company to substantially the same extent as or to a greater extent than the notes are subordinated;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notes and, unless expressly provided in the terms thereof, any indebtedness of the Company to its subsidiaries.</w:t>
      </w:r>
    </w:p>
    <w:p>
      <w:pPr>
        <w:spacing w:after="0" w:line="117" w:lineRule="exact"/>
        <w:rPr>
          <w:sz w:val="20"/>
          <w:szCs w:val="20"/>
          <w:color w:val="auto"/>
        </w:rPr>
      </w:pPr>
    </w:p>
    <w:p>
      <w:pPr>
        <w:ind w:left="560"/>
        <w:spacing w:after="0" w:line="258" w:lineRule="auto"/>
        <w:rPr>
          <w:sz w:val="20"/>
          <w:szCs w:val="20"/>
          <w:color w:val="auto"/>
        </w:rPr>
      </w:pPr>
      <w:r>
        <w:rPr>
          <w:rFonts w:ascii="Times New Roman" w:cs="Times New Roman" w:eastAsia="Times New Roman" w:hAnsi="Times New Roman"/>
          <w:sz w:val="18"/>
          <w:szCs w:val="18"/>
          <w:color w:val="auto"/>
        </w:rPr>
        <w:t>As used above, the term “purchase money obligations” means indebtedness, obligations evidenced by a note, debenture, bond or other instrument, whether or not secured by a lien or other security interest, issued to evidence the obligation to pay or a guarantee of the payment of, and any deferred obligation for the payment of, the purchase price of property but excluding indebtedness or obligations for which recourse is limited to the property purchased, issued or assumed as all or a part of the consideration for the acquisition of property or services, whether by purchase, merger, consolidation or otherwise, but does not include any trade accounts payable as set forth above.</w:t>
      </w:r>
    </w:p>
    <w:p>
      <w:pPr>
        <w:spacing w:after="0" w:line="183"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In accordance with the subordination provisions of the indenture and the notes, we are permitted to make payments of accrued and unpaid interest on the notes on the interest payment dates and at maturity and to pay the principal of the notes at maturity unless:</w:t>
      </w:r>
    </w:p>
    <w:p>
      <w:pPr>
        <w:spacing w:after="0" w:line="67" w:lineRule="exact"/>
        <w:rPr>
          <w:sz w:val="20"/>
          <w:szCs w:val="20"/>
          <w:color w:val="auto"/>
        </w:rPr>
      </w:pPr>
    </w:p>
    <w:p>
      <w:pPr>
        <w:ind w:left="1080" w:right="520" w:hanging="424"/>
        <w:spacing w:after="0" w:line="266" w:lineRule="auto"/>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any termination, winding up, liquidation or reorganization, whether in bankruptcy, insolvency, reorganization, receivership or similar proceedings or upon an assignment for the benefit of our creditors or any other marshalling of our assets and liabilities; or</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080"/>
          </w:cols>
          <w:pgMar w:left="320" w:top="455" w:right="49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line="258" w:lineRule="auto"/>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default in the payment of principal of, or premium, if any, or interest on, any senior indebtedness, has occurred and is continuing beyond any applicable grace period or an event of default has occurred and is continuing with respect to any senior indebtedness, or would occur as a result of a payment of principal of, or interest on, the notes being made and that event of default would permit the holders of any senior indebtedness to accelerate the maturity of that senior indebtedness and such default or event of default has not been cured, waived or otherwise have ceased to exist.</w:t>
      </w:r>
    </w:p>
    <w:p>
      <w:pPr>
        <w:spacing w:after="0" w:line="183"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Upon our termination, winding up, liquidation or reorganization, whether in bankruptcy, insolvency, reorganization, receivership or similar proceedings or upon an assignment for the benefit of our creditors or any other marshalling of our assets and liabilities or otherwise, we must pay to the holders of all of our senior indebtedness the full amounts of principal of, and premium, if any, and interest on, that senior indebtedness before any payment is made on the notes. If, after we have paid the senior indebtedness in full, there are any amounts available for payment of the notes and any of our other indebtedness and obligations ranking equally in right of payment with the notes, then we will use such remaining assets to pay the amounts of principal of, premium, if any, and accrued and unpaid interest on, the notes and such other of our indebtedness and obligations that rank equally in right of payment with the notes. If those assets are insufficient to pay in full the principal of, premium, if any, and interest on the notes and such other indebtedness and obligations, those assets will be applicable ratably to the payment of such amounts owing with respect to the notes and such other indebtedness and obligations.</w:t>
      </w:r>
    </w:p>
    <w:p>
      <w:pPr>
        <w:spacing w:after="0" w:line="188"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In the event that we are subject to any termination, winding up, liquidation or reorganization, whether in bankruptcy, insolvency, reorganization, receivership or similar proceedings or upon an assignment for the benefit of our creditors or any other marshalling of our assets and liabilities or otherwise, if the holders of the notes receive for any reason any payment on the notes or other distributions of our assets with respect to the notes before all of our senior indebtedness is paid in full, the holders of the notes will be required to return that payment or distribution to the bankruptcy trustee, receiver, liquidating trustee, custodian, assignee, agent or other person making payment of our assets for all our senior indebtedness remaining unpaid until all that senior indebtedness has been paid in full, after giving effect to any other concurrent payment or distribution to the holders of such senior indebtedness.</w:t>
      </w:r>
    </w:p>
    <w:p>
      <w:pPr>
        <w:spacing w:after="0" w:line="189" w:lineRule="exact"/>
        <w:rPr>
          <w:sz w:val="20"/>
          <w:szCs w:val="20"/>
          <w:color w:val="auto"/>
        </w:rPr>
      </w:pPr>
    </w:p>
    <w:p>
      <w:pPr>
        <w:ind w:left="120" w:right="520" w:firstLine="440"/>
        <w:spacing w:after="0" w:line="312" w:lineRule="auto"/>
        <w:rPr>
          <w:sz w:val="20"/>
          <w:szCs w:val="20"/>
          <w:color w:val="auto"/>
        </w:rPr>
      </w:pPr>
      <w:r>
        <w:rPr>
          <w:rFonts w:ascii="Times New Roman" w:cs="Times New Roman" w:eastAsia="Times New Roman" w:hAnsi="Times New Roman"/>
          <w:sz w:val="17"/>
          <w:szCs w:val="17"/>
          <w:color w:val="auto"/>
        </w:rPr>
        <w:t>As a result of the subordination of the notes in favor of the holders of our senior indebtedness, in the event of our bankruptcy or insolvency, holders of our senior indebtedness may receive more, ratably, and holders of the notes may receive less, ratably, than our other creditors.</w:t>
      </w:r>
    </w:p>
    <w:p>
      <w:pPr>
        <w:spacing w:after="0" w:line="140"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All liabilities of the Bank and our other subsidiaries, including deposits and liabilities to general creditors arising during the ordinary course of business or otherwise, will be effectively senior in right of payment to the notes to the extent of the assets of the subsidiary because, as a shareholder of the subsidiary, we do not have any rights to the assets of the subsidiary except if the subsidiary declares a dividend payable to us or if there are assets of the subsidiary remaining after it has discharged its liabilities to its creditors in connection with its liquidation. As of September 30, 2025, on a consolidated basis, the Bank and our other subsidiaries had, in the aggregate, outstanding liabilities of $2.5 billion. Over the term of the notes, we will need to rely primarily on dividends paid to us by the Bank, which is a regulated and supervised depository institution, for the funds necessary to pay the interest on our outstanding debt obligations and to make dividends and other payments on our other securities outstanding now or in the future. With respect to the payment of the principal of the notes at their maturity, we may rely on the funds we receive from dividends paid to us by the Bank, but may have to rely on the proceeds of borrowings and/or the sale of other securities to pay the principal amount of the notes. Regulatory rules may restrict the Bank’s ability to pay dividends or make other distributions to us or provide funds to us by other means. As a result, with respect to the assets of the Bank, our creditors (including the holders of the notes) are structurally subordinated to the prior claims of creditors of the Bank, including its depositors, except to the extent that we may be a creditor with recognized claims against the Bank.</w:t>
      </w:r>
    </w:p>
    <w:p>
      <w:pPr>
        <w:spacing w:after="0" w:line="12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120"/>
          </w:cols>
          <w:pgMar w:left="320" w:top="455" w:right="45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Redemption</w:t>
      </w:r>
    </w:p>
    <w:p>
      <w:pPr>
        <w:spacing w:after="0" w:line="121" w:lineRule="exact"/>
        <w:rPr>
          <w:sz w:val="20"/>
          <w:szCs w:val="20"/>
          <w:color w:val="auto"/>
        </w:rPr>
      </w:pPr>
    </w:p>
    <w:p>
      <w:pPr>
        <w:ind w:left="120" w:right="320" w:firstLine="440"/>
        <w:spacing w:after="0" w:line="282" w:lineRule="auto"/>
        <w:rPr>
          <w:sz w:val="20"/>
          <w:szCs w:val="20"/>
          <w:color w:val="auto"/>
        </w:rPr>
      </w:pPr>
      <w:r>
        <w:rPr>
          <w:rFonts w:ascii="Times New Roman" w:cs="Times New Roman" w:eastAsia="Times New Roman" w:hAnsi="Times New Roman"/>
          <w:sz w:val="18"/>
          <w:szCs w:val="18"/>
          <w:color w:val="auto"/>
        </w:rPr>
        <w:t>We may, at our option, redeem the notes, in whole or in part, beginning with the Interest Payment Date of August 15, 2030 and on any Interest Payment Date thereafter. In addition, at our option, we may redeem the notes in whole but not in part, at any time upon the occurrence of:</w:t>
      </w:r>
    </w:p>
    <w:p>
      <w:pPr>
        <w:spacing w:after="0" w:line="67" w:lineRule="exact"/>
        <w:rPr>
          <w:sz w:val="20"/>
          <w:szCs w:val="20"/>
          <w:color w:val="auto"/>
        </w:rPr>
      </w:pPr>
    </w:p>
    <w:p>
      <w:pPr>
        <w:ind w:left="1080" w:right="20" w:hanging="424"/>
        <w:spacing w:after="0" w:line="261" w:lineRule="auto"/>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“Tier 2 Capital Event,” which is defined in the indenture to mean receipt by us of a legal opinion of counsel experienced in such matters to the effect that there is a material risk that the notes no longer qualify or, within 120 days of the date of such legal opinion, will not qualify, as Tier 2 Capital (or its then equivalent), as a result of a change in law or regulation, or interpretation or application thereof, by any judicial, legislative or regulatory authority that becomes effective after the date of issuance of the notes;</w:t>
      </w:r>
    </w:p>
    <w:p>
      <w:pPr>
        <w:spacing w:after="0" w:line="85" w:lineRule="exact"/>
        <w:rPr>
          <w:rFonts w:ascii="Times New Roman" w:cs="Times New Roman" w:eastAsia="Times New Roman" w:hAnsi="Times New Roman"/>
          <w:sz w:val="18"/>
          <w:szCs w:val="18"/>
          <w:color w:val="auto"/>
        </w:rPr>
      </w:pPr>
    </w:p>
    <w:p>
      <w:pPr>
        <w:ind w:left="1080" w:right="20" w:hanging="424"/>
        <w:spacing w:after="0" w:line="256" w:lineRule="auto"/>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“Tax Event,” which is defined in the indenture to mean the receipt by us of a legal opinion of counsel experienced in such matters to the effect that, as a result of any amendment to, or change (including any final and adopted (or enacted) prospective change) in, the laws (or any regulations thereunder) of the United States or any political subdivision or taxing authority thereof or therein, or as a result of any official administrative pronouncement or judicial decision interpreting or applying such laws or regulations, there exists a material risk that interest payable by the Company on the notes is not, or within 120 days after the receipt of such opinion, will not be, deductible by the Company, in whole or in part, for United States federal income tax purposes; or</w:t>
      </w:r>
    </w:p>
    <w:p>
      <w:pPr>
        <w:spacing w:after="0" w:line="92" w:lineRule="exact"/>
        <w:rPr>
          <w:rFonts w:ascii="Times New Roman" w:cs="Times New Roman" w:eastAsia="Times New Roman" w:hAnsi="Times New Roman"/>
          <w:sz w:val="18"/>
          <w:szCs w:val="18"/>
          <w:color w:val="auto"/>
        </w:rPr>
      </w:pPr>
    </w:p>
    <w:p>
      <w:pPr>
        <w:ind w:left="1080" w:right="220" w:hanging="424"/>
        <w:spacing w:after="0" w:line="266" w:lineRule="auto"/>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“Investment Company Event,” which is defined in the indenture to mean receipt by us of a legal opinion from counsel experienced in such matters to the effect that there is a material risk that the Company is or, within 120 days after the receipt of such opinion, will be required to register as an “investment company” pursuant to the Investment Company Act of 1940, as amended.</w:t>
      </w:r>
    </w:p>
    <w:p>
      <w:pPr>
        <w:spacing w:after="0" w:line="176"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If all or any portion of the New Notes ceases to be deemed to be Tier 2 Capital, other than due to the limitation imposed on the capital treatment of subordinated debt during the five (5) years immediately preceding the maturity date of the New Notes, the Company will immediately notify the trustee and the holders, and thereafter the Company and the holders will work together in good faith, subject to the terms of the indenture, to execute and deliver all agreements as reasonably necessary in order to restructure the applicable portions of the obligations evidenced by the New Notes to qualify as Tier 2 Capital and the Company shall request, subject to the terms of the indenture, that the trustee execute and deliver all such agreements as may be reasonably necessary in order to effect any restructuring agreed to by the Company and the holders; provided, however, that the foregoing shall not limit the Company’s right to redeem the New Notes pursuant to the terms of the New Notes and the indenture, including upon the occurrence of a Tier 2 Capital Event.</w:t>
      </w:r>
    </w:p>
    <w:p>
      <w:pPr>
        <w:spacing w:after="0" w:line="192"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Any redemption of the New Notes will be subject to any required regulatory approvals, including but not limited to prior approval of the Federal Reserve, to the extent such approval is then required. Any redemption of the notes will be at a redemption price equal to the principal amount of the notes, or portion thereof, to be redeemed plus accrued and unpaid interest to, but excluding, the date of redemption.</w:t>
      </w:r>
    </w:p>
    <w:p>
      <w:pPr>
        <w:spacing w:after="0" w:line="176" w:lineRule="exact"/>
        <w:rPr>
          <w:sz w:val="20"/>
          <w:szCs w:val="20"/>
          <w:color w:val="auto"/>
        </w:rPr>
      </w:pPr>
    </w:p>
    <w:p>
      <w:pPr>
        <w:ind w:left="120" w:right="540" w:firstLine="440"/>
        <w:spacing w:after="0" w:line="282" w:lineRule="auto"/>
        <w:rPr>
          <w:sz w:val="20"/>
          <w:szCs w:val="20"/>
          <w:color w:val="auto"/>
        </w:rPr>
      </w:pPr>
      <w:r>
        <w:rPr>
          <w:rFonts w:ascii="Times New Roman" w:cs="Times New Roman" w:eastAsia="Times New Roman" w:hAnsi="Times New Roman"/>
          <w:sz w:val="18"/>
          <w:szCs w:val="18"/>
          <w:color w:val="auto"/>
        </w:rPr>
        <w:t>If less than all of the notes are to be redeemed, the trustee will select the notes or portions thereof to be redeemed on a pro rata basis, unless otherwise required by law or applicable depositary procedures.</w:t>
      </w:r>
    </w:p>
    <w:p>
      <w:pPr>
        <w:spacing w:after="0" w:line="162" w:lineRule="exact"/>
        <w:rPr>
          <w:sz w:val="20"/>
          <w:szCs w:val="20"/>
          <w:color w:val="auto"/>
        </w:rPr>
      </w:pPr>
    </w:p>
    <w:p>
      <w:pPr>
        <w:jc w:val="both"/>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If the notes are represented by global notes held by DTC and such redemption is processed through DTC, such redemption will be made on a “Pro Rata Pass Through Distribution of Principal” basis in accordance with the procedures of DTC.</w:t>
      </w:r>
    </w:p>
    <w:p>
      <w:pPr>
        <w:spacing w:after="0" w:line="162"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Notices of redemption will be mailed by registered or certified mail (return receipt requested), facsimile or overnight air courier guaranteeing next day delivery, at least 30 but no more than 60 days before the redemption date to each holder of notes to be redeemed at its registered address. If any note is to be redeemed in part only, the notice of redemption that relates to that note will state the portion of the principal amount thereof to be</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120"/>
          </w:cols>
          <w:pgMar w:left="320" w:top="455" w:right="45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40"/>
        <w:spacing w:after="0" w:line="266" w:lineRule="auto"/>
        <w:rPr>
          <w:sz w:val="20"/>
          <w:szCs w:val="20"/>
          <w:color w:val="auto"/>
        </w:rPr>
      </w:pPr>
      <w:r>
        <w:rPr>
          <w:rFonts w:ascii="Times New Roman" w:cs="Times New Roman" w:eastAsia="Times New Roman" w:hAnsi="Times New Roman"/>
          <w:sz w:val="18"/>
          <w:szCs w:val="18"/>
          <w:color w:val="auto"/>
        </w:rPr>
        <w:t>redeemed. A new note in principal amount equal to the unredeemed portion of the original note, if any, will be issued in the name of the holder thereof upon cancellation of the original note. Notes called for redemption become due on the date fixed for redemption. On and after the redemption date, interest ceases to accrue on notes or portions of them called for redemption.</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Repurchases</w:t>
      </w:r>
    </w:p>
    <w:p>
      <w:pPr>
        <w:spacing w:after="0" w:line="121"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We may purchase notes at any time on the open market or otherwise. If we purchase notes in this manner, we have the discretion to hold, resell or surrender the notes to the trustee under the indenture for cancellation.</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 Sinking Fund; Non-Convertible</w:t>
      </w:r>
    </w:p>
    <w:p>
      <w:pPr>
        <w:spacing w:after="0" w:line="121"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The notes will not be entitled to the benefit of any sinking fund. This means that we will not deposit money on a regular basis into any separate custodial account to repay the notes. The notes are not convertible into, or exchangeable for, any of our equity securities.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Form, Denomination, Transfer, Exchange and Book-Entry Procedures</w:t>
      </w:r>
    </w:p>
    <w:p>
      <w:pPr>
        <w:spacing w:after="0" w:line="121" w:lineRule="exact"/>
        <w:rPr>
          <w:sz w:val="20"/>
          <w:szCs w:val="20"/>
          <w:color w:val="auto"/>
        </w:rPr>
      </w:pPr>
    </w:p>
    <w:p>
      <w:pPr>
        <w:ind w:left="120" w:right="660" w:firstLine="440"/>
        <w:spacing w:after="0" w:line="282" w:lineRule="auto"/>
        <w:rPr>
          <w:sz w:val="20"/>
          <w:szCs w:val="20"/>
          <w:color w:val="auto"/>
        </w:rPr>
      </w:pPr>
      <w:r>
        <w:rPr>
          <w:rFonts w:ascii="Times New Roman" w:cs="Times New Roman" w:eastAsia="Times New Roman" w:hAnsi="Times New Roman"/>
          <w:sz w:val="18"/>
          <w:szCs w:val="18"/>
          <w:color w:val="auto"/>
        </w:rPr>
        <w:t>The notes will be issued only in fully registered form, without interest coupons, and in minimum denominations of $100,000 and integral multiples of $1,000 in excess thereof.</w:t>
      </w:r>
    </w:p>
    <w:p>
      <w:pPr>
        <w:spacing w:after="0" w:line="162"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Unless otherwise required for institutional accredited investors, the notes will be evidenced by a global note which will be deposited with, or on behalf of, DTC, or any successor thereto, and registered in the name of Cede &amp; Co., or Cede, as nominee of DTC. Except as set forth below, record ownership of the global note may be transferred, in whole or in part, only to another nominee of DTC or to a successor of DTC or its nominee. If New Notes are issued to institutional accredited investors in certificated form, the New Notes will be transferable only on the records of the trustee and may not be exchanged for a beneficial interest in the global note unless the exchange occurs in connection with a transfer where the transferor and transferee provide evidence satisfactory to the trustee and DTC that the transferee is eligible to hold a beneficial interest in the global note.</w:t>
      </w:r>
    </w:p>
    <w:p>
      <w:pPr>
        <w:spacing w:after="0" w:line="1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global note will not be registered in the name of any person, or exchanged for notes that are registered in the name of any person, other than</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DTC or its nominee, unless one of the following occurs:</w:t>
      </w:r>
    </w:p>
    <w:p>
      <w:pPr>
        <w:spacing w:after="0" w:line="112" w:lineRule="exact"/>
        <w:rPr>
          <w:sz w:val="20"/>
          <w:szCs w:val="20"/>
          <w:color w:val="auto"/>
        </w:rPr>
      </w:pPr>
    </w:p>
    <w:p>
      <w:pPr>
        <w:ind w:left="1080" w:right="140" w:hanging="424"/>
        <w:spacing w:after="0" w:line="282" w:lineRule="auto"/>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DTC notifies us that it is unwilling or unable to continue acting as the depositary for the global note, or DTC has ceased to be a “clearing agency” registered under the Exchange Act, and in either case we fail to appoint a successor depositary within 90 days;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determine that the notes are no longer to be represented by the global note and so notify the trustee; or</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event of default with respect to the notes represented by the global note has occurred and is continuing and DTC or its participant(s) has requested the issuance of definitive subordinated notes.</w:t>
      </w:r>
    </w:p>
    <w:p>
      <w:pPr>
        <w:spacing w:after="0" w:line="162"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Any global note exchanged in accordance with the first two items above will be so exchanged in whole and not in part, and any global note exchanged in accordance with the third item above may be exchanged in whole or from time to time in part as directed by DTC. In those circumstances, DTC will determine in whose names any securities issued in exchange for the global note will be registered. Any such notes in certificated form will be issued in minimum denominations of $100,000 and multiples of $1,000 in excess thereof and may be transferred or exchanged only in such minimum denominations.</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DTC or its nominee will be considered the sole owner and holder of the global note for all purposes, and as a result:</w:t>
      </w:r>
    </w:p>
    <w:p>
      <w:pPr>
        <w:spacing w:after="0" w:line="131" w:lineRule="exact"/>
        <w:rPr>
          <w:sz w:val="20"/>
          <w:szCs w:val="20"/>
          <w:color w:val="auto"/>
        </w:rPr>
      </w:pPr>
    </w:p>
    <w:p>
      <w:pPr>
        <w:ind w:left="5540" w:right="3740" w:hanging="4884"/>
        <w:spacing w:after="0" w:line="454" w:lineRule="auto"/>
        <w:tabs>
          <w:tab w:leader="none" w:pos="1094"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cannot get notes registered in your name if they are represented by the global note; 37</w:t>
      </w:r>
    </w:p>
    <w:p>
      <w:pPr>
        <w:sectPr>
          <w:pgSz w:w="11900" w:h="16838" w:orient="portrait"/>
          <w:cols w:equalWidth="0" w:num="1">
            <w:col w:w="11100"/>
          </w:cols>
          <w:pgMar w:left="320" w:top="455" w:right="47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cannot receive certificated (physical) notes in exchange for your beneficial interest in the global note;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will not be considered to be the owner or holder of the global note or any note it represents for any purpose;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payments on the global note will be made to DTC or its nominee.</w:t>
      </w:r>
    </w:p>
    <w:p>
      <w:pPr>
        <w:spacing w:after="0" w:line="225" w:lineRule="exact"/>
        <w:rPr>
          <w:sz w:val="20"/>
          <w:szCs w:val="20"/>
          <w:color w:val="auto"/>
        </w:rPr>
      </w:pPr>
    </w:p>
    <w:p>
      <w:pPr>
        <w:ind w:left="120" w:right="420" w:firstLine="440"/>
        <w:spacing w:after="0" w:line="312" w:lineRule="auto"/>
        <w:rPr>
          <w:sz w:val="20"/>
          <w:szCs w:val="20"/>
          <w:color w:val="auto"/>
        </w:rPr>
      </w:pPr>
      <w:r>
        <w:rPr>
          <w:rFonts w:ascii="Times New Roman" w:cs="Times New Roman" w:eastAsia="Times New Roman" w:hAnsi="Times New Roman"/>
          <w:sz w:val="17"/>
          <w:szCs w:val="17"/>
          <w:color w:val="auto"/>
        </w:rPr>
        <w:t>The laws of some jurisdictions require that certain kinds of purchasers (for example, certain insurance companies) can only own securities in definitive (certificated) form. These laws may limit your ability to transfer your beneficial interests in the global note to these types of purchasers.</w:t>
      </w:r>
    </w:p>
    <w:p>
      <w:pPr>
        <w:spacing w:after="0" w:line="140"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Only institutions (such as a securities broker or dealer) that have accounts with the DTC or its nominee (called “participants”) and persons that may hold beneficial interests through participants (including through Euroclear Bank SA/NV or Clearstream Banking, société anonyme, as DTC participants) can own a beneficial interest in the global note. The only place where the ownership of beneficial interests in the global note will appear and the only way the transfer of those interests can be made will be on the records kept by DTC (for their participants’ interests) and the records kept by those participants (for interests of persons held by participants on their behalf).</w:t>
      </w:r>
    </w:p>
    <w:p>
      <w:pPr>
        <w:spacing w:after="0" w:line="183" w:lineRule="exact"/>
        <w:rPr>
          <w:sz w:val="20"/>
          <w:szCs w:val="20"/>
          <w:color w:val="auto"/>
        </w:rPr>
      </w:pPr>
    </w:p>
    <w:p>
      <w:pPr>
        <w:ind w:left="120" w:right="300" w:firstLine="440"/>
        <w:spacing w:after="0" w:line="266" w:lineRule="auto"/>
        <w:rPr>
          <w:sz w:val="20"/>
          <w:szCs w:val="20"/>
          <w:color w:val="auto"/>
        </w:rPr>
      </w:pPr>
      <w:r>
        <w:rPr>
          <w:rFonts w:ascii="Times New Roman" w:cs="Times New Roman" w:eastAsia="Times New Roman" w:hAnsi="Times New Roman"/>
          <w:sz w:val="18"/>
          <w:szCs w:val="18"/>
          <w:color w:val="auto"/>
        </w:rPr>
        <w:t>Secondary trading in bonds and notes of corporate issuers is generally settled in clearing-house (that is, next-day) funds. In contrast, beneficial interests in a global note usually trade in DTC’s same-day funds settlement system, and settle in immediately available funds. We make no representations as to the effect that settlement in immediately available funds will have on trading activity in those beneficial interests.</w:t>
      </w:r>
    </w:p>
    <w:p>
      <w:pPr>
        <w:spacing w:after="0" w:line="176" w:lineRule="exact"/>
        <w:rPr>
          <w:sz w:val="20"/>
          <w:szCs w:val="20"/>
          <w:color w:val="auto"/>
        </w:rPr>
      </w:pPr>
    </w:p>
    <w:p>
      <w:pPr>
        <w:ind w:left="120" w:right="260" w:firstLine="440"/>
        <w:spacing w:after="0" w:line="282" w:lineRule="auto"/>
        <w:rPr>
          <w:sz w:val="20"/>
          <w:szCs w:val="20"/>
          <w:color w:val="auto"/>
        </w:rPr>
      </w:pPr>
      <w:r>
        <w:rPr>
          <w:rFonts w:ascii="Times New Roman" w:cs="Times New Roman" w:eastAsia="Times New Roman" w:hAnsi="Times New Roman"/>
          <w:sz w:val="18"/>
          <w:szCs w:val="18"/>
          <w:color w:val="auto"/>
        </w:rPr>
        <w:t>Cash payments of interest on and principal of the global note will be made to Cede, the nominee for DTC, as the registered owner of the global note. These payments will be made by wire transfer of immediately available funds on each payment date.</w:t>
      </w:r>
    </w:p>
    <w:p>
      <w:pPr>
        <w:spacing w:after="0" w:line="162" w:lineRule="exact"/>
        <w:rPr>
          <w:sz w:val="20"/>
          <w:szCs w:val="20"/>
          <w:color w:val="auto"/>
        </w:rPr>
      </w:pPr>
    </w:p>
    <w:p>
      <w:pPr>
        <w:ind w:left="120" w:right="220" w:firstLine="440"/>
        <w:spacing w:after="0" w:line="266" w:lineRule="auto"/>
        <w:rPr>
          <w:sz w:val="20"/>
          <w:szCs w:val="20"/>
          <w:color w:val="auto"/>
        </w:rPr>
      </w:pPr>
      <w:r>
        <w:rPr>
          <w:rFonts w:ascii="Times New Roman" w:cs="Times New Roman" w:eastAsia="Times New Roman" w:hAnsi="Times New Roman"/>
          <w:sz w:val="18"/>
          <w:szCs w:val="18"/>
          <w:color w:val="auto"/>
        </w:rPr>
        <w:t>You may exchange or transfer the notes at the corporate trust office of the trustee for the notes or at any other office or agency maintained by us for those purposes. We will not require payment of a service charge for any transfer or exchange of the notes, but we may require payment of a sum sufficient to cover any applicable tax or other governmental charge.</w:t>
      </w:r>
    </w:p>
    <w:p>
      <w:pPr>
        <w:spacing w:after="0" w:line="176"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We have been informed that, with respect to any cash payment of interest on or principal of the global note, DTC’s practice is to credit participants’ accounts on the payment date with payments in amounts proportionate to their respective beneficial interests in the notes represented by the global note as shown on DTC’s records, unless DTC has reason to believe that it will not receive payment on that payment date. Payments by participants to owners of beneficial interests in notes represented by the global note held through participants will be the responsibility of those participants, as is now the case with securities held for the accounts of customers registered in “street name.”</w:t>
      </w:r>
    </w:p>
    <w:p>
      <w:pPr>
        <w:spacing w:after="0" w:line="183"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We also understand that neither DTC nor Cede will consent or vote with respect to the notes. We have been advised that under its usual procedures, DTC will mail an “omnibus proxy” to us as soon as possible after the record date. The omnibus proxy assigns Cede’s consenting or voting rights to those participants to whose accounts the notes are credited on the record date identified in a listing attached to the omnibus proxy.</w:t>
      </w:r>
    </w:p>
    <w:p>
      <w:pPr>
        <w:spacing w:after="0" w:line="176" w:lineRule="exact"/>
        <w:rPr>
          <w:sz w:val="20"/>
          <w:szCs w:val="20"/>
          <w:color w:val="auto"/>
        </w:rPr>
      </w:pPr>
    </w:p>
    <w:p>
      <w:pPr>
        <w:jc w:val="both"/>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Because DTC can only act on behalf of participants, who in turn act on behalf of indirect participants, the ability of a person having a beneficial interest in the principal amount represented by the global note to pledge the interest to persons or entities that do not participate in the DTC book-entry system, or otherwise take actions in respect of that interest, may be affected by the lack of a physical certificate evidencing its interest.</w:t>
      </w:r>
    </w:p>
    <w:p>
      <w:pPr>
        <w:spacing w:after="0" w:line="176"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DTC has advised that it will take any action permitted to be taken by a holder of notes (including the presentation of notes for exchange) only at the direction of one or more participants to whose account with DTC</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120"/>
          </w:cols>
          <w:pgMar w:left="320" w:top="455" w:right="45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420"/>
        <w:spacing w:after="0" w:line="282" w:lineRule="auto"/>
        <w:rPr>
          <w:sz w:val="20"/>
          <w:szCs w:val="20"/>
          <w:color w:val="auto"/>
        </w:rPr>
      </w:pPr>
      <w:r>
        <w:rPr>
          <w:rFonts w:ascii="Times New Roman" w:cs="Times New Roman" w:eastAsia="Times New Roman" w:hAnsi="Times New Roman"/>
          <w:sz w:val="18"/>
          <w:szCs w:val="18"/>
          <w:color w:val="auto"/>
        </w:rPr>
        <w:t>interests in the global note are credited and only in respect of such portion of the principal amount of the notes represented by the global note as to which such participant has, or participants have, given such direction.</w:t>
      </w:r>
    </w:p>
    <w:p>
      <w:pPr>
        <w:spacing w:after="0" w:line="162" w:lineRule="exact"/>
        <w:rPr>
          <w:sz w:val="20"/>
          <w:szCs w:val="20"/>
          <w:color w:val="auto"/>
        </w:rPr>
      </w:pPr>
    </w:p>
    <w:p>
      <w:pPr>
        <w:ind w:left="120" w:right="40" w:firstLine="440"/>
        <w:spacing w:after="0" w:line="272" w:lineRule="auto"/>
        <w:rPr>
          <w:sz w:val="20"/>
          <w:szCs w:val="20"/>
          <w:color w:val="auto"/>
        </w:rPr>
      </w:pPr>
      <w:r>
        <w:rPr>
          <w:rFonts w:ascii="Times New Roman" w:cs="Times New Roman" w:eastAsia="Times New Roman" w:hAnsi="Times New Roman"/>
          <w:sz w:val="17"/>
          <w:szCs w:val="17"/>
          <w:color w:val="auto"/>
        </w:rPr>
        <w:t>DTC has also advised as follows: DTC is a limited purpose trust company organized under the laws of the State of New York, a “banking organization” within the meaning of the New York Banking Law, a member of the Federal Reserve, a “clearing corporation” within the meaning of the Uniform Commercial Code, as amended, and a “clearing agency” registered pursuant to the provisions of Section 17A of the Exchange Act. DTC was created to hold securities for its participants and facilitate the clearance and settlement of securities transactions between participants through electronic book-entry changes in accounts of its participants. Participants include securities brokers and dealers, banks, trust companies and clearing corporations and may include certain other organizations. Certain of such participants (or their representatives), together with other entities, own DTC. Indirect access to the DTC system is available to other entities such as banks, brokers, dealers and trust companies that clear through or maintain a custodial relationship with a participant, either directly or indirectly. The rules applicable to DTC and its direct and indirect participants are on file with the SEC.</w:t>
      </w:r>
    </w:p>
    <w:p>
      <w:pPr>
        <w:spacing w:after="0" w:line="172"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The policies and procedures of DTC, which may change periodically, will apply to payments, transfers, exchanges and other matters relating to beneficial interests in the global note. We and the trustee have no responsibility or liability for any aspect of DTC’s or any participants’ records relating to beneficial interests in the global note, including for payments made on the global note, and we and the trustee are not responsible for maintaining, supervising or reviewing any of those records.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Indenture Covenants</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The indenture contains no covenants or restrictions restricting the incurrence of indebtedness or other obligations by us or by a subsidiary of ours, including the Bank. The indenture contains no financial covenants requiring us to achieve or maintain any minimum financial results relating to our financial position or results of operations or meet or exceed any financial ratios as a general matter or in order to incur additional indebtedness or obligations or to maintain any reserves. Moreover, neither the indenture nor the notes contain any covenants limiting our right to incur additional indebtedness or obligations, grant liens on our assets to secure our indebtedness or other obligations that are senior in right of payment to the notes, repurchase our stock or other securities, including any of the notes, or pay dividends or make other distributions to our shareholders (except, subject to certain limited exceptions, in the case of dividends or other distributions; redemptions, purchases, acquisitions or liquidation payments with respect to our capital stock; and repayments, repurchases or redemptions of any debt securities that rank equal with or junior to the notes, in each case, upon our failure to timely pay the principal of or interest on the notes, when the same becomes due and payable). In addition, neither the indenture nor the notes contain any provision that would provide protection to the holders of the notes against a sudden and dramatic decline in our credit quality resulting from a merger, takeover, recapitalization or similar restructuring or any other event involving us or our subsidiaries that may adversely affect our credit quality.</w:t>
      </w:r>
    </w:p>
    <w:p>
      <w:pPr>
        <w:spacing w:after="0" w:line="29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Events of Default; Right of Acceleration; Failure to Pay Principal or Interest</w:t>
      </w:r>
    </w:p>
    <w:p>
      <w:pPr>
        <w:spacing w:after="0" w:line="121"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The following are events of default under the indenture (whatever the reason for such event of default and whether it will be voluntary or involuntary or be effected by operation of law or in accordance with any judgment, decree, or order of any court or any order, rule, or regulation of any administrative or governmental body):</w:t>
      </w:r>
    </w:p>
    <w:p>
      <w:pPr>
        <w:spacing w:after="0" w:line="81" w:lineRule="exact"/>
        <w:rPr>
          <w:sz w:val="20"/>
          <w:szCs w:val="20"/>
          <w:color w:val="auto"/>
        </w:rPr>
      </w:pPr>
    </w:p>
    <w:p>
      <w:pPr>
        <w:ind w:left="1080" w:right="160" w:hanging="424"/>
        <w:spacing w:after="0" w:line="266" w:lineRule="auto"/>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entry of a decree or order for relief in respect of the Company by a court having jurisdiction in the premises in an involuntary case or proceeding under any applicable bankruptcy, insolvency, or reorganization law, now or hereafter in effect of the United States or any political subdivision thereof, and such decree or order will have continued unstayed and in effect for a period of 60 consecutive days;</w:t>
      </w:r>
    </w:p>
    <w:p>
      <w:pPr>
        <w:spacing w:after="0" w:line="81" w:lineRule="exact"/>
        <w:rPr>
          <w:rFonts w:ascii="Times New Roman" w:cs="Times New Roman" w:eastAsia="Times New Roman" w:hAnsi="Times New Roman"/>
          <w:sz w:val="18"/>
          <w:szCs w:val="18"/>
          <w:color w:val="auto"/>
        </w:rPr>
      </w:pPr>
    </w:p>
    <w:p>
      <w:pPr>
        <w:ind w:left="1080" w:right="520" w:hanging="424"/>
        <w:spacing w:after="0" w:line="282" w:lineRule="auto"/>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commencement by the Company of a voluntary case under any applicable bankruptcy, insolvency or reorganization law, now or hereafter in effect of the United States or any political subdivision</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080"/>
          </w:cols>
          <w:pgMar w:left="320" w:top="455" w:right="49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thereof, or the consent by the Company to the entry of a decree or order for relief in an involuntary case or proceeding under any such law;</w:t>
      </w:r>
    </w:p>
    <w:p>
      <w:pPr>
        <w:spacing w:after="0" w:line="131" w:lineRule="exact"/>
        <w:rPr>
          <w:sz w:val="20"/>
          <w:szCs w:val="20"/>
          <w:color w:val="auto"/>
        </w:rPr>
      </w:pPr>
    </w:p>
    <w:p>
      <w:pPr>
        <w:ind w:left="1080" w:right="400" w:hanging="424"/>
        <w:spacing w:after="0" w:line="282" w:lineRule="auto"/>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of the Company to pay any installment of interest on the notes as and when the same will become due and payable, and the continuation of such failure for a period of 15 days;</w:t>
      </w:r>
    </w:p>
    <w:p>
      <w:pPr>
        <w:spacing w:after="0" w:line="67" w:lineRule="exact"/>
        <w:rPr>
          <w:rFonts w:ascii="Times New Roman" w:cs="Times New Roman" w:eastAsia="Times New Roman" w:hAnsi="Times New Roman"/>
          <w:sz w:val="18"/>
          <w:szCs w:val="18"/>
          <w:color w:val="auto"/>
        </w:rPr>
      </w:pPr>
    </w:p>
    <w:p>
      <w:pPr>
        <w:ind w:left="1080" w:right="260" w:hanging="424"/>
        <w:spacing w:after="0" w:line="282" w:lineRule="auto"/>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of the Company to pay all or any part of the principal of any of the notes as and when the same will become due and payable under the indenture;</w:t>
      </w:r>
    </w:p>
    <w:p>
      <w:pPr>
        <w:spacing w:after="0" w:line="67" w:lineRule="exact"/>
        <w:rPr>
          <w:rFonts w:ascii="Times New Roman" w:cs="Times New Roman" w:eastAsia="Times New Roman" w:hAnsi="Times New Roman"/>
          <w:sz w:val="18"/>
          <w:szCs w:val="18"/>
          <w:color w:val="auto"/>
        </w:rPr>
      </w:pPr>
    </w:p>
    <w:p>
      <w:pPr>
        <w:ind w:left="1080" w:right="20" w:hanging="424"/>
        <w:spacing w:after="0" w:line="258" w:lineRule="auto"/>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of the Company to perform any other covenant or agreement on the part of the Company contained in the notes or in the indenture, and the continuation of such failure for a period of 30 days after the date on which notice specifying such failure, stating that such notice is a “Notice of Default” (as defined in the indenture) and demanding that the Company remedy the same, will have been given, in the manner set forth in the indenture, to the Company by the trustee, or to the Company and the trustee by the holders of at least 25% in aggregate principal amount of the notes at the time outstanding; and</w:t>
      </w:r>
    </w:p>
    <w:p>
      <w:pPr>
        <w:spacing w:after="0" w:line="88" w:lineRule="exact"/>
        <w:rPr>
          <w:rFonts w:ascii="Times New Roman" w:cs="Times New Roman" w:eastAsia="Times New Roman" w:hAnsi="Times New Roman"/>
          <w:sz w:val="18"/>
          <w:szCs w:val="18"/>
          <w:color w:val="auto"/>
        </w:rPr>
      </w:pPr>
    </w:p>
    <w:p>
      <w:pPr>
        <w:ind w:left="1080" w:right="60" w:hanging="424"/>
        <w:spacing w:after="0" w:line="256" w:lineRule="auto"/>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default by the Company under any bond, debenture, note or other evidence of indebtedness for money borrowed by the Company having an aggregate principal amount of at least $25,000,000, whether such indebtedness now exists or is created or incurred in the future, which default (i) constitutes a failure to pay any portion of the principal of such indebtedness when due and payable after the expiration of any applicable grace period or (ii) results in such indebtedness becoming due or being declared due and payable prior to the date on which it otherwise would have become due and payable without, in the case of clause (i), such indebtedness having been discharged or, in the case of clause (ii) without such indebtedness having been discharged or such acceleration having been rescinded or annulled.</w:t>
      </w:r>
    </w:p>
    <w:p>
      <w:pPr>
        <w:spacing w:after="0" w:line="187"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Upon becoming aware of any event of default, the Company will promptly deliver to the trustee a written statement specifying the event of default. If an event of default with respect to the notes occurs due to a bankruptcy event, then the principal amount of all of the outstanding notes, and accrued and unpaid interest, if any, on all outstanding notes will become and be immediately due and payable without any declaration or other act on the part of the trustee or any holder, and the Company waives demand, presentment for payment, notice of nonpayment, notice of protest, and all other notices with respect to such event of default. Notwithstanding the foregoing, because the Company will treat the notes as Tier 2 Capital, upon the occurrence of an event of default other than an event of default described in the foregoing sentence, neither the trustee nor any holder may accelerate the maturity of the notes and make the principal of, and any accrued and unpaid interest on, the notes, immediately due and payable.</w:t>
      </w:r>
    </w:p>
    <w:p>
      <w:pPr>
        <w:spacing w:after="0" w:line="189" w:lineRule="exact"/>
        <w:rPr>
          <w:sz w:val="20"/>
          <w:szCs w:val="20"/>
          <w:color w:val="auto"/>
        </w:rPr>
      </w:pPr>
    </w:p>
    <w:p>
      <w:pPr>
        <w:ind w:left="120" w:firstLine="440"/>
        <w:spacing w:after="0" w:line="271" w:lineRule="auto"/>
        <w:rPr>
          <w:sz w:val="20"/>
          <w:szCs w:val="20"/>
          <w:color w:val="auto"/>
        </w:rPr>
      </w:pPr>
      <w:r>
        <w:rPr>
          <w:rFonts w:ascii="Times New Roman" w:cs="Times New Roman" w:eastAsia="Times New Roman" w:hAnsi="Times New Roman"/>
          <w:sz w:val="17"/>
          <w:szCs w:val="17"/>
          <w:color w:val="auto"/>
        </w:rPr>
        <w:t>Under the indenture, if the Company fails to make any payment of interest on any note when such interest becomes due and payable and such default continues for a period of 15 days, or if the Company fails to make any payment of the principal of any note when such principal becomes due and payable, the trustee may, subject to certain limitations and conditions, demand, for the benefit of the holders of the notes, that the Company pay to the trustee, for the benefit of the holders of the notes, the whole amount then due and payable with respect to the notes, with interest upon the overdue principal, and, to the extent permitted by applicable law, upon any overdue installments of interest at the rate or respective rates, as the case may be, provided for or with respect to the notes or, if no such rate or rates are so provided, at the rate or respective rates, as the case may be, of interest borne by the notes. Any such rights to receive payment of such amounts under the notes remain subject to the subordination provisions of the notes as discussed above under “—Subordination.” Neither the trustee nor the holders of the notes will have the right to accelerate the maturity of the notes in the case of our failure to pay the principal of, or interest on, the notes or our non-performance of any other covenant or warranty under the notes or the indenture.</w:t>
      </w:r>
    </w:p>
    <w:p>
      <w:pPr>
        <w:spacing w:after="0" w:line="10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120"/>
          </w:cols>
          <w:pgMar w:left="320" w:top="455" w:right="45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Amendment, Supplement and Waiver</w:t>
      </w:r>
    </w:p>
    <w:p>
      <w:pPr>
        <w:spacing w:after="0" w:line="121" w:lineRule="exact"/>
        <w:rPr>
          <w:sz w:val="20"/>
          <w:szCs w:val="20"/>
          <w:color w:val="auto"/>
        </w:rPr>
      </w:pPr>
    </w:p>
    <w:p>
      <w:pPr>
        <w:ind w:left="120" w:right="780" w:firstLine="440"/>
        <w:spacing w:after="0" w:line="282" w:lineRule="auto"/>
        <w:rPr>
          <w:sz w:val="20"/>
          <w:szCs w:val="20"/>
          <w:color w:val="auto"/>
        </w:rPr>
      </w:pPr>
      <w:r>
        <w:rPr>
          <w:rFonts w:ascii="Times New Roman" w:cs="Times New Roman" w:eastAsia="Times New Roman" w:hAnsi="Times New Roman"/>
          <w:sz w:val="18"/>
          <w:szCs w:val="18"/>
          <w:color w:val="auto"/>
        </w:rPr>
        <w:t>Without the consent of any holder of notes, we and the trustee, at any time and from time to time, may enter into one or more indentures supplemental to the indenture for any of the following purposes:</w:t>
      </w:r>
    </w:p>
    <w:p>
      <w:pPr>
        <w:spacing w:after="0" w:line="67" w:lineRule="exact"/>
        <w:rPr>
          <w:sz w:val="20"/>
          <w:szCs w:val="20"/>
          <w:color w:val="auto"/>
        </w:rPr>
      </w:pPr>
    </w:p>
    <w:p>
      <w:pPr>
        <w:ind w:left="1080" w:right="240" w:hanging="424"/>
        <w:spacing w:after="0" w:line="282" w:lineRule="auto"/>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evidence a succession of another person to the Company, and the assumption by any such successor of our covenants contained in the indenture and the notes;</w:t>
      </w:r>
    </w:p>
    <w:p>
      <w:pPr>
        <w:spacing w:after="0" w:line="67"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to our covenants for the benefit of the holders, or to surrender any right or power conferred upon us with respect to the notes issued under the indenture;</w:t>
      </w:r>
    </w:p>
    <w:p>
      <w:pPr>
        <w:spacing w:after="0" w:line="67"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permit or facilitate the issuance of notes in uncertificated or global form, provided any such action will not adversely affect the interests of the holders;</w:t>
      </w:r>
    </w:p>
    <w:p>
      <w:pPr>
        <w:spacing w:after="0" w:line="67" w:lineRule="exact"/>
        <w:rPr>
          <w:rFonts w:ascii="Times New Roman" w:cs="Times New Roman" w:eastAsia="Times New Roman" w:hAnsi="Times New Roman"/>
          <w:sz w:val="18"/>
          <w:szCs w:val="18"/>
          <w:color w:val="auto"/>
        </w:rPr>
      </w:pPr>
    </w:p>
    <w:p>
      <w:pPr>
        <w:jc w:val="both"/>
        <w:ind w:left="1080" w:hanging="424"/>
        <w:spacing w:after="0" w:line="266" w:lineRule="auto"/>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evidence and provide for the acceptance of appointment under the indenture by a successor trustee with respect to the notes and to add to or change any provisions of the indenture as will be necessary to provide for or facilitate the administration of the trusts hereunder by more than one trustee in accordance with the terms of the indenture;</w:t>
      </w:r>
    </w:p>
    <w:p>
      <w:pPr>
        <w:spacing w:after="0" w:line="81"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cure any ambiguity or to correct or supplement any provision of the indenture that may be defective or that may be inconsistent with any other provision in the indenture;</w:t>
      </w:r>
    </w:p>
    <w:p>
      <w:pPr>
        <w:spacing w:after="0" w:line="67" w:lineRule="exact"/>
        <w:rPr>
          <w:rFonts w:ascii="Times New Roman" w:cs="Times New Roman" w:eastAsia="Times New Roman" w:hAnsi="Times New Roman"/>
          <w:sz w:val="18"/>
          <w:szCs w:val="18"/>
          <w:color w:val="auto"/>
        </w:rPr>
      </w:pPr>
    </w:p>
    <w:p>
      <w:pPr>
        <w:ind w:left="1080" w:right="180" w:hanging="424"/>
        <w:spacing w:after="0" w:line="282" w:lineRule="auto"/>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any other provisions with respect to matters or questions arising under the indenture that will not adversely affect the interests of the holders of the notes;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any additional events of default;</w:t>
      </w:r>
    </w:p>
    <w:p>
      <w:pPr>
        <w:spacing w:after="0" w:line="130" w:lineRule="exact"/>
        <w:rPr>
          <w:rFonts w:ascii="Times New Roman" w:cs="Times New Roman" w:eastAsia="Times New Roman" w:hAnsi="Times New Roman"/>
          <w:sz w:val="18"/>
          <w:szCs w:val="18"/>
          <w:color w:val="auto"/>
        </w:rPr>
      </w:pPr>
    </w:p>
    <w:p>
      <w:pPr>
        <w:ind w:left="1080" w:right="260" w:hanging="424"/>
        <w:spacing w:after="0" w:line="282" w:lineRule="auto"/>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supplement any of the provisions of the indenture as necessary to permit or facilitate legal or covenant defeasance, or satisfaction and discharge of the notes in accordance with the indenture, as long as any such action will not adversely affect the interests of any holder;</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the issuance of exchange notes;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conform any provision of the indenture to the requirements of the Trust Indenture Act;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any change that does not adversely affect the legal rights under the indenture of any holder.</w:t>
      </w:r>
    </w:p>
    <w:p>
      <w:pPr>
        <w:spacing w:after="0" w:line="225" w:lineRule="exact"/>
        <w:rPr>
          <w:sz w:val="20"/>
          <w:szCs w:val="20"/>
          <w:color w:val="auto"/>
        </w:rPr>
      </w:pPr>
    </w:p>
    <w:p>
      <w:pPr>
        <w:ind w:left="120" w:right="240" w:firstLine="440"/>
        <w:spacing w:after="0" w:line="261" w:lineRule="auto"/>
        <w:rPr>
          <w:sz w:val="20"/>
          <w:szCs w:val="20"/>
          <w:color w:val="auto"/>
        </w:rPr>
      </w:pPr>
      <w:r>
        <w:rPr>
          <w:rFonts w:ascii="Times New Roman" w:cs="Times New Roman" w:eastAsia="Times New Roman" w:hAnsi="Times New Roman"/>
          <w:sz w:val="18"/>
          <w:szCs w:val="18"/>
          <w:color w:val="auto"/>
        </w:rPr>
        <w:t>With the consent of the holders of not less than a majority in principal amount of the outstanding notes, we and the trustee may enter into an indenture or indentures supplemental to the indenture for the purpose of adding any provisions to or changing in any manner or eliminating any of the provisions of the indenture or the notes or of modifying in any manner the rights of the holders under the indenture, except that no such supplemental indenture, without the consent of the holder of each outstanding note affected thereby, will:</w:t>
      </w:r>
    </w:p>
    <w:p>
      <w:pPr>
        <w:spacing w:after="0" w:line="85" w:lineRule="exact"/>
        <w:rPr>
          <w:sz w:val="20"/>
          <w:szCs w:val="20"/>
          <w:color w:val="auto"/>
        </w:rPr>
      </w:pPr>
    </w:p>
    <w:p>
      <w:pPr>
        <w:ind w:left="1080" w:hanging="424"/>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rate of, or change the time for payment of, interest, including defaulted interest, on any note;</w:t>
      </w:r>
    </w:p>
    <w:p>
      <w:pPr>
        <w:spacing w:after="0" w:line="130" w:lineRule="exact"/>
        <w:rPr>
          <w:rFonts w:ascii="Times New Roman" w:cs="Times New Roman" w:eastAsia="Times New Roman" w:hAnsi="Times New Roman"/>
          <w:sz w:val="18"/>
          <w:szCs w:val="18"/>
          <w:color w:val="auto"/>
        </w:rPr>
      </w:pPr>
    </w:p>
    <w:p>
      <w:pPr>
        <w:ind w:left="1080" w:right="440" w:hanging="424"/>
        <w:spacing w:after="0" w:line="282" w:lineRule="auto"/>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principal of or change the stated maturity of any note, change the date on which any note may be subject to redemption, or reduce the redemption price at which any note subject to redemption may be redeemed;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note payable in money other than dollars;</w:t>
      </w:r>
    </w:p>
    <w:p>
      <w:pPr>
        <w:spacing w:after="0" w:line="130" w:lineRule="exact"/>
        <w:rPr>
          <w:rFonts w:ascii="Times New Roman" w:cs="Times New Roman" w:eastAsia="Times New Roman" w:hAnsi="Times New Roman"/>
          <w:sz w:val="18"/>
          <w:szCs w:val="18"/>
          <w:color w:val="auto"/>
        </w:rPr>
      </w:pPr>
    </w:p>
    <w:p>
      <w:pPr>
        <w:ind w:left="1080" w:right="180" w:hanging="424"/>
        <w:spacing w:after="0" w:line="282" w:lineRule="auto"/>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change in provisions of the indenture protecting the right of each holder to receive payment of principal of and interest on such note on or after the due date thereof or to bring suit to enforce such payment;</w:t>
      </w:r>
    </w:p>
    <w:p>
      <w:pPr>
        <w:spacing w:after="0" w:line="67" w:lineRule="exact"/>
        <w:rPr>
          <w:rFonts w:ascii="Times New Roman" w:cs="Times New Roman" w:eastAsia="Times New Roman" w:hAnsi="Times New Roman"/>
          <w:sz w:val="18"/>
          <w:szCs w:val="18"/>
          <w:color w:val="auto"/>
        </w:rPr>
      </w:pPr>
    </w:p>
    <w:p>
      <w:pPr>
        <w:ind w:left="1080" w:right="160" w:hanging="424"/>
        <w:spacing w:after="0" w:line="282" w:lineRule="auto"/>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threshold of holders the consent of whom is required for any such supplemental indenture or required to waive certain defaults and covenants under the indenture; or</w:t>
      </w:r>
    </w:p>
    <w:p>
      <w:pPr>
        <w:spacing w:after="0" w:line="67" w:lineRule="exact"/>
        <w:rPr>
          <w:rFonts w:ascii="Times New Roman" w:cs="Times New Roman" w:eastAsia="Times New Roman" w:hAnsi="Times New Roman"/>
          <w:sz w:val="18"/>
          <w:szCs w:val="18"/>
          <w:color w:val="auto"/>
        </w:rPr>
      </w:pPr>
    </w:p>
    <w:p>
      <w:pPr>
        <w:ind w:left="1080" w:right="200" w:hanging="424"/>
        <w:spacing w:after="0" w:line="261" w:lineRule="auto"/>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modify any of the provisions of the section of the indenture governing supplemental indentures with the consent of holders, or those provisions relating to waiver of defaults or certain covenants, except to increase any such percentage required for such actions or to provide that certain other provisions of the indenture cannot be modified or waived without the consent of the holder of each outstanding note affected thereby.</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140"/>
          </w:cols>
          <w:pgMar w:left="320" w:top="455" w:right="4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The holders of not less than a majority in aggregate principal amount of the outstanding notes may on behalf of the holders of all notes waive any past default under the indenture and its consequences, except a default in the payment of the principal of or interest on any note, or in respect of a covenant or provision of the indenture under which the indenture cannot be modified or amended without the consent of the holder of each outstanding note.</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Satisfaction and Discharge of the Indenture; Defeasance</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may terminate our obligations under the indenture when:</w:t>
      </w:r>
    </w:p>
    <w:p>
      <w:pPr>
        <w:spacing w:after="0" w:line="131" w:lineRule="exact"/>
        <w:rPr>
          <w:sz w:val="20"/>
          <w:szCs w:val="20"/>
          <w:color w:val="auto"/>
        </w:rPr>
      </w:pPr>
    </w:p>
    <w:p>
      <w:pPr>
        <w:ind w:left="1080" w:right="20" w:hanging="424"/>
        <w:spacing w:after="0" w:line="256" w:lineRule="auto"/>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either: (1) all notes that have been authenticated and delivered have been delivered to the trustee for cancellation, or (2) all notes that have not been delivered to the trustee for cancellation (i) have become due and payable, or (ii) will become due and payable at their stated maturity within one year or (iii) if redeemable at the option of the Company, are to be called for redemption within one year under arrangements satisfactory to the trustee for the giving of notice of redemption by the trustee, and in the case of the foregoing clause 2(i), 2(ii) or 2(iii), we have deposited or caused to be deposited with the trustee trust funds in trust for such purpose, an amount sufficient to pay and discharge the entire indebtedness on the outstanding notes;</w:t>
      </w:r>
    </w:p>
    <w:p>
      <w:pPr>
        <w:spacing w:after="0" w:line="92"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paid or caused to be paid all other sums then due and payable by us under the indenture with respect to the notes; and</w:t>
      </w:r>
    </w:p>
    <w:p>
      <w:pPr>
        <w:spacing w:after="0" w:line="130" w:lineRule="exact"/>
        <w:rPr>
          <w:rFonts w:ascii="Times New Roman" w:cs="Times New Roman" w:eastAsia="Times New Roman" w:hAnsi="Times New Roman"/>
          <w:sz w:val="18"/>
          <w:szCs w:val="18"/>
          <w:color w:val="auto"/>
        </w:rPr>
      </w:pPr>
    </w:p>
    <w:p>
      <w:pPr>
        <w:ind w:left="1080" w:right="480" w:hanging="424"/>
        <w:spacing w:after="0" w:line="282" w:lineRule="auto"/>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delivered to the trustee an officer’s certificate and an opinion of counsel, each stating that all conditions precedent under the indenture relating to the satisfaction and discharge of the indenture have been satisfied.</w:t>
      </w:r>
    </w:p>
    <w:p>
      <w:pPr>
        <w:spacing w:after="0" w:line="162" w:lineRule="exact"/>
        <w:rPr>
          <w:sz w:val="20"/>
          <w:szCs w:val="20"/>
          <w:color w:val="auto"/>
        </w:rPr>
      </w:pPr>
    </w:p>
    <w:p>
      <w:pPr>
        <w:jc w:val="both"/>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We may elect, at our option and at any time, to have our obligations discharged with respect to the outstanding notes, which we refer to as legal defeasance. Legal defeasance means that we will be deemed to have paid and discharged the entire indebtedness represented by the outstanding notes, except for:</w:t>
      </w:r>
    </w:p>
    <w:p>
      <w:pPr>
        <w:spacing w:after="0" w:line="81" w:lineRule="exact"/>
        <w:rPr>
          <w:sz w:val="20"/>
          <w:szCs w:val="20"/>
          <w:color w:val="auto"/>
        </w:rPr>
      </w:pPr>
    </w:p>
    <w:p>
      <w:pPr>
        <w:ind w:left="1080" w:hanging="424"/>
        <w:spacing w:after="0"/>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of the holders of such notes to receive payments in respect of the principal of and interest on such notes when payments are due;</w:t>
      </w:r>
    </w:p>
    <w:p>
      <w:pPr>
        <w:spacing w:after="0" w:line="130" w:lineRule="exact"/>
        <w:rPr>
          <w:rFonts w:ascii="Times New Roman" w:cs="Times New Roman" w:eastAsia="Times New Roman" w:hAnsi="Times New Roman"/>
          <w:sz w:val="18"/>
          <w:szCs w:val="18"/>
          <w:color w:val="auto"/>
        </w:rPr>
      </w:pPr>
    </w:p>
    <w:p>
      <w:pPr>
        <w:ind w:left="1080" w:right="220" w:hanging="424"/>
        <w:spacing w:after="0" w:line="282" w:lineRule="auto"/>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obligations and the obligations of the trustee with respect to such notes concerning registration of notes, mutilated, destroyed, lost or stolen notes and the maintenance of an office or agency for payment and money for payments on the notes to be held in trust;</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powers, trusts, duties and immunities of the trustee under the indenture;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defeasance provisions and the application of trust money provisions of the indenture.</w:t>
      </w:r>
    </w:p>
    <w:p>
      <w:pPr>
        <w:spacing w:after="0" w:line="225"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In addition, we may elect, at our option, to have our obligations released with respect to certain covenants contained in the indenture, which is also called covenant defeasance. In the event covenant defeasance occurs, certain events (not including non-payment, bankruptcy and insolvency events) will no longer constitute an event of default with respect to the notes.</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 order to exercise either legal defeasance or covenant defeasance with respect to outstanding notes:</w:t>
      </w:r>
    </w:p>
    <w:p>
      <w:pPr>
        <w:spacing w:after="0" w:line="131" w:lineRule="exact"/>
        <w:rPr>
          <w:sz w:val="20"/>
          <w:szCs w:val="20"/>
          <w:color w:val="auto"/>
        </w:rPr>
      </w:pPr>
    </w:p>
    <w:p>
      <w:pPr>
        <w:ind w:left="1080" w:right="40" w:hanging="424"/>
        <w:spacing w:after="0" w:line="255" w:lineRule="auto"/>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must irrevocably have deposited or caused to be deposited with the trustee as trust funds in trust for the purpose of making the following payments, specifically pledged as security for, and dedicated solely to the benefit of the holders of such notes, (i) an amount in dollars, (ii) U.S. government obligations that through the scheduled payment of principal and interest in respect thereof in accordance with their terms will provide, not later than one day before the due date of any payment on the notes, money, or (iii) a combination thereof, in each case, in an amount, sufficient to pay and discharge, and which will be applied by the trustee to pay and discharge, the entire indebtedness in respect of the principal of and interest on the notes on the stated maturity thereof or, with respect to notes called for redemption, on the redemption date thereof;</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120"/>
          </w:cols>
          <w:pgMar w:left="320" w:top="455" w:right="45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right="140" w:hanging="424"/>
        <w:spacing w:after="0" w:line="282" w:lineRule="auto"/>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legal defeasance or covenant defeasance will not result in a breach or violation of, or constitute a default under, the indenture or any other material agreement or instrument to which the Company or any subsidiary is a party or by which it is bound;</w:t>
      </w:r>
    </w:p>
    <w:p>
      <w:pPr>
        <w:spacing w:after="0" w:line="67" w:lineRule="exact"/>
        <w:rPr>
          <w:rFonts w:ascii="Times New Roman" w:cs="Times New Roman" w:eastAsia="Times New Roman" w:hAnsi="Times New Roman"/>
          <w:sz w:val="18"/>
          <w:szCs w:val="18"/>
          <w:color w:val="auto"/>
        </w:rPr>
      </w:pPr>
    </w:p>
    <w:p>
      <w:pPr>
        <w:ind w:left="1080" w:right="120" w:hanging="424"/>
        <w:spacing w:after="0" w:line="261" w:lineRule="auto"/>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event of default, or event which with notice or lapse of time or both would become an event of default with respect to the outstanding notes will have occurred and be continuing on the date of such deposit referred to in the first bullet point above (and in the case of legal defeasance will have occurred and be continuing at any time during the period ending on and including the 91st day after the date of such deposit);</w:t>
      </w:r>
    </w:p>
    <w:p>
      <w:pPr>
        <w:spacing w:after="0" w:line="85" w:lineRule="exact"/>
        <w:rPr>
          <w:rFonts w:ascii="Times New Roman" w:cs="Times New Roman" w:eastAsia="Times New Roman" w:hAnsi="Times New Roman"/>
          <w:sz w:val="18"/>
          <w:szCs w:val="18"/>
          <w:color w:val="auto"/>
        </w:rPr>
      </w:pPr>
    </w:p>
    <w:p>
      <w:pPr>
        <w:ind w:left="1080" w:hanging="424"/>
        <w:spacing w:after="0" w:line="256" w:lineRule="auto"/>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legal defeasance, we must have delivered to the trustee an opinion of counsel stating that (i) we have received from, or there has been published by, the Internal Revenue Service a ruling or (ii) since the date of the indenture there has been a change in the applicable U.S. federal income tax law, in either case to the effect that, and based thereon such opinion will confirm that, the holders of the notes will not recognize income, gain or loss for U.S. federal income tax purposes as a result of such legal defeasance to be effected with respect to such notes and will be subject to U.S. federal income tax on the same amounts, in the same manner and at the same times as would be the case if such legal defeasance had not occurred;</w:t>
      </w:r>
    </w:p>
    <w:p>
      <w:pPr>
        <w:spacing w:after="0" w:line="92" w:lineRule="exact"/>
        <w:rPr>
          <w:rFonts w:ascii="Times New Roman" w:cs="Times New Roman" w:eastAsia="Times New Roman" w:hAnsi="Times New Roman"/>
          <w:sz w:val="18"/>
          <w:szCs w:val="18"/>
          <w:color w:val="auto"/>
        </w:rPr>
      </w:pPr>
    </w:p>
    <w:p>
      <w:pPr>
        <w:ind w:left="1080" w:right="180" w:hanging="424"/>
        <w:spacing w:after="0" w:line="261" w:lineRule="auto"/>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covenant defeasance, we must have delivered to the trustee an opinion of counsel to the effect that the holders of the outstanding notes will not recognize income, gain or loss for U.S. federal income tax purposes as a result of such covenant defeasance to be effected with respect to the notes and will be subject to U.S. federal income tax on the same amount, in the same manner and at the same times as would be the case if such covenant defeasance had not occurred; and</w:t>
      </w:r>
    </w:p>
    <w:p>
      <w:pPr>
        <w:spacing w:after="0" w:line="85" w:lineRule="exact"/>
        <w:rPr>
          <w:rFonts w:ascii="Times New Roman" w:cs="Times New Roman" w:eastAsia="Times New Roman" w:hAnsi="Times New Roman"/>
          <w:sz w:val="18"/>
          <w:szCs w:val="18"/>
          <w:color w:val="auto"/>
        </w:rPr>
      </w:pPr>
    </w:p>
    <w:p>
      <w:pPr>
        <w:ind w:left="1080" w:right="420" w:hanging="424"/>
        <w:spacing w:after="0" w:line="282" w:lineRule="auto"/>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must have delivered to the trustee an officers’ certificate and an opinion of counsel, each stating that all conditions precedent with respect to such legal defeasance or covenant defeasance have been satisfied.</w:t>
      </w:r>
    </w:p>
    <w:p>
      <w:pPr>
        <w:spacing w:after="0" w:line="162"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In connection with a discharge or defeasance, in the event the trustee is unable to apply the moneys deposited as contemplated under the satisfaction and discharge provisions of the indenture for any reason, our obligations under the indenture and the notes will be revived as if the deposit had never occurred.</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Effect of Benchmark Transition Event</w:t>
      </w:r>
    </w:p>
    <w:p>
      <w:pPr>
        <w:spacing w:after="0" w:line="119"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Benchmark Replacement</w:t>
      </w:r>
      <w:r>
        <w:rPr>
          <w:rFonts w:ascii="Times New Roman" w:cs="Times New Roman" w:eastAsia="Times New Roman" w:hAnsi="Times New Roman"/>
          <w:sz w:val="18"/>
          <w:szCs w:val="18"/>
          <w:color w:val="auto"/>
        </w:rPr>
        <w:t>. If the Calculation Agent determines that a Benchmark Transition Event and its related Benchmark Replacement Date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have occurred on or prior to the Reference Time in respect of any determination of the Benchmark on any date, the Benchmark Replacement will replace the then-current Benchmark for all purposes relating to the notes during the relevant Floating Interest Period in respect of such determination on such date and all determinations on all subsequent dates.</w:t>
      </w:r>
    </w:p>
    <w:p>
      <w:pPr>
        <w:spacing w:after="0" w:line="180" w:lineRule="exact"/>
        <w:rPr>
          <w:sz w:val="20"/>
          <w:szCs w:val="20"/>
          <w:color w:val="auto"/>
        </w:rPr>
      </w:pPr>
    </w:p>
    <w:p>
      <w:pPr>
        <w:ind w:left="120" w:right="8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Benchmark Replacement Conforming Changes</w:t>
      </w:r>
      <w:r>
        <w:rPr>
          <w:rFonts w:ascii="Times New Roman" w:cs="Times New Roman" w:eastAsia="Times New Roman" w:hAnsi="Times New Roman"/>
          <w:sz w:val="18"/>
          <w:szCs w:val="18"/>
          <w:color w:val="auto"/>
        </w:rPr>
        <w:t>. In connection with the implementation of a Benchmark Replacement, the Company will have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right to make Benchmark Replacement Conforming Changes from time to time, and such changes shall become effective without consent from the relevant holders or any other party.</w:t>
      </w:r>
    </w:p>
    <w:p>
      <w:pPr>
        <w:spacing w:after="0" w:line="17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Certain Defined Terms</w:t>
      </w:r>
      <w:r>
        <w:rPr>
          <w:rFonts w:ascii="Times New Roman" w:cs="Times New Roman" w:eastAsia="Times New Roman" w:hAnsi="Times New Roman"/>
          <w:sz w:val="18"/>
          <w:szCs w:val="18"/>
          <w:color w:val="auto"/>
        </w:rPr>
        <w:t>. As used herein:</w:t>
      </w:r>
    </w:p>
    <w:p>
      <w:pPr>
        <w:spacing w:after="0" w:line="227" w:lineRule="exact"/>
        <w:rPr>
          <w:sz w:val="20"/>
          <w:szCs w:val="20"/>
          <w:color w:val="auto"/>
        </w:rPr>
      </w:pPr>
    </w:p>
    <w:p>
      <w:pPr>
        <w:ind w:left="120" w:right="280" w:firstLine="440"/>
        <w:spacing w:after="0" w:line="258" w:lineRule="auto"/>
        <w:rPr>
          <w:sz w:val="20"/>
          <w:szCs w:val="20"/>
          <w:color w:val="auto"/>
        </w:rPr>
      </w:pPr>
      <w:r>
        <w:rPr>
          <w:rFonts w:ascii="Times New Roman" w:cs="Times New Roman" w:eastAsia="Times New Roman" w:hAnsi="Times New Roman"/>
          <w:sz w:val="18"/>
          <w:szCs w:val="18"/>
          <w:color w:val="auto"/>
        </w:rPr>
        <w:t>“Benchmark Replacement” means the Interpolated Benchmark with respect to the then-current Benchmark, plus the Benchmark Replacement Adjustment for such Benchmark; provided that if: (i) the Calculation Agent cannot determine the Interpolated Benchmark as of the Benchmark Replacement Date, or (ii) the then-current Benchmark is Three-Month Term SOFR and a Benchmark Transition Event and its related Benchmark Replacement Date have occurred with respect to Three-Month Term SOFR (in which event no Interpolated Benchmark with respect to Three-Month Term SOFR shall be determined), then “Benchmark Replacement”</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100"/>
          </w:cols>
          <w:pgMar w:left="320" w:top="455" w:right="47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means the first alternative set forth in the order below that can be determined by the Calculation Agent as of the Benchmark Replacement Date:</w:t>
      </w:r>
    </w:p>
    <w:p>
      <w:pPr>
        <w:spacing w:after="0" w:line="131" w:lineRule="exact"/>
        <w:rPr>
          <w:sz w:val="20"/>
          <w:szCs w:val="20"/>
          <w:color w:val="auto"/>
        </w:rPr>
      </w:pPr>
    </w:p>
    <w:p>
      <w:pPr>
        <w:ind w:left="1080" w:hanging="532"/>
        <w:spacing w:after="0"/>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the sum of (A) Compounded SOFR and the (B) Benchmark Replacement Adjustment;</w:t>
      </w:r>
    </w:p>
    <w:p>
      <w:pPr>
        <w:spacing w:after="0" w:line="130" w:lineRule="exact"/>
        <w:rPr>
          <w:rFonts w:ascii="Times New Roman" w:cs="Times New Roman" w:eastAsia="Times New Roman" w:hAnsi="Times New Roman"/>
          <w:sz w:val="18"/>
          <w:szCs w:val="18"/>
          <w:color w:val="auto"/>
        </w:rPr>
      </w:pPr>
    </w:p>
    <w:p>
      <w:pPr>
        <w:ind w:left="1080" w:right="40" w:hanging="532"/>
        <w:spacing w:after="0" w:line="282" w:lineRule="auto"/>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sum of: (a) the alternate rate that of interest has been selected or recommended by the Relevant Governmental Body as the replacement for the then-current Benchmark for the applicable Corresponding Tenor and (b) the Benchmark Replacement Adjustment;</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sum of: (a) the ISDA Fallback Rate and (b) the Benchmark Replacement Adjustment; or</w:t>
      </w:r>
    </w:p>
    <w:p>
      <w:pPr>
        <w:spacing w:after="0" w:line="130" w:lineRule="exact"/>
        <w:rPr>
          <w:rFonts w:ascii="Times New Roman" w:cs="Times New Roman" w:eastAsia="Times New Roman" w:hAnsi="Times New Roman"/>
          <w:sz w:val="18"/>
          <w:szCs w:val="18"/>
          <w:color w:val="auto"/>
        </w:rPr>
      </w:pPr>
    </w:p>
    <w:p>
      <w:pPr>
        <w:ind w:left="1080" w:right="40" w:hanging="532"/>
        <w:spacing w:after="0" w:line="266" w:lineRule="auto"/>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sum of: (a) the alternate rate of interest that has been selected by the Calculation Agent as the replacement for the then-current Benchmark for the applicable Corresponding Tenor giving due consideration to any industry-accepted rate of interest as a replacement for the then-current Benchmark for U.S. dollar-denominated floating rate notes at such time, and (b) the Benchmark Replacement Adjustment.</w:t>
      </w:r>
    </w:p>
    <w:p>
      <w:pPr>
        <w:spacing w:after="0" w:line="176"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If the Benchmark Replacement as determined pursuant to clause (i), (ii), (iii) or (iv) above would be less than zero, the Benchmark Replacement will be deemed to be zero.</w:t>
      </w:r>
    </w:p>
    <w:p>
      <w:pPr>
        <w:spacing w:after="0" w:line="162"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“Benchmark Replacement Adjustment” means the first alternative set forth in the order below that can be determined by the Calculation Agent as of the Benchmark Replacement Date:</w:t>
      </w:r>
    </w:p>
    <w:p>
      <w:pPr>
        <w:spacing w:after="0" w:line="67" w:lineRule="exact"/>
        <w:rPr>
          <w:sz w:val="20"/>
          <w:szCs w:val="20"/>
          <w:color w:val="auto"/>
        </w:rPr>
      </w:pPr>
    </w:p>
    <w:p>
      <w:pPr>
        <w:ind w:left="1080" w:hanging="532"/>
        <w:spacing w:after="0" w:line="282" w:lineRule="auto"/>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spread adjustment, or method for calculating or determining such spread adjustment (which may be a positive or negative value or zero), that has been selected or recommended by the Relevant Governmental Body for the applicable Unadjusted Benchmark Replacement;</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applicable Unadjusted Benchmark Replacement is equivalent to the ISDA Fallback Rate, then the ISDA Fallback Adjustment; or</w:t>
      </w:r>
    </w:p>
    <w:p>
      <w:pPr>
        <w:spacing w:after="0" w:line="130" w:lineRule="exact"/>
        <w:rPr>
          <w:rFonts w:ascii="Times New Roman" w:cs="Times New Roman" w:eastAsia="Times New Roman" w:hAnsi="Times New Roman"/>
          <w:sz w:val="18"/>
          <w:szCs w:val="18"/>
          <w:color w:val="auto"/>
        </w:rPr>
      </w:pPr>
    </w:p>
    <w:p>
      <w:pPr>
        <w:ind w:left="1080" w:right="100" w:hanging="532"/>
        <w:spacing w:after="0" w:line="261" w:lineRule="auto"/>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spread adjustment (which may be a positive or negative value or zero) that has been selected by the Calculation Agent giving due consideration to any industry-accepted spread adjustment or method for calculating or determining such spread adjustment, for the replacement of the then-current Benchmark with the applicable Unadjusted Benchmark Replacement for U.S. dollar-denominated floating rate notes at such time.</w:t>
      </w:r>
    </w:p>
    <w:p>
      <w:pPr>
        <w:spacing w:after="0" w:line="180" w:lineRule="exact"/>
        <w:rPr>
          <w:sz w:val="20"/>
          <w:szCs w:val="20"/>
          <w:color w:val="auto"/>
        </w:rPr>
      </w:pPr>
    </w:p>
    <w:p>
      <w:pPr>
        <w:ind w:left="120" w:right="180" w:firstLine="440"/>
        <w:spacing w:after="0" w:line="255" w:lineRule="auto"/>
        <w:rPr>
          <w:sz w:val="20"/>
          <w:szCs w:val="20"/>
          <w:color w:val="auto"/>
        </w:rPr>
      </w:pPr>
      <w:r>
        <w:rPr>
          <w:rFonts w:ascii="Times New Roman" w:cs="Times New Roman" w:eastAsia="Times New Roman" w:hAnsi="Times New Roman"/>
          <w:sz w:val="18"/>
          <w:szCs w:val="18"/>
          <w:color w:val="auto"/>
        </w:rPr>
        <w:t>“Benchmark Replacement Conforming Changes” means, with respect to any Benchmark Replacement, any technical, administrative or operational changes (including, without limitation, changes to the definition of “Floating Interest Period,” timing and frequency of determining rates with respect to each Floating Interest Period and making payments of interest, rounding of amounts or tenors and other administrative matters) that the Calculation Agent or the Company decides may be appropriate to reflect the adoption of such Benchmark Replacement in a manner substantially consistent with market practice (or, if the Calculation Agent or the Company decides that adoption of any portion of such market practice is not administratively feasible or if the Calculation Agent or the Company determines that no market practice for use of the Benchmark Replacement exists, in such other manner as the Calculation Agent or the Company determines is reasonably necessary).</w:t>
      </w:r>
    </w:p>
    <w:p>
      <w:pPr>
        <w:spacing w:after="0" w:line="18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“Benchmark Replacement Date” means the earliest to occur of the following events with respect to the then-current Benchmark:</w:t>
      </w:r>
    </w:p>
    <w:p>
      <w:pPr>
        <w:spacing w:after="0" w:line="131" w:lineRule="exact"/>
        <w:rPr>
          <w:sz w:val="20"/>
          <w:szCs w:val="20"/>
          <w:color w:val="auto"/>
        </w:rPr>
      </w:pPr>
    </w:p>
    <w:p>
      <w:pPr>
        <w:ind w:left="1080" w:hanging="532"/>
        <w:spacing w:after="0"/>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clause (i) of the definition of “Benchmark Transition Event,” the relevant Reference Time in respect of any determination;</w:t>
      </w:r>
    </w:p>
    <w:p>
      <w:pPr>
        <w:spacing w:after="0" w:line="130" w:lineRule="exact"/>
        <w:rPr>
          <w:rFonts w:ascii="Times New Roman" w:cs="Times New Roman" w:eastAsia="Times New Roman" w:hAnsi="Times New Roman"/>
          <w:sz w:val="18"/>
          <w:szCs w:val="18"/>
          <w:color w:val="auto"/>
        </w:rPr>
      </w:pPr>
    </w:p>
    <w:p>
      <w:pPr>
        <w:ind w:left="1080" w:right="300" w:hanging="532"/>
        <w:spacing w:after="0" w:line="266" w:lineRule="auto"/>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clause (ii) or (iii) of the definition of “Benchmark Transition Event,” the later of (a) the date of the public statement or publication of information referenced therein and (b) the date on which the administrator of the Benchmark permanently or indefinitely ceases to provide the Benchmark; or</w:t>
      </w:r>
    </w:p>
    <w:p>
      <w:pPr>
        <w:spacing w:after="0" w:line="81" w:lineRule="exact"/>
        <w:rPr>
          <w:rFonts w:ascii="Times New Roman" w:cs="Times New Roman" w:eastAsia="Times New Roman" w:hAnsi="Times New Roman"/>
          <w:sz w:val="18"/>
          <w:szCs w:val="18"/>
          <w:color w:val="auto"/>
        </w:rPr>
      </w:pPr>
    </w:p>
    <w:p>
      <w:pPr>
        <w:ind w:left="1080" w:right="140" w:hanging="532"/>
        <w:spacing w:after="0" w:line="282" w:lineRule="auto"/>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clause (iv) of the definition of “Benchmark Transition Event,” the date of the public statement or publication of information referenced therein.</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140"/>
          </w:cols>
          <w:pgMar w:left="320" w:top="455" w:right="4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For the avoidance of doubt, if the event giving rise to the Benchmark Replacement Date occurs on the same day as, but earlier than, the Reference Time in respect of any determination, the Benchmark Replacement Date will be deemed to have occurred prior to the Reference Time for purposes of such determination.</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“Benchmark Transition Event” means the occurrence of one or more of the following events with respect to the then-current Benchmark:</w:t>
      </w:r>
    </w:p>
    <w:p>
      <w:pPr>
        <w:spacing w:after="0" w:line="131" w:lineRule="exact"/>
        <w:rPr>
          <w:sz w:val="20"/>
          <w:szCs w:val="20"/>
          <w:color w:val="auto"/>
        </w:rPr>
      </w:pPr>
    </w:p>
    <w:p>
      <w:pPr>
        <w:ind w:left="1080" w:hanging="532"/>
        <w:spacing w:after="0" w:line="282" w:lineRule="auto"/>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Benchmark is Three-Month Term SOFR, the Calculation Agent or the Company determines that the use of a forward-looking rate for a tenor of three months based on SOFR is not administratively feasible;</w:t>
      </w:r>
    </w:p>
    <w:p>
      <w:pPr>
        <w:spacing w:after="0" w:line="67" w:lineRule="exact"/>
        <w:rPr>
          <w:rFonts w:ascii="Times New Roman" w:cs="Times New Roman" w:eastAsia="Times New Roman" w:hAnsi="Times New Roman"/>
          <w:sz w:val="18"/>
          <w:szCs w:val="18"/>
          <w:color w:val="auto"/>
        </w:rPr>
      </w:pPr>
    </w:p>
    <w:p>
      <w:pPr>
        <w:jc w:val="both"/>
        <w:ind w:left="1080" w:right="40" w:hanging="532"/>
        <w:spacing w:after="0" w:line="266" w:lineRule="auto"/>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public statement or publication of information by or on behalf of the administrator of the Benchmark announcing that such administrator has ceased or will cease to provide the Benchmark, permanently or indefinitely, provided that, at the time of such statement or publication, there is no successor administrator that will continue to provide the Benchmark;</w:t>
      </w:r>
    </w:p>
    <w:p>
      <w:pPr>
        <w:spacing w:after="0" w:line="81" w:lineRule="exact"/>
        <w:rPr>
          <w:rFonts w:ascii="Times New Roman" w:cs="Times New Roman" w:eastAsia="Times New Roman" w:hAnsi="Times New Roman"/>
          <w:sz w:val="18"/>
          <w:szCs w:val="18"/>
          <w:color w:val="auto"/>
        </w:rPr>
      </w:pPr>
    </w:p>
    <w:p>
      <w:pPr>
        <w:ind w:left="1080" w:right="80" w:hanging="532"/>
        <w:spacing w:after="0" w:line="256" w:lineRule="auto"/>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public statement or publication of information by the regulatory supervisor for the administrator of the Benchmark, the central bank for the currency of the Benchmark, an insolvency official with jurisdiction over the administrator for the Benchmark, a resolution authority with jurisdiction over the administrator for the Benchmark or a court or an entity with similar insolvency or resolution authority over the administrator for the Benchmark, which states that the administrator of the Benchmark has ceased or will cease to provide the Benchmark permanently or indefinitely, provided that, at the time of such statement or publication, there is no successor administrator that will continue to provide the Benchmark; or</w:t>
      </w:r>
    </w:p>
    <w:p>
      <w:pPr>
        <w:spacing w:after="0" w:line="92" w:lineRule="exact"/>
        <w:rPr>
          <w:rFonts w:ascii="Times New Roman" w:cs="Times New Roman" w:eastAsia="Times New Roman" w:hAnsi="Times New Roman"/>
          <w:sz w:val="18"/>
          <w:szCs w:val="18"/>
          <w:color w:val="auto"/>
        </w:rPr>
      </w:pPr>
    </w:p>
    <w:p>
      <w:pPr>
        <w:ind w:left="1080" w:right="180" w:hanging="532"/>
        <w:spacing w:after="0" w:line="282" w:lineRule="auto"/>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public statement or publication of information by the regulatory supervisor for the administrator of the Benchmark announcing that the Benchmark is no longer representative.</w:t>
      </w:r>
    </w:p>
    <w:p>
      <w:pPr>
        <w:spacing w:after="0" w:line="162"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“Compounded SOFR” means the compounded average of SOFRs for the applicable Corresponding Tenor, with the rate, or methodology for this rate, and conventions for this rate being established by the Company in accordance with:</w:t>
      </w:r>
    </w:p>
    <w:p>
      <w:pPr>
        <w:spacing w:after="0" w:line="67" w:lineRule="exact"/>
        <w:rPr>
          <w:sz w:val="20"/>
          <w:szCs w:val="20"/>
          <w:color w:val="auto"/>
        </w:rPr>
      </w:pPr>
    </w:p>
    <w:p>
      <w:pPr>
        <w:ind w:left="1080" w:right="400" w:hanging="532"/>
        <w:spacing w:after="0" w:line="282" w:lineRule="auto"/>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or methodology for this rate, and conventions for this rate selected or recommended by the Relevant Governmental Body for determining Compounded SOFR; provided that:</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to the extent that, the Calculation Agent determines that Compounded SOFR cannot be determined in accordance with clause</w:t>
      </w:r>
    </w:p>
    <w:p>
      <w:pPr>
        <w:spacing w:after="0" w:line="27" w:lineRule="exact"/>
        <w:rPr>
          <w:rFonts w:ascii="Times New Roman" w:cs="Times New Roman" w:eastAsia="Times New Roman" w:hAnsi="Times New Roman"/>
          <w:sz w:val="18"/>
          <w:szCs w:val="18"/>
          <w:color w:val="auto"/>
        </w:rPr>
      </w:pPr>
    </w:p>
    <w:p>
      <w:pPr>
        <w:ind w:left="1080" w:right="8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above, then the rate, or methodology for this rate, and conventions for this rate that have been selected by the Calculation Agent giving due consideration to any industry-accepted market practice for U.S. dollar-denominated floating rate notes at such time.</w:t>
      </w:r>
    </w:p>
    <w:p>
      <w:pPr>
        <w:spacing w:after="0" w:line="181"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For the avoidance of doubt, the calculation of Compounded SOFR will exclude the Benchmark Replacement Adjustment (if applicable) and the spread of 422 basis points per annum.</w:t>
      </w:r>
    </w:p>
    <w:p>
      <w:pPr>
        <w:spacing w:after="0" w:line="162" w:lineRule="exact"/>
        <w:rPr>
          <w:sz w:val="20"/>
          <w:szCs w:val="20"/>
          <w:color w:val="auto"/>
        </w:rPr>
      </w:pPr>
    </w:p>
    <w:p>
      <w:pPr>
        <w:ind w:left="120" w:right="20" w:firstLine="440"/>
        <w:spacing w:after="0" w:line="312" w:lineRule="auto"/>
        <w:rPr>
          <w:sz w:val="20"/>
          <w:szCs w:val="20"/>
          <w:color w:val="auto"/>
        </w:rPr>
      </w:pPr>
      <w:r>
        <w:rPr>
          <w:rFonts w:ascii="Times New Roman" w:cs="Times New Roman" w:eastAsia="Times New Roman" w:hAnsi="Times New Roman"/>
          <w:sz w:val="17"/>
          <w:szCs w:val="17"/>
          <w:color w:val="auto"/>
        </w:rPr>
        <w:t>“Corresponding Tenor” means (i) with respect to Term SOFR, three months, and (ii) with respect to a Benchmark Replacement, a tenor (including overnight) having approximately the same length (disregarding business day adjustment) as the applicable tenor for the then-current Benchmark.</w:t>
      </w:r>
    </w:p>
    <w:p>
      <w:pPr>
        <w:spacing w:after="0" w:line="140"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“Interpolated Benchmark” with respect to the Benchmark means the rate determined for the Corresponding Tenor by interpolating on a linear basis between: (i) the Benchmark for the longest period (for which the Benchmark is available) that is shorter than the Corresponding Tenor, and (ii) the Benchmark for the shortest period (for which the Benchmark is available) that is longer than the Corresponding Tenor.</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“ISDA” means the International Swaps and Derivatives Association, Inc. or any successor thereto.</w:t>
      </w:r>
    </w:p>
    <w:p>
      <w:pPr>
        <w:spacing w:after="0" w:line="225"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“ISDA Definitions” means the 2006 ISDA Definitions published by the ISDA or any successor thereto, as amended or supplemented from time to time, or any successor definitional booklet for interest rate derivatives published from time to time.</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100"/>
          </w:cols>
          <w:pgMar w:left="320" w:top="455" w:right="47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“ISDA Fallback Adjustment” means the spread adjustment (which may be a positive or negative value or zero) that would apply for derivatives transactions referencing the ISDA Definitions to be determined upon the occurrence of an index cessation event with respect to the Benchmark for the applicable tenor.</w:t>
      </w:r>
    </w:p>
    <w:p>
      <w:pPr>
        <w:spacing w:after="0" w:line="176" w:lineRule="exact"/>
        <w:rPr>
          <w:sz w:val="20"/>
          <w:szCs w:val="20"/>
          <w:color w:val="auto"/>
        </w:rPr>
      </w:pPr>
    </w:p>
    <w:p>
      <w:pPr>
        <w:ind w:left="120" w:right="380" w:firstLine="440"/>
        <w:spacing w:after="0" w:line="312" w:lineRule="auto"/>
        <w:rPr>
          <w:sz w:val="20"/>
          <w:szCs w:val="20"/>
          <w:color w:val="auto"/>
        </w:rPr>
      </w:pPr>
      <w:r>
        <w:rPr>
          <w:rFonts w:ascii="Times New Roman" w:cs="Times New Roman" w:eastAsia="Times New Roman" w:hAnsi="Times New Roman"/>
          <w:sz w:val="17"/>
          <w:szCs w:val="17"/>
          <w:color w:val="auto"/>
        </w:rPr>
        <w:t>“ISDA Fallback Rate” means the rate that would apply for derivatives transactions referencing the ISDA Definitions to be effective upon the occurrence of an index cessation date with respect to the Benchmark for the applicable tenor excluding the applicable ISDA Fallback Adjustment.</w:t>
      </w:r>
    </w:p>
    <w:p>
      <w:pPr>
        <w:spacing w:after="0" w:line="14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“Unadjusted Benchmark Replacement” means the Benchmark Replacement excluding the Benchmark Replacement Adjustment.</w:t>
      </w:r>
    </w:p>
    <w:p>
      <w:pPr>
        <w:spacing w:after="0" w:line="225" w:lineRule="exact"/>
        <w:rPr>
          <w:sz w:val="20"/>
          <w:szCs w:val="20"/>
          <w:color w:val="auto"/>
        </w:rPr>
      </w:pPr>
    </w:p>
    <w:p>
      <w:pPr>
        <w:ind w:left="120" w:right="360" w:firstLine="440"/>
        <w:spacing w:after="0" w:line="282" w:lineRule="auto"/>
        <w:rPr>
          <w:sz w:val="20"/>
          <w:szCs w:val="20"/>
          <w:color w:val="auto"/>
        </w:rPr>
      </w:pPr>
      <w:r>
        <w:rPr>
          <w:rFonts w:ascii="Times New Roman" w:cs="Times New Roman" w:eastAsia="Times New Roman" w:hAnsi="Times New Roman"/>
          <w:sz w:val="18"/>
          <w:szCs w:val="18"/>
          <w:color w:val="auto"/>
        </w:rPr>
        <w:t>The terms “FRBNY’s Website,” “Reference Time,” “Relevant Governmental Body,” “SOFR” and “Term SOFR” have the meanings set forth above under the heading “—Principal, Maturity and Interest.”</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Determinations and Decisions</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Company or Calculation Agent is expressly authorized to make certain determinations, decisions and elections under the terms of the notes, including with respect to the use of Three-Month Term SOFR as the Benchmark for the Floating Rate Period and under the benchmark transition provisions. Any determination, decision or election that may be made by the Company or by the Calculation Agent pursuant to the benchmark transition provisions set forth herein, including any determination with respect to a tenor, rate or adjustment or of the occurrence or non-occurrence of an event, circumstance or date, and any decision to take or refrain from taking any action or any selection:</w:t>
      </w:r>
    </w:p>
    <w:p>
      <w:pPr>
        <w:spacing w:after="0" w:line="89" w:lineRule="exact"/>
        <w:rPr>
          <w:sz w:val="20"/>
          <w:szCs w:val="20"/>
          <w:color w:val="auto"/>
        </w:rPr>
      </w:pPr>
    </w:p>
    <w:p>
      <w:pPr>
        <w:ind w:left="1080" w:hanging="424"/>
        <w:spacing w:after="0"/>
        <w:tabs>
          <w:tab w:leader="none" w:pos="10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be conclusive and binding absent manifest error;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made by the Company, will be made in the Company’s sole discretion;</w:t>
      </w:r>
    </w:p>
    <w:p>
      <w:pPr>
        <w:spacing w:after="0" w:line="130" w:lineRule="exact"/>
        <w:rPr>
          <w:rFonts w:ascii="Times New Roman" w:cs="Times New Roman" w:eastAsia="Times New Roman" w:hAnsi="Times New Roman"/>
          <w:sz w:val="18"/>
          <w:szCs w:val="18"/>
          <w:color w:val="auto"/>
        </w:rPr>
      </w:pPr>
    </w:p>
    <w:p>
      <w:pPr>
        <w:ind w:left="1080" w:right="220" w:hanging="424"/>
        <w:spacing w:after="0" w:line="282" w:lineRule="auto"/>
        <w:tabs>
          <w:tab w:leader="none" w:pos="10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made by the Calculation Agent, will be made after consultation with the Company, and the Calculation Agent will not make any such determination, decision or election to which the Company reasonably objects; and</w:t>
      </w:r>
    </w:p>
    <w:p>
      <w:pPr>
        <w:spacing w:after="0" w:line="67"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in the notes or the purchase agreement, shall become effective without consent from the relevant holders or any other party.</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Calculation Agent</w:t>
      </w:r>
    </w:p>
    <w:p>
      <w:pPr>
        <w:spacing w:after="0" w:line="121"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We may appoint a bank or other entity (which may be the Company or an affiliate of the Company) to act as the Calculation Agent for the notes during the Floating Rate Period. The initial Calculation Agent will be the Company.</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Regarding the Trustee</w:t>
      </w:r>
    </w:p>
    <w:p>
      <w:pPr>
        <w:spacing w:after="0" w:line="121" w:lineRule="exact"/>
        <w:rPr>
          <w:sz w:val="20"/>
          <w:szCs w:val="20"/>
          <w:color w:val="auto"/>
        </w:rPr>
      </w:pPr>
    </w:p>
    <w:p>
      <w:pPr>
        <w:jc w:val="both"/>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Wilmington Trust, National Association is acting as the trustee under the indenture and the initial paying agent and registrar for the notes. From time to time, we and some of our subsidiaries may maintain deposit accounts and conduct other banking transactions, including lending transactions, with the trustee in the ordinary course of business.</w:t>
      </w:r>
    </w:p>
    <w:p>
      <w:pPr>
        <w:spacing w:after="0" w:line="176"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Except during the continuance of an event of default under the indenture, the trustee will perform only such duties as are specifically set forth in the indenture. During the continuance of an event of default that has not been cured or waived, the trustee will exercise such of the rights and powers vested in it by the indenture, and use the same degree of care and skill in their exercise, as a prudent person would exercise or use under the circumstances.</w:t>
      </w:r>
    </w:p>
    <w:p>
      <w:pPr>
        <w:spacing w:after="0" w:line="11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080"/>
          </w:cols>
          <w:pgMar w:left="320" w:top="455" w:right="49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The indenture and the Trust Indenture Act contain certain limitations on the rights of the trustee, should it become a creditor of our organization, to obtain payment of claims in certain cases or to realize on certain property received in respect of any such claim as security or otherwise. The trustee will be permitted to engage in other transactions; however, if it acquires any “conflicting interest” (as defined in the Trust Indenture Act) it must eliminate such conflict within 90 days, apply to the SEC for permission to continue or resign.</w:t>
      </w:r>
    </w:p>
    <w:p>
      <w:pPr>
        <w:spacing w:after="0" w:line="180"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holders of a majority in principal amount of the outstanding notes will have the right to direct the time, method and place of conducting any proceeding for any remedy available to the trustee or exercising any trust or power conferred on the trustee with respect to the notes, subject to certain exceptions. The indenture provides that in case an event of default has occurred and is continuing, the trustee will exercise such of the rights and powers vested in it by the indenture, and use the same degree of care and skill in their exercise, as a prudent person would exercise or use under the circumstances in the conduct of such person’s own affairs. Subject to such provisions, the trustee will be under no obligation to exercise any of the rights or powers vested in it by the indenture at the request or direction of any of the holders under the indenture, unless such holders will have provided to the trustee security or indemnity satisfactory to the trustee against the losses, liabilities and expenses which might be incurred by it in compliance with such request or direction.</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 Personal Liability of Shareholders, Employees, Officers or Directors</w:t>
      </w:r>
    </w:p>
    <w:p>
      <w:pPr>
        <w:spacing w:after="0" w:line="121" w:lineRule="exact"/>
        <w:rPr>
          <w:sz w:val="20"/>
          <w:szCs w:val="20"/>
          <w:color w:val="auto"/>
        </w:rPr>
      </w:pPr>
    </w:p>
    <w:p>
      <w:pPr>
        <w:ind w:left="120" w:right="200" w:firstLine="440"/>
        <w:spacing w:after="0" w:line="258" w:lineRule="auto"/>
        <w:rPr>
          <w:sz w:val="20"/>
          <w:szCs w:val="20"/>
          <w:color w:val="auto"/>
        </w:rPr>
      </w:pPr>
      <w:r>
        <w:rPr>
          <w:rFonts w:ascii="Times New Roman" w:cs="Times New Roman" w:eastAsia="Times New Roman" w:hAnsi="Times New Roman"/>
          <w:sz w:val="18"/>
          <w:szCs w:val="18"/>
          <w:color w:val="auto"/>
        </w:rPr>
        <w:t>No past, present or future director, officer, employee or shareholder of our company or any of our predecessors or successors, as such or in such capacity, will have any personal liability for any of our obligations under the notes or the indenture by reason of his, her or its status as such director, officer, employee or shareholder. Each holder of notes by accepting a note waives and releases all such liability. The waiver and release are part of the consideration for the issuance of the notes. Such waiver may not be effective to waive liabilities under the federal securities laws, and it is the view of the SEC that such a waiver is against public policy.</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Governing Law</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notes and the indenture will be governed by and construed in accordance with the laws of the State of New York.</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120"/>
          </w:cols>
          <w:pgMar w:left="320" w:top="455" w:right="45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MATERIAL UNITED STATES FEDERAL INCOME TAX CONSIDERATIONS</w:t>
      </w:r>
    </w:p>
    <w:p>
      <w:pPr>
        <w:spacing w:after="0" w:line="229"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The following is a general summary of the material U.S. federal income tax considerations of the exchange of outstanding Old Notes for New Notes in the exchange offer. It is not a complete analysis of all the potential tax considerations relating to the exchange of outstanding Old Notes for New Notes. This discussion is based upon the provisions of the Internal Revenue Code of 1986, as amended (the “Code”), its legislative history, existing and proposed regulations under the Code, and administrative and judicial interpretations, all as currently in effect. These authorities are subject to change, possibly on a retroactive basis. We cannot assure you that the Internal Revenue Service will not challenge one or more of the tax consequences described in this discussion, and we have not obtained, nor do we intend to obtain, a ruling from the Internal Revenue Service or an opinion of counsel with respect to the U.S. federal income tax consequences described herein.</w:t>
      </w:r>
    </w:p>
    <w:p>
      <w:pPr>
        <w:spacing w:after="0" w:line="189" w:lineRule="exact"/>
        <w:rPr>
          <w:sz w:val="20"/>
          <w:szCs w:val="20"/>
          <w:color w:val="auto"/>
        </w:rPr>
      </w:pPr>
    </w:p>
    <w:p>
      <w:pPr>
        <w:ind w:left="120" w:right="80" w:firstLine="440"/>
        <w:spacing w:after="0" w:line="252" w:lineRule="auto"/>
        <w:rPr>
          <w:sz w:val="20"/>
          <w:szCs w:val="20"/>
          <w:color w:val="auto"/>
        </w:rPr>
      </w:pPr>
      <w:r>
        <w:rPr>
          <w:rFonts w:ascii="Times New Roman" w:cs="Times New Roman" w:eastAsia="Times New Roman" w:hAnsi="Times New Roman"/>
          <w:sz w:val="18"/>
          <w:szCs w:val="18"/>
          <w:color w:val="auto"/>
        </w:rPr>
        <w:t>The tax treatment of a holder of notes may vary depending on the holder’s particular situation. This discussion is limited to the U.S. federal income tax consequences applicable to holders that purchased their Old Notes from us in the initial offering and at the initial offering price for cash and who held the Old Notes, and will hold the New Notes, as capital assets within the meaning of Section 1221 of the Code for U.S. federal income tax purposes. This discussion does not address all U.S. federal income tax considerations that may be applicable to holders’ particular circumstances or to holders that may be subject to special tax rules under U.S. federal income tax laws, including, but not limited to, banks, insurance companies, or other financial institutions, regulated investment companies, real estate investment trusts, tax-exempt organizations, dealers or traders in securities, commodities or currencies, U.S. expatriates, controlled foreign corporations, passive foreign investment companies, holders subject to the alternative minimum tax, traders in securities that elect to use a mark-to-market method of accounting for their securities holdings, United States holders whose functional currency is not the United States dollar, persons that will hold the New Notes as a position in a hedging transaction, straddle, conversion transaction or other integrated transactions or risk reduction transaction, persons deemed to sell the New Notes under the constructive sale provisions of the Code, persons that will hold the New Notes in an individual retirement account, 401(k) plan or similar tax-favored account, an accrual method taxpayer who is required to recognize income for U.S. federal income tax purposes no later than when such income is taken into account for financial accounting purposes, a person that purchases or sells notes as part of a wash sale for tax purposes, or entities or arrangements classified as partnerships for U.S. federal income tax purposes or other pass-through entities, or investors in such entities. This discussion does not address the tax considerations arising under the laws of any foreign, state or local jurisdiction, or any non-income tax consequences of the exchange of Old Notes for New Notes.</w:t>
      </w:r>
    </w:p>
    <w:p>
      <w:pPr>
        <w:spacing w:after="0" w:line="196"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The exchange of Old Notes for New Notes in the exchange offer should not constitute a taxable exchange for U.S. federal income tax purposes. Consequently, (1) holders of Old Notes should not recognize gain or loss upon the receipt of New Notes in the exchange offer, (2) a holder’s basis in the New Notes received in the exchange offer should be the same as such holder’s basis in the Old Notes surrendered in exchange therefor immediately before the exchange, and (3) a holder’s holding period in the New Notes should include such holder’s holding period in the Old Notes surrendered in exchange therefor.</w:t>
      </w:r>
    </w:p>
    <w:p>
      <w:pPr>
        <w:spacing w:after="0" w:line="179" w:lineRule="exact"/>
        <w:rPr>
          <w:sz w:val="20"/>
          <w:szCs w:val="20"/>
          <w:color w:val="auto"/>
        </w:rPr>
      </w:pPr>
    </w:p>
    <w:p>
      <w:pPr>
        <w:ind w:left="12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This discussion of material United States Federal Income Tax Considerations is for general information only and may not be applicable depending upon a holder’s particular situation. Holders of Old Notes considering the exchange offer are urged to consult their own tax advisors with respect to the tax consequences to them of exchanging Old Notes for New Notes, including the tax consequences under state, local, estate, foreign and other tax laws and the possible effects of changes in United States or other tax laws.</w:t>
      </w:r>
    </w:p>
    <w:p>
      <w:pPr>
        <w:spacing w:after="0" w:line="11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120"/>
          </w:cols>
          <w:pgMar w:left="320" w:top="455" w:right="45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Each broker-dealer that receives New Notes for its own account pursuant to the exchange offer must acknowledge that it may be a statutory underwriter and that it will deliver a prospectus in connection with any resale of such New Notes. This prospectus, as it may be amended or supplemented from time to time, may be used by a broker-dealer in connection with resales of New Notes received in exchange for Old Notes where such Old Notes were acquired as a result of market-making activities or other trading activities provided that such broker-dealer notifies the Company to that effect by so indicating on the letter of transmittal. To the extent that any notifying broker-dealer participates in the exchange offer, we will use our commercially reasonable efforts to maintain the effectiveness of this prospectus.</w:t>
      </w:r>
    </w:p>
    <w:p>
      <w:pPr>
        <w:spacing w:after="0" w:line="187"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We will not receive any proceeds from any sale of New Notes by broker-dealers or any other persons. New Notes received by broker-dealers for their own account pursuant to the exchange offer may be sold from time to time in one or more transactions in the over-the-counter market, in negotiated transactions, through the writing of options on the New Notes or a combination of such methods of resale, at market prices prevailing at the time of resale, at prices related to such prevailing market prices or at negotiated prices. Any such resale may be made directly to purchasers or to or through brokers or dealers who may receive compensation in the form of commissions or concessions from any such broker-dealer and/or the purchasers of any New Notes. Any broker-dealer that receives New Notes in exchange for Old Notes acquired for its own account as a result of market-making activities or other trading activities, and resells such New Notes, and any broker-dealer that participates in a distribution of such New Notes may be deemed to be an “underwriter” within the meaning of the Securities Act and any profit on any such resale of New Notes and any commission or concessions received by any such persons may be deemed to be underwriting compensation under the Securities Act. The letter of transmittal states that, by acknowledging that it will deliver and by delivering a prospectus, a broker-dealer will not be deemed to admit that it is an “underwriter” within the meaning of the Securities Act.</w:t>
      </w:r>
    </w:p>
    <w:p>
      <w:pPr>
        <w:spacing w:after="0" w:line="192" w:lineRule="exact"/>
        <w:rPr>
          <w:sz w:val="20"/>
          <w:szCs w:val="20"/>
          <w:color w:val="auto"/>
        </w:rPr>
      </w:pPr>
    </w:p>
    <w:p>
      <w:pPr>
        <w:ind w:left="120" w:right="220" w:firstLine="440"/>
        <w:spacing w:after="0" w:line="266" w:lineRule="auto"/>
        <w:rPr>
          <w:sz w:val="20"/>
          <w:szCs w:val="20"/>
          <w:color w:val="auto"/>
        </w:rPr>
      </w:pPr>
      <w:r>
        <w:rPr>
          <w:rFonts w:ascii="Times New Roman" w:cs="Times New Roman" w:eastAsia="Times New Roman" w:hAnsi="Times New Roman"/>
          <w:sz w:val="18"/>
          <w:szCs w:val="18"/>
          <w:color w:val="auto"/>
        </w:rPr>
        <w:t>We will promptly send additional copies of this prospectus and any amendment or supplement to this prospectus to any broker-dealer that reasonably requests such documents. We have agreed to pay certain expenses in connection with the exchange offer and will indemnify the holders of the Old Notes (including any broker-dealers) against certain liabilities, including certain liabilities under the Securities Act.</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120"/>
          </w:cols>
          <w:pgMar w:left="320" w:top="455" w:right="45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validity of the New Notes will be passed upon for us by Squire Patton Boggs (US) LLP.</w:t>
      </w:r>
    </w:p>
    <w:p>
      <w:pPr>
        <w:spacing w:after="0" w:line="200" w:lineRule="exact"/>
        <w:rPr>
          <w:sz w:val="20"/>
          <w:szCs w:val="20"/>
          <w:color w:val="auto"/>
        </w:rPr>
      </w:pPr>
    </w:p>
    <w:p>
      <w:pPr>
        <w:spacing w:after="0" w:line="23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consolidated balance sheets of USCB Financial Holdings Inc. as of December 31, 2024 and 2023, the related consolidated statements of operations, comprehensive income (loss), changes in stockholders’ equity, and cash flows for each of the years then ended, as incorporated in this prospectus by reference from the Company’s Annual Report on Form 10-K for the year ended December 31, 2024, have been audited by Crowe LLP, an independent registered public accounting firm, as stated in their report. Such consolidated financial statements are incorporated by reference in reliance upon the report of such firm given their authority as experts in auditing and accounting.</w:t>
      </w:r>
    </w:p>
    <w:p>
      <w:pPr>
        <w:spacing w:after="0" w:line="11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50</w:t>
      </w:r>
    </w:p>
    <w:sectPr>
      <w:pgSz w:w="11900" w:h="16838" w:orient="portrait"/>
      <w:cols w:equalWidth="0" w:num="1">
        <w:col w:w="11080"/>
      </w:cols>
      <w:pgMar w:left="320" w:top="455"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75A2A8D4"/>
    <w:multiLevelType w:val="hybridMultilevel"/>
    <w:lvl w:ilvl="0">
      <w:lvlJc w:val="left"/>
      <w:lvlText w:val="•"/>
      <w:numFmt w:val="bullet"/>
      <w:start w:val="1"/>
    </w:lvl>
  </w:abstractNum>
  <w:abstractNum w:abstractNumId="1">
    <w:nsid w:val="8EDBDAB"/>
    <w:multiLevelType w:val="hybridMultilevel"/>
    <w:lvl w:ilvl="0">
      <w:lvlJc w:val="left"/>
      <w:lvlText w:val="•"/>
      <w:numFmt w:val="bullet"/>
      <w:start w:val="1"/>
    </w:lvl>
  </w:abstractNum>
  <w:abstractNum w:abstractNumId="2">
    <w:nsid w:val="79838CB2"/>
    <w:multiLevelType w:val="hybridMultilevel"/>
    <w:lvl w:ilvl="0">
      <w:lvlJc w:val="left"/>
      <w:lvlText w:val="•"/>
      <w:numFmt w:val="bullet"/>
      <w:start w:val="1"/>
    </w:lvl>
  </w:abstractNum>
  <w:abstractNum w:abstractNumId="3">
    <w:nsid w:val="4353D0CD"/>
    <w:multiLevelType w:val="hybridMultilevel"/>
    <w:lvl w:ilvl="0">
      <w:lvlJc w:val="left"/>
      <w:lvlText w:val="•"/>
      <w:numFmt w:val="bullet"/>
      <w:start w:val="1"/>
    </w:lvl>
  </w:abstractNum>
  <w:abstractNum w:abstractNumId="4">
    <w:nsid w:val="B03E0C6"/>
    <w:multiLevelType w:val="hybridMultilevel"/>
    <w:lvl w:ilvl="0">
      <w:lvlJc w:val="left"/>
      <w:lvlText w:val="(%1)"/>
      <w:numFmt w:val="lowerRoman"/>
      <w:start w:val="2"/>
    </w:lvl>
  </w:abstractNum>
  <w:abstractNum w:abstractNumId="5">
    <w:nsid w:val="189A769B"/>
    <w:multiLevelType w:val="hybridMultilevel"/>
    <w:lvl w:ilvl="0">
      <w:lvlJc w:val="left"/>
      <w:lvlText w:val="•"/>
      <w:numFmt w:val="bullet"/>
      <w:start w:val="1"/>
    </w:lvl>
  </w:abstractNum>
  <w:abstractNum w:abstractNumId="6">
    <w:nsid w:val="54E49EB4"/>
    <w:multiLevelType w:val="hybridMultilevel"/>
    <w:lvl w:ilvl="0">
      <w:lvlJc w:val="left"/>
      <w:lvlText w:val="•"/>
      <w:numFmt w:val="bullet"/>
      <w:start w:val="1"/>
    </w:lvl>
  </w:abstractNum>
  <w:abstractNum w:abstractNumId="7">
    <w:nsid w:val="71F32454"/>
    <w:multiLevelType w:val="hybridMultilevel"/>
    <w:lvl w:ilvl="0">
      <w:lvlJc w:val="left"/>
      <w:lvlText w:val="•"/>
      <w:numFmt w:val="bullet"/>
      <w:start w:val="1"/>
    </w:lvl>
  </w:abstractNum>
  <w:abstractNum w:abstractNumId="8">
    <w:nsid w:val="2CA88611"/>
    <w:multiLevelType w:val="hybridMultilevel"/>
    <w:lvl w:ilvl="0">
      <w:lvlJc w:val="left"/>
      <w:lvlText w:val="(%1)"/>
      <w:numFmt w:val="lowerRoman"/>
      <w:start w:val="1"/>
    </w:lvl>
  </w:abstractNum>
  <w:abstractNum w:abstractNumId="9">
    <w:nsid w:val="836C40E"/>
    <w:multiLevelType w:val="hybridMultilevel"/>
    <w:lvl w:ilvl="0">
      <w:lvlJc w:val="left"/>
      <w:lvlText w:val="•"/>
      <w:numFmt w:val="bullet"/>
      <w:start w:val="1"/>
    </w:lvl>
  </w:abstractNum>
  <w:abstractNum w:abstractNumId="10">
    <w:nsid w:val="2901D82"/>
    <w:multiLevelType w:val="hybridMultilevel"/>
    <w:lvl w:ilvl="0">
      <w:lvlJc w:val="left"/>
      <w:lvlText w:val="•"/>
      <w:numFmt w:val="bullet"/>
      <w:start w:val="1"/>
    </w:lvl>
  </w:abstractNum>
  <w:abstractNum w:abstractNumId="11">
    <w:nsid w:val="3A95F874"/>
    <w:multiLevelType w:val="hybridMultilevel"/>
    <w:lvl w:ilvl="0">
      <w:lvlJc w:val="left"/>
      <w:lvlText w:val="•"/>
      <w:numFmt w:val="bullet"/>
      <w:start w:val="1"/>
    </w:lvl>
  </w:abstractNum>
  <w:abstractNum w:abstractNumId="12">
    <w:nsid w:val="8138641"/>
    <w:multiLevelType w:val="hybridMultilevel"/>
    <w:lvl w:ilvl="0">
      <w:lvlJc w:val="left"/>
      <w:lvlText w:val="•"/>
      <w:numFmt w:val="bullet"/>
      <w:start w:val="1"/>
    </w:lvl>
  </w:abstractNum>
  <w:abstractNum w:abstractNumId="13">
    <w:nsid w:val="1E7FF521"/>
    <w:multiLevelType w:val="hybridMultilevel"/>
    <w:lvl w:ilvl="0">
      <w:lvlJc w:val="left"/>
      <w:lvlText w:val="•"/>
      <w:numFmt w:val="bullet"/>
      <w:start w:val="1"/>
    </w:lvl>
  </w:abstractNum>
  <w:abstractNum w:abstractNumId="14">
    <w:nsid w:val="7C3DBD3D"/>
    <w:multiLevelType w:val="hybridMultilevel"/>
    <w:lvl w:ilvl="0">
      <w:lvlJc w:val="left"/>
      <w:lvlText w:val="•"/>
      <w:numFmt w:val="bullet"/>
      <w:start w:val="1"/>
    </w:lvl>
  </w:abstractNum>
  <w:abstractNum w:abstractNumId="15">
    <w:nsid w:val="737B8DDC"/>
    <w:multiLevelType w:val="hybridMultilevel"/>
    <w:lvl w:ilvl="0">
      <w:lvlJc w:val="left"/>
      <w:lvlText w:val="•"/>
      <w:numFmt w:val="bullet"/>
      <w:start w:val="1"/>
    </w:lvl>
  </w:abstractNum>
  <w:abstractNum w:abstractNumId="16">
    <w:nsid w:val="6CEAF087"/>
    <w:multiLevelType w:val="hybridMultilevel"/>
    <w:lvl w:ilvl="0">
      <w:lvlJc w:val="left"/>
      <w:lvlText w:val="•"/>
      <w:numFmt w:val="bullet"/>
      <w:start w:val="1"/>
    </w:lvl>
  </w:abstractNum>
  <w:abstractNum w:abstractNumId="17">
    <w:nsid w:val="22221A70"/>
    <w:multiLevelType w:val="hybridMultilevel"/>
    <w:lvl w:ilvl="0">
      <w:lvlJc w:val="left"/>
      <w:lvlText w:val="•"/>
      <w:numFmt w:val="bullet"/>
      <w:start w:val="1"/>
    </w:lvl>
  </w:abstractNum>
  <w:abstractNum w:abstractNumId="18">
    <w:nsid w:val="4516DDE9"/>
    <w:multiLevelType w:val="hybridMultilevel"/>
    <w:lvl w:ilvl="0">
      <w:lvlJc w:val="left"/>
      <w:lvlText w:val="•"/>
      <w:numFmt w:val="bullet"/>
      <w:start w:val="1"/>
    </w:lvl>
  </w:abstractNum>
  <w:abstractNum w:abstractNumId="19">
    <w:nsid w:val="3006C83E"/>
    <w:multiLevelType w:val="hybridMultilevel"/>
    <w:lvl w:ilvl="0">
      <w:lvlJc w:val="left"/>
      <w:lvlText w:val="(%1)"/>
      <w:numFmt w:val="decimal"/>
      <w:start w:val="302"/>
    </w:lvl>
  </w:abstractNum>
  <w:abstractNum w:abstractNumId="20">
    <w:nsid w:val="614FD4A1"/>
    <w:multiLevelType w:val="hybridMultilevel"/>
    <w:lvl w:ilvl="0">
      <w:lvlJc w:val="left"/>
      <w:lvlText w:val="•"/>
      <w:numFmt w:val="bullet"/>
      <w:start w:val="1"/>
    </w:lvl>
  </w:abstractNum>
  <w:abstractNum w:abstractNumId="21">
    <w:nsid w:val="419AC241"/>
    <w:multiLevelType w:val="hybridMultilevel"/>
    <w:lvl w:ilvl="0">
      <w:lvlJc w:val="left"/>
      <w:lvlText w:val="•"/>
      <w:numFmt w:val="bullet"/>
      <w:start w:val="1"/>
    </w:lvl>
  </w:abstractNum>
  <w:abstractNum w:abstractNumId="22">
    <w:nsid w:val="5577F8E1"/>
    <w:multiLevelType w:val="hybridMultilevel"/>
    <w:lvl w:ilvl="0">
      <w:lvlJc w:val="left"/>
      <w:lvlText w:val="•"/>
      <w:numFmt w:val="bullet"/>
      <w:start w:val="1"/>
    </w:lvl>
  </w:abstractNum>
  <w:abstractNum w:abstractNumId="23">
    <w:nsid w:val="440BADFC"/>
    <w:multiLevelType w:val="hybridMultilevel"/>
    <w:lvl w:ilvl="0">
      <w:lvlJc w:val="left"/>
      <w:lvlText w:val="•"/>
      <w:numFmt w:val="bullet"/>
      <w:start w:val="1"/>
    </w:lvl>
  </w:abstractNum>
  <w:abstractNum w:abstractNumId="24">
    <w:nsid w:val="5072367"/>
    <w:multiLevelType w:val="hybridMultilevel"/>
    <w:lvl w:ilvl="0">
      <w:lvlJc w:val="left"/>
      <w:lvlText w:val="•"/>
      <w:numFmt w:val="bullet"/>
      <w:start w:val="1"/>
    </w:lvl>
  </w:abstractNum>
  <w:abstractNum w:abstractNumId="25">
    <w:nsid w:val="3804823E"/>
    <w:multiLevelType w:val="hybridMultilevel"/>
    <w:lvl w:ilvl="0">
      <w:lvlJc w:val="left"/>
      <w:lvlText w:val="•"/>
      <w:numFmt w:val="bullet"/>
      <w:start w:val="1"/>
    </w:lvl>
  </w:abstractNum>
  <w:abstractNum w:abstractNumId="26">
    <w:nsid w:val="77465F01"/>
    <w:multiLevelType w:val="hybridMultilevel"/>
    <w:lvl w:ilvl="0">
      <w:lvlJc w:val="left"/>
      <w:lvlText w:val="•"/>
      <w:numFmt w:val="bullet"/>
      <w:start w:val="1"/>
    </w:lvl>
  </w:abstractNum>
  <w:abstractNum w:abstractNumId="27">
    <w:nsid w:val="7724C67E"/>
    <w:multiLevelType w:val="hybridMultilevel"/>
    <w:lvl w:ilvl="0">
      <w:lvlJc w:val="left"/>
      <w:lvlText w:val="•"/>
      <w:numFmt w:val="bullet"/>
      <w:start w:val="1"/>
    </w:lvl>
  </w:abstractNum>
  <w:abstractNum w:abstractNumId="28">
    <w:nsid w:val="5C482A97"/>
    <w:multiLevelType w:val="hybridMultilevel"/>
    <w:lvl w:ilvl="0">
      <w:lvlJc w:val="left"/>
      <w:lvlText w:val="•"/>
      <w:numFmt w:val="bullet"/>
      <w:start w:val="1"/>
    </w:lvl>
  </w:abstractNum>
  <w:abstractNum w:abstractNumId="29">
    <w:nsid w:val="2463B9EA"/>
    <w:multiLevelType w:val="hybridMultilevel"/>
    <w:lvl w:ilvl="0">
      <w:lvlJc w:val="left"/>
      <w:lvlText w:val="•"/>
      <w:numFmt w:val="bullet"/>
      <w:start w:val="1"/>
    </w:lvl>
  </w:abstractNum>
  <w:abstractNum w:abstractNumId="30">
    <w:nsid w:val="5E884ADC"/>
    <w:multiLevelType w:val="hybridMultilevel"/>
    <w:lvl w:ilvl="0">
      <w:lvlJc w:val="left"/>
      <w:lvlText w:val="•"/>
      <w:numFmt w:val="bullet"/>
      <w:start w:val="1"/>
    </w:lvl>
  </w:abstractNum>
  <w:abstractNum w:abstractNumId="31">
    <w:nsid w:val="51EAD36B"/>
    <w:multiLevelType w:val="hybridMultilevel"/>
    <w:lvl w:ilvl="0">
      <w:lvlJc w:val="left"/>
      <w:lvlText w:val="•"/>
      <w:numFmt w:val="bullet"/>
      <w:start w:val="1"/>
    </w:lvl>
  </w:abstractNum>
  <w:abstractNum w:abstractNumId="32">
    <w:nsid w:val="2D517796"/>
    <w:multiLevelType w:val="hybridMultilevel"/>
    <w:lvl w:ilvl="0">
      <w:lvlJc w:val="left"/>
      <w:lvlText w:val="•"/>
      <w:numFmt w:val="bullet"/>
      <w:start w:val="1"/>
    </w:lvl>
  </w:abstractNum>
  <w:abstractNum w:abstractNumId="33">
    <w:nsid w:val="580BD78F"/>
    <w:multiLevelType w:val="hybridMultilevel"/>
    <w:lvl w:ilvl="0">
      <w:lvlJc w:val="left"/>
      <w:lvlText w:val="•"/>
      <w:numFmt w:val="bullet"/>
      <w:start w:val="1"/>
    </w:lvl>
  </w:abstractNum>
  <w:abstractNum w:abstractNumId="34">
    <w:nsid w:val="153EA438"/>
    <w:multiLevelType w:val="hybridMultilevel"/>
    <w:lvl w:ilvl="0">
      <w:lvlJc w:val="left"/>
      <w:lvlText w:val="•"/>
      <w:numFmt w:val="bullet"/>
      <w:start w:val="1"/>
    </w:lvl>
  </w:abstractNum>
  <w:abstractNum w:abstractNumId="35">
    <w:nsid w:val="3855585C"/>
    <w:multiLevelType w:val="hybridMultilevel"/>
    <w:lvl w:ilvl="0">
      <w:lvlJc w:val="left"/>
      <w:lvlText w:val="•"/>
      <w:numFmt w:val="bullet"/>
      <w:start w:val="1"/>
    </w:lvl>
  </w:abstractNum>
  <w:abstractNum w:abstractNumId="36">
    <w:nsid w:val="70A64E2A"/>
    <w:multiLevelType w:val="hybridMultilevel"/>
    <w:lvl w:ilvl="0">
      <w:lvlJc w:val="left"/>
      <w:lvlText w:val="•"/>
      <w:numFmt w:val="bullet"/>
      <w:start w:val="1"/>
    </w:lvl>
  </w:abstractNum>
  <w:abstractNum w:abstractNumId="37">
    <w:nsid w:val="6A2342EC"/>
    <w:multiLevelType w:val="hybridMultilevel"/>
    <w:lvl w:ilvl="0">
      <w:lvlJc w:val="left"/>
      <w:lvlText w:val="•"/>
      <w:numFmt w:val="bullet"/>
      <w:start w:val="1"/>
    </w:lvl>
  </w:abstractNum>
  <w:abstractNum w:abstractNumId="38">
    <w:nsid w:val="2A487CB0"/>
    <w:multiLevelType w:val="hybridMultilevel"/>
    <w:lvl w:ilvl="0">
      <w:lvlJc w:val="left"/>
      <w:lvlText w:val="•"/>
      <w:numFmt w:val="bullet"/>
      <w:start w:val="1"/>
    </w:lvl>
  </w:abstractNum>
  <w:abstractNum w:abstractNumId="39">
    <w:nsid w:val="1D4ED43B"/>
    <w:multiLevelType w:val="hybridMultilevel"/>
    <w:lvl w:ilvl="0">
      <w:lvlJc w:val="left"/>
      <w:lvlText w:val="•"/>
      <w:numFmt w:val="bullet"/>
      <w:start w:val="1"/>
    </w:lvl>
  </w:abstractNum>
  <w:abstractNum w:abstractNumId="40">
    <w:nsid w:val="725A06FB"/>
    <w:multiLevelType w:val="hybridMultilevel"/>
    <w:lvl w:ilvl="0">
      <w:lvlJc w:val="left"/>
      <w:lvlText w:val="•"/>
      <w:numFmt w:val="bullet"/>
      <w:start w:val="1"/>
    </w:lvl>
  </w:abstractNum>
  <w:abstractNum w:abstractNumId="41">
    <w:nsid w:val="2CD89A32"/>
    <w:multiLevelType w:val="hybridMultilevel"/>
    <w:lvl w:ilvl="0">
      <w:lvlJc w:val="left"/>
      <w:lvlText w:val="(%1)"/>
      <w:numFmt w:val="lowerRoman"/>
      <w:start w:val="1"/>
    </w:lvl>
  </w:abstractNum>
  <w:abstractNum w:abstractNumId="42">
    <w:nsid w:val="57E4CCAF"/>
    <w:multiLevelType w:val="hybridMultilevel"/>
    <w:lvl w:ilvl="0">
      <w:lvlJc w:val="left"/>
      <w:lvlText w:val="(%1)"/>
      <w:numFmt w:val="lowerRoman"/>
      <w:start w:val="1"/>
    </w:lvl>
  </w:abstractNum>
  <w:abstractNum w:abstractNumId="43">
    <w:nsid w:val="7A6D8D3C"/>
    <w:multiLevelType w:val="hybridMultilevel"/>
    <w:lvl w:ilvl="0">
      <w:lvlJc w:val="left"/>
      <w:lvlText w:val="(%1)"/>
      <w:numFmt w:val="lowerRoman"/>
      <w:start w:val="1"/>
    </w:lvl>
  </w:abstractNum>
  <w:abstractNum w:abstractNumId="44">
    <w:nsid w:val="4B588F54"/>
    <w:multiLevelType w:val="hybridMultilevel"/>
    <w:lvl w:ilvl="0">
      <w:lvlJc w:val="left"/>
      <w:lvlText w:val="(%1)"/>
      <w:numFmt w:val="lowerRoman"/>
      <w:start w:val="1"/>
    </w:lvl>
  </w:abstractNum>
  <w:abstractNum w:abstractNumId="45">
    <w:nsid w:val="542289EC"/>
    <w:multiLevelType w:val="hybridMultilevel"/>
    <w:lvl w:ilvl="0">
      <w:lvlJc w:val="left"/>
      <w:lvlText w:val="(%1)"/>
      <w:numFmt w:val="lowerRoman"/>
      <w:start w:val="1"/>
    </w:lvl>
  </w:abstractNum>
  <w:abstractNum w:abstractNumId="46">
    <w:nsid w:val="6DE91B1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23" Type="http://schemas.openxmlformats.org/officeDocument/2006/relationships/image" Target="media/image6.png"/><Relationship Id="rId24" Type="http://schemas.openxmlformats.org/officeDocument/2006/relationships/image" Target="media/image7.png"/><Relationship Id="rId25" Type="http://schemas.openxmlformats.org/officeDocument/2006/relationships/image" Target="media/image8.png"/><Relationship Id="rId26" Type="http://schemas.openxmlformats.org/officeDocument/2006/relationships/image" Target="media/image9.png"/><Relationship Id="rId27" Type="http://schemas.openxmlformats.org/officeDocument/2006/relationships/image" Target="media/image10.png"/><Relationship Id="rId28" Type="http://schemas.openxmlformats.org/officeDocument/2006/relationships/image" Target="media/image11.png"/><Relationship Id="rId29" Type="http://schemas.openxmlformats.org/officeDocument/2006/relationships/image" Target="media/image12.png"/><Relationship Id="rId30" Type="http://schemas.openxmlformats.org/officeDocument/2006/relationships/image" Target="media/image13.png"/><Relationship Id="rId31" Type="http://schemas.openxmlformats.org/officeDocument/2006/relationships/image" Target="media/image14.png"/><Relationship Id="rId32" Type="http://schemas.openxmlformats.org/officeDocument/2006/relationships/image" Target="media/image15.png"/><Relationship Id="rId33" Type="http://schemas.openxmlformats.org/officeDocument/2006/relationships/image" Target="media/image16.png"/><Relationship Id="rId34" Type="http://schemas.openxmlformats.org/officeDocument/2006/relationships/image" Target="media/image17.png"/><Relationship Id="rId35" Type="http://schemas.openxmlformats.org/officeDocument/2006/relationships/image" Target="media/image18.png"/><Relationship Id="rId36" Type="http://schemas.openxmlformats.org/officeDocument/2006/relationships/image" Target="media/image19.png"/><Relationship Id="rId37" Type="http://schemas.openxmlformats.org/officeDocument/2006/relationships/image" Target="media/image20.png"/><Relationship Id="rId38" Type="http://schemas.openxmlformats.org/officeDocument/2006/relationships/image" Target="media/image21.png"/><Relationship Id="rId39" Type="http://schemas.openxmlformats.org/officeDocument/2006/relationships/image" Target="media/image22.png"/><Relationship Id="rId40" Type="http://schemas.openxmlformats.org/officeDocument/2006/relationships/image" Target="media/image23.png"/><Relationship Id="rId41" Type="http://schemas.openxmlformats.org/officeDocument/2006/relationships/image" Target="media/image24.png"/><Relationship Id="rId42" Type="http://schemas.openxmlformats.org/officeDocument/2006/relationships/image" Target="media/image25.png"/><Relationship Id="rId43" Type="http://schemas.openxmlformats.org/officeDocument/2006/relationships/image" Target="media/image26.png"/><Relationship Id="rId44" Type="http://schemas.openxmlformats.org/officeDocument/2006/relationships/image" Target="media/image27.png"/><Relationship Id="rId45" Type="http://schemas.openxmlformats.org/officeDocument/2006/relationships/image" Target="media/image28.png"/><Relationship Id="rId46" Type="http://schemas.openxmlformats.org/officeDocument/2006/relationships/image" Target="media/image29.png"/><Relationship Id="rId47" Type="http://schemas.openxmlformats.org/officeDocument/2006/relationships/image" Target="media/image30.png"/><Relationship Id="rId48" Type="http://schemas.openxmlformats.org/officeDocument/2006/relationships/image" Target="media/image31.png"/><Relationship Id="rId49" Type="http://schemas.openxmlformats.org/officeDocument/2006/relationships/image" Target="media/image32.png"/><Relationship Id="rId50" Type="http://schemas.openxmlformats.org/officeDocument/2006/relationships/image" Target="media/image33.png"/><Relationship Id="rId51" Type="http://schemas.openxmlformats.org/officeDocument/2006/relationships/image" Target="media/image34.png"/><Relationship Id="rId52" Type="http://schemas.openxmlformats.org/officeDocument/2006/relationships/image" Target="media/image35.png"/><Relationship Id="rId53" Type="http://schemas.openxmlformats.org/officeDocument/2006/relationships/image" Target="media/image36.png"/><Relationship Id="rId54" Type="http://schemas.openxmlformats.org/officeDocument/2006/relationships/image" Target="media/image37.png"/><Relationship Id="rId55" Type="http://schemas.openxmlformats.org/officeDocument/2006/relationships/image" Target="media/image38.png"/><Relationship Id="rId56" Type="http://schemas.openxmlformats.org/officeDocument/2006/relationships/image" Target="media/image39.png"/><Relationship Id="rId57" Type="http://schemas.openxmlformats.org/officeDocument/2006/relationships/image" Target="media/image40.png"/><Relationship Id="rId58" Type="http://schemas.openxmlformats.org/officeDocument/2006/relationships/image" Target="media/image41.png"/><Relationship Id="rId59" Type="http://schemas.openxmlformats.org/officeDocument/2006/relationships/image" Target="media/image42.png"/><Relationship Id="rId60" Type="http://schemas.openxmlformats.org/officeDocument/2006/relationships/image" Target="media/image43.png"/><Relationship Id="rId61" Type="http://schemas.openxmlformats.org/officeDocument/2006/relationships/image" Target="media/image44.png"/><Relationship Id="rId62" Type="http://schemas.openxmlformats.org/officeDocument/2006/relationships/image" Target="media/image45.png"/><Relationship Id="rId63" Type="http://schemas.openxmlformats.org/officeDocument/2006/relationships/image" Target="media/image46.png"/><Relationship Id="rId64" Type="http://schemas.openxmlformats.org/officeDocument/2006/relationships/image" Target="media/image47.png"/><Relationship Id="rId65" Type="http://schemas.openxmlformats.org/officeDocument/2006/relationships/image" Target="media/image48.png"/><Relationship Id="rId66" Type="http://schemas.openxmlformats.org/officeDocument/2006/relationships/image" Target="media/image49.png"/><Relationship Id="rId67" Type="http://schemas.openxmlformats.org/officeDocument/2006/relationships/image" Target="media/image50.png"/><Relationship Id="rId68" Type="http://schemas.openxmlformats.org/officeDocument/2006/relationships/image" Target="media/image51.png"/><Relationship Id="rId69" Type="http://schemas.openxmlformats.org/officeDocument/2006/relationships/image" Target="media/image52.png"/><Relationship Id="rId70" Type="http://schemas.openxmlformats.org/officeDocument/2006/relationships/image" Target="media/image53.png"/><Relationship Id="rId71" Type="http://schemas.openxmlformats.org/officeDocument/2006/relationships/image" Target="media/image54.png"/><Relationship Id="rId72" Type="http://schemas.openxmlformats.org/officeDocument/2006/relationships/image" Target="media/image55.png"/><Relationship Id="rId73" Type="http://schemas.openxmlformats.org/officeDocument/2006/relationships/image" Target="media/image56.png"/><Relationship Id="rId74" Type="http://schemas.openxmlformats.org/officeDocument/2006/relationships/image" Target="media/image57.png"/><Relationship Id="rId75" Type="http://schemas.openxmlformats.org/officeDocument/2006/relationships/image" Target="media/image58.png"/><Relationship Id="rId76" Type="http://schemas.openxmlformats.org/officeDocument/2006/relationships/image" Target="media/image59.png"/><Relationship Id="rId77" Type="http://schemas.openxmlformats.org/officeDocument/2006/relationships/image" Target="media/image60.png"/><Relationship Id="rId78" Type="http://schemas.openxmlformats.org/officeDocument/2006/relationships/image" Target="media/image61.png"/><Relationship Id="rId13" Type="http://schemas.openxmlformats.org/officeDocument/2006/relationships/hyperlink" Target="http://www.sec.gov/ix?doc=/Archives/edgar/data/1901637/000156276225000043/uscb-20241231.htm" TargetMode="External"/><Relationship Id="rId14" Type="http://schemas.openxmlformats.org/officeDocument/2006/relationships/hyperlink" Target="http://www.sec.gov/ix?doc=/Archives/edgar/data/1901637/000092708925000082/uscb20250411_def14a.htm" TargetMode="External"/><Relationship Id="rId15" Type="http://schemas.openxmlformats.org/officeDocument/2006/relationships/hyperlink" Target="http://www.sec.gov/ix?doc=/Archives/edgar/data/1901637/000156276225000122/uscb-20250331.htm" TargetMode="External"/><Relationship Id="rId16" Type="http://schemas.openxmlformats.org/officeDocument/2006/relationships/hyperlink" Target="http://www.sec.gov/ix?doc=/Archives/edgar/data/1901637/000156276225000206/uscb-20250630.htm" TargetMode="External"/><Relationship Id="rId17" Type="http://schemas.openxmlformats.org/officeDocument/2006/relationships/hyperlink" Target="http://www.sec.gov/ix?doc=/Archives/edgar/data/1901637/000156276225000269/uscb-20250930.htm" TargetMode="External"/><Relationship Id="rId18" Type="http://schemas.openxmlformats.org/officeDocument/2006/relationships/hyperlink" Target="http://www.sec.gov/ix?doc=/Archives/edgar/data/0001901637/000092708925000011/uscb20241216_8k.htm" TargetMode="External"/><Relationship Id="rId19" Type="http://schemas.openxmlformats.org/officeDocument/2006/relationships/hyperlink" Target="http://www.sec.gov/ix?doc=/Archives/edgar/data/0001901637/000092708925000103/uscb20250527_8k.htm" TargetMode="External"/><Relationship Id="rId20" Type="http://schemas.openxmlformats.org/officeDocument/2006/relationships/hyperlink" Target="http://www.sec.gov/ix?doc=/Archives/edgar/data/0001901637/000119312525180879/d23435d8k.htm" TargetMode="External"/><Relationship Id="rId21" Type="http://schemas.openxmlformats.org/officeDocument/2006/relationships/hyperlink" Target="http://www.sec.gov/ix?doc=/Archives/edgar/data/0001901637/000119312525196580/d909351d8k.htm" TargetMode="External"/><Relationship Id="rId22" Type="http://schemas.openxmlformats.org/officeDocument/2006/relationships/hyperlink" Target="http://www.sec.gov/ix?doc=/Archives/edgar/data/1901637/000092708925000220/uscb20251222c_8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2026-01-12T07:44:20Z</dcterms:created>
  <dcterms:modified xsi:type="dcterms:W3CDTF">2026-01-12T07:44:20Z</dcterms:modified>
</cp:coreProperties>
</file>