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GUERRA-KATTOU MARTHA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and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 Class A Voting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2,655 shares of restricted stock which vest at a rate of one-third per year commencing on the first anniversary of the date of grant, which was 1/22/2024.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4,933 shares of restricted stock which vest at a rate of one-third per year commencing on the first anniversary of the date of grant, which was 3/8/2023.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vest at a rate of one-third per year commencing on the first anniversary of the date of grant, which was 9/27/2021.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Martha Guerra-Kattou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01/24/2024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6962" TargetMode="External"/><Relationship Id="rId4" Type="http://schemas.openxmlformats.org/officeDocument/2006/relationships/hyperlink" Target="http://www.sec.gov/cgi-bin/browse-edgar?action=getcompany&amp;CIK=00019016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3598</Characters>
  <CharactersWithSpaces>4201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