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6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22860</wp:posOffset>
            </wp:positionV>
            <wp:extent cx="6991350" cy="5385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RODRIGUEZ RAMON A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USCB FINANCIAL HOLDINGS, INC.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2301 N.W. 87TH AVENUE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USCB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4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40" w:right="5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10.24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02/15/2032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-2217420</wp:posOffset>
            </wp:positionV>
            <wp:extent cx="29210" cy="2222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2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vested fully on the first anniversary of the date of grant.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Jalal Shehadeh by P.O.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10/31/2023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-20320</wp:posOffset>
            </wp:positionV>
            <wp:extent cx="1250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Ramon A. Rodriguez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-19050</wp:posOffset>
            </wp:positionV>
            <wp:extent cx="1075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5587365</wp:posOffset>
            </wp:positionH>
            <wp:positionV relativeFrom="paragraph">
              <wp:posOffset>-85090</wp:posOffset>
            </wp:positionV>
            <wp:extent cx="4927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3732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2023-10-31T08:51:15Z</dcterms:created>
  <dcterms:modified xsi:type="dcterms:W3CDTF">2023-10-31T08:51:15Z</dcterms:modified>
</cp:coreProperties>
</file>