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03/10/2025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1,644 shares of restricted stock of a grant of 4,933 shares of which one-half vest on each of January 22, 2026 and January 22, 2027, 1,644 shares of restricted stock of a grant of 4,933 shares which commenced vesting at a rate of one-third per year on March 8, 2024, 20,000 shares of restricted stock which vest at a rate of one-third per year commencing on October 28, 2025 and 5,097 shares of restricted stock which vest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2025-03-12T13:23:30Z</dcterms:created>
  <dcterms:modified xsi:type="dcterms:W3CDTF">2025-03-12T13:23:30Z</dcterms:modified>
</cp:coreProperties>
</file>