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Exchange Act of 1934 (Amendment No. _____)</w:t>
      </w:r>
    </w:p>
    <w:p>
      <w:pPr>
        <w:spacing w:after="0" w:line="178" w:lineRule="exact"/>
        <w:rPr>
          <w:sz w:val="24"/>
          <w:szCs w:val="24"/>
          <w:color w:val="auto"/>
        </w:rPr>
      </w:pPr>
    </w:p>
    <w:p>
      <w:pPr>
        <w:spacing w:after="0" w:line="207" w:lineRule="exact"/>
        <w:tabs>
          <w:tab w:leader="none" w:pos="19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highlight w:val="black"/>
        </w:rPr>
      </w:pPr>
    </w:p>
    <w:p>
      <w:pPr>
        <w:spacing w:after="0" w:line="207"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highlight w:val="black"/>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0" w:lineRule="exact"/>
        <w:rPr>
          <w:sz w:val="24"/>
          <w:szCs w:val="24"/>
          <w:color w:val="auto"/>
        </w:rPr>
      </w:pPr>
    </w:p>
    <w:p>
      <w:pPr>
        <w:spacing w:after="0" w:line="239"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460" w:hanging="615"/>
        <w:spacing w:after="0"/>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8" w:lineRule="exact"/>
        <w:rPr>
          <w:rFonts w:ascii="Times New Roman" w:cs="Times New Roman" w:eastAsia="Times New Roman" w:hAnsi="Times New Roman"/>
          <w:sz w:val="18"/>
          <w:szCs w:val="18"/>
          <w:color w:val="auto"/>
        </w:rPr>
      </w:pPr>
    </w:p>
    <w:p>
      <w:pPr>
        <w:ind w:left="1460" w:hanging="597"/>
        <w:spacing w:after="0"/>
        <w:tabs>
          <w:tab w:leader="none" w:pos="1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right="20" w:firstLine="863"/>
        <w:spacing w:after="0" w:line="282" w:lineRule="auto"/>
        <w:tabs>
          <w:tab w:leader="none" w:pos="146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480" w:hanging="617"/>
        <w:spacing w:after="0"/>
        <w:tabs>
          <w:tab w:leader="none" w:pos="14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480" w:hanging="617"/>
        <w:spacing w:after="0"/>
        <w:tabs>
          <w:tab w:leader="none" w:pos="14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0" w:firstLine="68"/>
        <w:spacing w:after="0" w:line="249" w:lineRule="auto"/>
        <w:tabs>
          <w:tab w:leader="none" w:pos="89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aid previously.</w:t>
      </w:r>
    </w:p>
    <w:p>
      <w:pPr>
        <w:ind w:left="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Identify the previous filing by registration statement number, or the form or schedule and the date of its filing.</w:t>
      </w:r>
    </w:p>
    <w:p>
      <w:pPr>
        <w:spacing w:after="0" w:line="9" w:lineRule="exact"/>
        <w:rPr>
          <w:rFonts w:ascii="MS PGothic" w:cs="MS PGothic" w:eastAsia="MS PGothic" w:hAnsi="MS PGothic"/>
          <w:sz w:val="18"/>
          <w:szCs w:val="18"/>
          <w:color w:val="auto"/>
        </w:rPr>
      </w:pPr>
    </w:p>
    <w:p>
      <w:pPr>
        <w:ind w:left="1440" w:hanging="595"/>
        <w:spacing w:after="0"/>
        <w:tabs>
          <w:tab w:leader="none" w:pos="14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480" w:hanging="617"/>
        <w:spacing w:after="0"/>
        <w:tabs>
          <w:tab w:leader="none" w:pos="14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480" w:hanging="617"/>
        <w:spacing w:after="0"/>
        <w:tabs>
          <w:tab w:leader="none" w:pos="14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480" w:hanging="617"/>
        <w:spacing w:after="0"/>
        <w:tabs>
          <w:tab w:leader="none" w:pos="14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432"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380365</wp:posOffset>
            </wp:positionV>
            <wp:extent cx="180022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00225" cy="5226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April 25,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w:t>
      </w:r>
    </w:p>
    <w:p>
      <w:pPr>
        <w:spacing w:after="0" w:line="229" w:lineRule="exact"/>
        <w:rPr>
          <w:sz w:val="20"/>
          <w:szCs w:val="20"/>
          <w:color w:val="auto"/>
        </w:rPr>
      </w:pPr>
    </w:p>
    <w:p>
      <w:pPr>
        <w:ind w:right="100" w:firstLine="409"/>
        <w:spacing w:after="0" w:line="246" w:lineRule="auto"/>
        <w:rPr>
          <w:sz w:val="20"/>
          <w:szCs w:val="20"/>
          <w:color w:val="auto"/>
        </w:rPr>
      </w:pPr>
      <w:r>
        <w:rPr>
          <w:rFonts w:ascii="Times New Roman" w:cs="Times New Roman" w:eastAsia="Times New Roman" w:hAnsi="Times New Roman"/>
          <w:sz w:val="20"/>
          <w:szCs w:val="20"/>
          <w:color w:val="auto"/>
        </w:rPr>
        <w:t>Notice is hereby given that an Annual Meeting of the shareholders of USCB Financial Holdings, Inc. will be held on Tuesday, May 31, 2022 at 10:00 a.m., Eastern time. Due to the continuing public health impact of the ongoing COVID-19 pandemic, as well as to support the health and well-being of our shareholders and employees, the Annual Meeting will be held in a virtual meeting format only. You will be able to attend and participate in the Annual Meeting online, vote your shares electronically, and submit your questions during the meeting by visiting https://meetnow.global/MNZHWKQ.</w:t>
      </w:r>
    </w:p>
    <w:p>
      <w:pPr>
        <w:spacing w:after="0" w:line="198" w:lineRule="exact"/>
        <w:rPr>
          <w:sz w:val="20"/>
          <w:szCs w:val="20"/>
          <w:color w:val="auto"/>
        </w:rPr>
      </w:pPr>
    </w:p>
    <w:p>
      <w:pPr>
        <w:ind w:right="60" w:firstLine="406"/>
        <w:spacing w:after="0" w:line="246" w:lineRule="auto"/>
        <w:rPr>
          <w:sz w:val="20"/>
          <w:szCs w:val="20"/>
          <w:color w:val="auto"/>
        </w:rPr>
      </w:pPr>
      <w:r>
        <w:rPr>
          <w:rFonts w:ascii="Times New Roman" w:cs="Times New Roman" w:eastAsia="Times New Roman" w:hAnsi="Times New Roman"/>
          <w:sz w:val="20"/>
          <w:szCs w:val="20"/>
          <w:color w:val="auto"/>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spacing w:after="0" w:line="198" w:lineRule="exact"/>
        <w:rPr>
          <w:sz w:val="20"/>
          <w:szCs w:val="20"/>
          <w:color w:val="auto"/>
        </w:rPr>
      </w:pPr>
    </w:p>
    <w:p>
      <w:pPr>
        <w:ind w:right="220" w:firstLine="409"/>
        <w:spacing w:after="0" w:line="254" w:lineRule="auto"/>
        <w:rPr>
          <w:sz w:val="20"/>
          <w:szCs w:val="20"/>
          <w:color w:val="auto"/>
        </w:rPr>
      </w:pPr>
      <w:r>
        <w:rPr>
          <w:rFonts w:ascii="Times New Roman" w:cs="Times New Roman" w:eastAsia="Times New Roman" w:hAnsi="Times New Roman"/>
          <w:sz w:val="20"/>
          <w:szCs w:val="20"/>
          <w:color w:val="auto"/>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spacing w:after="0" w:line="188" w:lineRule="exact"/>
        <w:rPr>
          <w:sz w:val="20"/>
          <w:szCs w:val="20"/>
          <w:color w:val="auto"/>
        </w:rPr>
      </w:pPr>
    </w:p>
    <w:p>
      <w:pPr>
        <w:ind w:right="400" w:firstLine="409"/>
        <w:spacing w:after="0" w:line="269" w:lineRule="auto"/>
        <w:rPr>
          <w:sz w:val="20"/>
          <w:szCs w:val="20"/>
          <w:color w:val="auto"/>
        </w:rPr>
      </w:pPr>
      <w:r>
        <w:rPr>
          <w:rFonts w:ascii="Times New Roman" w:cs="Times New Roman" w:eastAsia="Times New Roman" w:hAnsi="Times New Roman"/>
          <w:sz w:val="20"/>
          <w:szCs w:val="20"/>
          <w:color w:val="auto"/>
        </w:rPr>
        <w:t>Shareholders of record at the close of business on the voting Record Date, April 14, 2022, are entitled to notice of and to vote at the Annual Meeting. It is important that your shares be represented and voted at the meeting.</w:t>
      </w:r>
    </w:p>
    <w:p>
      <w:pPr>
        <w:spacing w:after="0" w:line="173" w:lineRule="exact"/>
        <w:rPr>
          <w:sz w:val="20"/>
          <w:szCs w:val="20"/>
          <w:color w:val="auto"/>
        </w:rPr>
      </w:pPr>
    </w:p>
    <w:p>
      <w:pPr>
        <w:ind w:right="180" w:firstLine="409"/>
        <w:spacing w:after="0" w:line="269" w:lineRule="auto"/>
        <w:rPr>
          <w:sz w:val="20"/>
          <w:szCs w:val="20"/>
          <w:color w:val="auto"/>
        </w:rPr>
      </w:pPr>
      <w:r>
        <w:rPr>
          <w:rFonts w:ascii="Times New Roman" w:cs="Times New Roman" w:eastAsia="Times New Roman" w:hAnsi="Times New Roman"/>
          <w:sz w:val="20"/>
          <w:szCs w:val="20"/>
          <w:color w:val="auto"/>
        </w:rPr>
        <w:t>On behalf of the Board of Directors and all of the employees of USCB Financial Holdings, I thank you for your continued interest and support.</w:t>
      </w:r>
    </w:p>
    <w:p>
      <w:pPr>
        <w:spacing w:after="0" w:line="169" w:lineRule="exact"/>
        <w:rPr>
          <w:sz w:val="20"/>
          <w:szCs w:val="20"/>
          <w:color w:val="auto"/>
        </w:rPr>
      </w:pPr>
    </w:p>
    <w:p>
      <w:pPr>
        <w:ind w:right="140" w:firstLine="40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If you have any questions or need assistance in voting your shares, please contact Jalal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Shehadeh, Secretary of the Board of Directors, at 305-715-5256 or by email at investorrelations@uscentury.com.</w:t>
      </w:r>
    </w:p>
    <w:p>
      <w:pPr>
        <w:spacing w:after="0" w:line="16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1885950" cy="925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Luis de la Aguilera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 WE ENCOURAGE YOU TO VOTE BY PROXY BY CASTING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480" w:type="dxa"/>
            <w:vAlign w:val="bottom"/>
            <w:tcBorders>
              <w:top w:val="single" w:sz="8" w:color="auto"/>
            </w:tcBorders>
          </w:tcPr>
          <w:p>
            <w:pPr>
              <w:spacing w:after="0"/>
              <w:rPr>
                <w:sz w:val="18"/>
                <w:szCs w:val="18"/>
                <w:color w:val="auto"/>
              </w:rPr>
            </w:pPr>
          </w:p>
        </w:tc>
        <w:tc>
          <w:tcPr>
            <w:tcW w:w="8580" w:type="dxa"/>
            <w:vAlign w:val="bottom"/>
            <w:tcBorders>
              <w:top w:val="single" w:sz="8" w:color="auto"/>
            </w:tcBorders>
          </w:tcPr>
          <w:p>
            <w:pPr>
              <w:jc w:val="center"/>
              <w:ind w:right="2401"/>
              <w:spacing w:after="0" w:line="216" w:lineRule="exact"/>
              <w:rPr>
                <w:sz w:val="20"/>
                <w:szCs w:val="20"/>
                <w:color w:val="auto"/>
              </w:rPr>
            </w:pPr>
            <w:r>
              <w:rPr>
                <w:rFonts w:ascii="Times New Roman" w:cs="Times New Roman" w:eastAsia="Times New Roman" w:hAnsi="Times New Roman"/>
                <w:sz w:val="20"/>
                <w:szCs w:val="20"/>
                <w:b w:val="1"/>
                <w:bCs w:val="1"/>
                <w:color w:val="auto"/>
                <w:w w:val="98"/>
              </w:rPr>
              <w:t>USCB FINANCIAL HOLDINGS, INC.</w:t>
            </w:r>
          </w:p>
        </w:tc>
        <w:tc>
          <w:tcPr>
            <w:tcW w:w="40" w:type="dxa"/>
            <w:vAlign w:val="bottom"/>
          </w:tcPr>
          <w:p>
            <w:pPr>
              <w:spacing w:after="0"/>
              <w:rPr>
                <w:sz w:val="18"/>
                <w:szCs w:val="18"/>
                <w:color w:val="auto"/>
              </w:rPr>
            </w:pPr>
          </w:p>
        </w:tc>
      </w:tr>
      <w:tr>
        <w:trPr>
          <w:trHeight w:val="229"/>
        </w:trPr>
        <w:tc>
          <w:tcPr>
            <w:tcW w:w="2480" w:type="dxa"/>
            <w:vAlign w:val="bottom"/>
          </w:tcPr>
          <w:p>
            <w:pPr>
              <w:spacing w:after="0"/>
              <w:rPr>
                <w:sz w:val="19"/>
                <w:szCs w:val="19"/>
                <w:color w:val="auto"/>
              </w:rPr>
            </w:pPr>
          </w:p>
        </w:tc>
        <w:tc>
          <w:tcPr>
            <w:tcW w:w="8620" w:type="dxa"/>
            <w:vAlign w:val="bottom"/>
            <w:gridSpan w:val="2"/>
          </w:tcPr>
          <w:p>
            <w:pPr>
              <w:jc w:val="center"/>
              <w:ind w:right="2540"/>
              <w:spacing w:after="0"/>
              <w:rPr>
                <w:sz w:val="20"/>
                <w:szCs w:val="20"/>
                <w:color w:val="auto"/>
              </w:rPr>
            </w:pPr>
            <w:r>
              <w:rPr>
                <w:rFonts w:ascii="Times New Roman" w:cs="Times New Roman" w:eastAsia="Times New Roman" w:hAnsi="Times New Roman"/>
                <w:sz w:val="20"/>
                <w:szCs w:val="20"/>
                <w:b w:val="1"/>
                <w:bCs w:val="1"/>
                <w:color w:val="auto"/>
                <w:w w:val="97"/>
              </w:rPr>
              <w:t>2301 N.W. 87th Avenue</w:t>
            </w:r>
          </w:p>
        </w:tc>
      </w:tr>
      <w:tr>
        <w:trPr>
          <w:trHeight w:val="256"/>
        </w:trPr>
        <w:tc>
          <w:tcPr>
            <w:tcW w:w="2480" w:type="dxa"/>
            <w:vAlign w:val="bottom"/>
          </w:tcPr>
          <w:p>
            <w:pPr>
              <w:spacing w:after="0"/>
              <w:rPr>
                <w:sz w:val="22"/>
                <w:szCs w:val="22"/>
                <w:color w:val="auto"/>
              </w:rPr>
            </w:pPr>
          </w:p>
        </w:tc>
        <w:tc>
          <w:tcPr>
            <w:tcW w:w="8620" w:type="dxa"/>
            <w:vAlign w:val="bottom"/>
            <w:gridSpan w:val="2"/>
          </w:tcPr>
          <w:p>
            <w:pPr>
              <w:jc w:val="center"/>
              <w:ind w:right="2540"/>
              <w:spacing w:after="0"/>
              <w:rPr>
                <w:sz w:val="20"/>
                <w:szCs w:val="20"/>
                <w:color w:val="auto"/>
              </w:rPr>
            </w:pPr>
            <w:r>
              <w:rPr>
                <w:rFonts w:ascii="Times New Roman" w:cs="Times New Roman" w:eastAsia="Times New Roman" w:hAnsi="Times New Roman"/>
                <w:sz w:val="20"/>
                <w:szCs w:val="20"/>
                <w:b w:val="1"/>
                <w:bCs w:val="1"/>
                <w:color w:val="auto"/>
                <w:w w:val="99"/>
              </w:rPr>
              <w:t>Doral, Florida 33172</w:t>
            </w:r>
          </w:p>
        </w:tc>
      </w:tr>
      <w:tr>
        <w:trPr>
          <w:trHeight w:val="229"/>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2480" w:type="dxa"/>
            <w:vAlign w:val="bottom"/>
          </w:tcPr>
          <w:p>
            <w:pPr>
              <w:spacing w:after="0"/>
              <w:rPr>
                <w:sz w:val="19"/>
                <w:szCs w:val="19"/>
                <w:color w:val="auto"/>
              </w:rPr>
            </w:pPr>
          </w:p>
        </w:tc>
        <w:tc>
          <w:tcPr>
            <w:tcW w:w="8620" w:type="dxa"/>
            <w:vAlign w:val="bottom"/>
            <w:gridSpan w:val="2"/>
          </w:tcPr>
          <w:p>
            <w:pPr>
              <w:jc w:val="center"/>
              <w:ind w:right="2540"/>
              <w:spacing w:after="0"/>
              <w:rPr>
                <w:sz w:val="20"/>
                <w:szCs w:val="20"/>
                <w:color w:val="auto"/>
              </w:rPr>
            </w:pPr>
            <w:r>
              <w:rPr>
                <w:rFonts w:ascii="Times New Roman" w:cs="Times New Roman" w:eastAsia="Times New Roman" w:hAnsi="Times New Roman"/>
                <w:sz w:val="20"/>
                <w:szCs w:val="20"/>
                <w:b w:val="1"/>
                <w:bCs w:val="1"/>
                <w:color w:val="auto"/>
                <w:w w:val="99"/>
              </w:rPr>
              <w:t>NOTICE OF ANNUAL MEETING OF SHAREHOLDERS</w:t>
            </w:r>
          </w:p>
        </w:tc>
      </w:tr>
      <w:tr>
        <w:trPr>
          <w:trHeight w:val="230"/>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TIME</w:t>
            </w: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10:00 a.m., Eastern time, Tuesday, May 31, 2022</w:t>
            </w:r>
          </w:p>
        </w:tc>
      </w:tr>
      <w:tr>
        <w:trPr>
          <w:trHeight w:val="230"/>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24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PLACE</w:t>
            </w:r>
          </w:p>
        </w:tc>
        <w:tc>
          <w:tcPr>
            <w:tcW w:w="8620" w:type="dxa"/>
            <w:vAlign w:val="bottom"/>
            <w:gridSpan w:val="2"/>
          </w:tcPr>
          <w:p>
            <w:pPr>
              <w:ind w:left="1660"/>
              <w:spacing w:after="0" w:line="207" w:lineRule="exact"/>
              <w:rPr>
                <w:sz w:val="20"/>
                <w:szCs w:val="20"/>
                <w:color w:val="auto"/>
              </w:rPr>
            </w:pPr>
            <w:r>
              <w:rPr>
                <w:rFonts w:ascii="Times New Roman" w:cs="Times New Roman" w:eastAsia="Times New Roman" w:hAnsi="Times New Roman"/>
                <w:sz w:val="20"/>
                <w:szCs w:val="20"/>
                <w:color w:val="auto"/>
              </w:rPr>
              <w:t>The Annual Meeting will be held virtually by visiting</w:t>
            </w:r>
          </w:p>
        </w:tc>
      </w:tr>
      <w:tr>
        <w:trPr>
          <w:trHeight w:val="252"/>
        </w:trPr>
        <w:tc>
          <w:tcPr>
            <w:tcW w:w="2480" w:type="dxa"/>
            <w:vAlign w:val="bottom"/>
          </w:tcPr>
          <w:p>
            <w:pPr>
              <w:spacing w:after="0"/>
              <w:rPr>
                <w:sz w:val="21"/>
                <w:szCs w:val="21"/>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https://meetnow.global/MNZHWKQ.</w:t>
            </w:r>
          </w:p>
        </w:tc>
      </w:tr>
      <w:tr>
        <w:trPr>
          <w:trHeight w:val="230"/>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24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ITEMS OF BUSINESS</w:t>
            </w:r>
          </w:p>
        </w:tc>
        <w:tc>
          <w:tcPr>
            <w:tcW w:w="8620" w:type="dxa"/>
            <w:vAlign w:val="bottom"/>
            <w:gridSpan w:val="2"/>
          </w:tcPr>
          <w:p>
            <w:pPr>
              <w:ind w:left="1660"/>
              <w:spacing w:after="0" w:line="207" w:lineRule="exact"/>
              <w:rPr>
                <w:sz w:val="20"/>
                <w:szCs w:val="20"/>
                <w:color w:val="auto"/>
              </w:rPr>
            </w:pPr>
            <w:r>
              <w:rPr>
                <w:rFonts w:ascii="Times New Roman" w:cs="Times New Roman" w:eastAsia="Times New Roman" w:hAnsi="Times New Roman"/>
                <w:sz w:val="20"/>
                <w:szCs w:val="20"/>
                <w:color w:val="auto"/>
              </w:rPr>
              <w:t>(1)  To elect each of our directors for a one-year term expiring in 2023, and until their</w:t>
            </w:r>
          </w:p>
        </w:tc>
      </w:tr>
      <w:tr>
        <w:trPr>
          <w:trHeight w:val="229"/>
        </w:trPr>
        <w:tc>
          <w:tcPr>
            <w:tcW w:w="2480" w:type="dxa"/>
            <w:vAlign w:val="bottom"/>
          </w:tcPr>
          <w:p>
            <w:pPr>
              <w:spacing w:after="0"/>
              <w:rPr>
                <w:sz w:val="19"/>
                <w:szCs w:val="19"/>
                <w:color w:val="auto"/>
              </w:rPr>
            </w:pPr>
          </w:p>
        </w:tc>
        <w:tc>
          <w:tcPr>
            <w:tcW w:w="862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successors are elected and qualified;</w:t>
            </w:r>
          </w:p>
        </w:tc>
      </w:tr>
      <w:tr>
        <w:trPr>
          <w:trHeight w:val="230"/>
        </w:trPr>
        <w:tc>
          <w:tcPr>
            <w:tcW w:w="2480" w:type="dxa"/>
            <w:vAlign w:val="bottom"/>
          </w:tcPr>
          <w:p>
            <w:pPr>
              <w:spacing w:after="0"/>
              <w:rPr>
                <w:sz w:val="19"/>
                <w:szCs w:val="19"/>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(2)  To ratify the appointment of Crowe LLP as our independent registered public</w:t>
            </w:r>
          </w:p>
        </w:tc>
      </w:tr>
      <w:tr>
        <w:trPr>
          <w:trHeight w:val="258"/>
        </w:trPr>
        <w:tc>
          <w:tcPr>
            <w:tcW w:w="2480" w:type="dxa"/>
            <w:vAlign w:val="bottom"/>
          </w:tcPr>
          <w:p>
            <w:pPr>
              <w:spacing w:after="0"/>
              <w:rPr>
                <w:sz w:val="22"/>
                <w:szCs w:val="22"/>
                <w:color w:val="auto"/>
              </w:rPr>
            </w:pPr>
          </w:p>
        </w:tc>
        <w:tc>
          <w:tcPr>
            <w:tcW w:w="862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accounting firm for the fiscal year ending December 31, 2022; and</w:t>
            </w:r>
          </w:p>
        </w:tc>
      </w:tr>
      <w:tr>
        <w:trPr>
          <w:trHeight w:val="430"/>
        </w:trPr>
        <w:tc>
          <w:tcPr>
            <w:tcW w:w="2480" w:type="dxa"/>
            <w:vAlign w:val="bottom"/>
          </w:tcPr>
          <w:p>
            <w:pPr>
              <w:spacing w:after="0"/>
              <w:rPr>
                <w:sz w:val="24"/>
                <w:szCs w:val="24"/>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To transact such other business, as may properly come before the meeting or at any</w:t>
            </w:r>
          </w:p>
        </w:tc>
      </w:tr>
      <w:tr>
        <w:trPr>
          <w:trHeight w:val="252"/>
        </w:trPr>
        <w:tc>
          <w:tcPr>
            <w:tcW w:w="2480" w:type="dxa"/>
            <w:vAlign w:val="bottom"/>
          </w:tcPr>
          <w:p>
            <w:pPr>
              <w:spacing w:after="0"/>
              <w:rPr>
                <w:sz w:val="21"/>
                <w:szCs w:val="21"/>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adjournment thereof. We are not aware of any other such business.</w:t>
            </w:r>
          </w:p>
        </w:tc>
      </w:tr>
      <w:tr>
        <w:trPr>
          <w:trHeight w:val="230"/>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24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RECORD DATE</w:t>
            </w:r>
          </w:p>
        </w:tc>
        <w:tc>
          <w:tcPr>
            <w:tcW w:w="8620" w:type="dxa"/>
            <w:vAlign w:val="bottom"/>
            <w:gridSpan w:val="2"/>
          </w:tcPr>
          <w:p>
            <w:pPr>
              <w:ind w:left="1660"/>
              <w:spacing w:after="0" w:line="207" w:lineRule="exact"/>
              <w:rPr>
                <w:sz w:val="20"/>
                <w:szCs w:val="20"/>
                <w:color w:val="auto"/>
              </w:rPr>
            </w:pPr>
            <w:r>
              <w:rPr>
                <w:rFonts w:ascii="Times New Roman" w:cs="Times New Roman" w:eastAsia="Times New Roman" w:hAnsi="Times New Roman"/>
                <w:sz w:val="20"/>
                <w:szCs w:val="20"/>
                <w:color w:val="auto"/>
              </w:rPr>
              <w:t>Holders of USCB Financial Holdings common stock of record at the close of business</w:t>
            </w:r>
          </w:p>
        </w:tc>
      </w:tr>
      <w:tr>
        <w:trPr>
          <w:trHeight w:val="252"/>
        </w:trPr>
        <w:tc>
          <w:tcPr>
            <w:tcW w:w="2480" w:type="dxa"/>
            <w:vAlign w:val="bottom"/>
          </w:tcPr>
          <w:p>
            <w:pPr>
              <w:spacing w:after="0"/>
              <w:rPr>
                <w:sz w:val="21"/>
                <w:szCs w:val="21"/>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on April 14, 2022, are entitled to vote at the meeting.</w:t>
            </w:r>
          </w:p>
        </w:tc>
      </w:tr>
      <w:tr>
        <w:trPr>
          <w:trHeight w:val="229"/>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24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ANNUAL REPORT</w:t>
            </w:r>
          </w:p>
        </w:tc>
        <w:tc>
          <w:tcPr>
            <w:tcW w:w="8620" w:type="dxa"/>
            <w:vAlign w:val="bottom"/>
            <w:gridSpan w:val="2"/>
          </w:tcPr>
          <w:p>
            <w:pPr>
              <w:ind w:left="1660"/>
              <w:spacing w:after="0" w:line="207" w:lineRule="exact"/>
              <w:rPr>
                <w:sz w:val="20"/>
                <w:szCs w:val="20"/>
                <w:color w:val="auto"/>
              </w:rPr>
            </w:pPr>
            <w:r>
              <w:rPr>
                <w:rFonts w:ascii="Times New Roman" w:cs="Times New Roman" w:eastAsia="Times New Roman" w:hAnsi="Times New Roman"/>
                <w:sz w:val="20"/>
                <w:szCs w:val="20"/>
                <w:color w:val="auto"/>
              </w:rPr>
              <w:t>Our 2021 Annual Report to Shareholders on Form 10-K is enclosed but is not a part of</w:t>
            </w:r>
          </w:p>
        </w:tc>
      </w:tr>
      <w:tr>
        <w:trPr>
          <w:trHeight w:val="252"/>
        </w:trPr>
        <w:tc>
          <w:tcPr>
            <w:tcW w:w="2480" w:type="dxa"/>
            <w:vAlign w:val="bottom"/>
          </w:tcPr>
          <w:p>
            <w:pPr>
              <w:spacing w:after="0"/>
              <w:rPr>
                <w:sz w:val="21"/>
                <w:szCs w:val="21"/>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the proxy solicitation materials.</w:t>
            </w:r>
          </w:p>
        </w:tc>
      </w:tr>
      <w:tr>
        <w:trPr>
          <w:trHeight w:val="229"/>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248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PROXY VOTING</w:t>
            </w:r>
          </w:p>
        </w:tc>
        <w:tc>
          <w:tcPr>
            <w:tcW w:w="8620" w:type="dxa"/>
            <w:vAlign w:val="bottom"/>
            <w:gridSpan w:val="2"/>
          </w:tcPr>
          <w:p>
            <w:pPr>
              <w:ind w:left="1660"/>
              <w:spacing w:after="0" w:line="207" w:lineRule="exact"/>
              <w:rPr>
                <w:sz w:val="20"/>
                <w:szCs w:val="20"/>
                <w:color w:val="auto"/>
              </w:rPr>
            </w:pPr>
            <w:r>
              <w:rPr>
                <w:rFonts w:ascii="Times New Roman" w:cs="Times New Roman" w:eastAsia="Times New Roman" w:hAnsi="Times New Roman"/>
                <w:sz w:val="20"/>
                <w:szCs w:val="20"/>
                <w:color w:val="auto"/>
              </w:rPr>
              <w:t>It is important that your shares be represented and voted at the meeting. You can vote</w:t>
            </w:r>
          </w:p>
        </w:tc>
      </w:tr>
      <w:tr>
        <w:trPr>
          <w:trHeight w:val="230"/>
        </w:trPr>
        <w:tc>
          <w:tcPr>
            <w:tcW w:w="2480" w:type="dxa"/>
            <w:vAlign w:val="bottom"/>
          </w:tcPr>
          <w:p>
            <w:pPr>
              <w:spacing w:after="0"/>
              <w:rPr>
                <w:sz w:val="19"/>
                <w:szCs w:val="19"/>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w w:val="99"/>
              </w:rPr>
              <w:t>your shares by completing and returning the proxy card sent to you or vote your shares</w:t>
            </w:r>
          </w:p>
        </w:tc>
      </w:tr>
      <w:tr>
        <w:trPr>
          <w:trHeight w:val="230"/>
        </w:trPr>
        <w:tc>
          <w:tcPr>
            <w:tcW w:w="2480" w:type="dxa"/>
            <w:vAlign w:val="bottom"/>
          </w:tcPr>
          <w:p>
            <w:pPr>
              <w:spacing w:after="0"/>
              <w:rPr>
                <w:sz w:val="19"/>
                <w:szCs w:val="19"/>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over the Internet or by telephone. If Internet or telephone voting is available to you,</w:t>
            </w:r>
          </w:p>
        </w:tc>
      </w:tr>
      <w:tr>
        <w:trPr>
          <w:trHeight w:val="229"/>
        </w:trPr>
        <w:tc>
          <w:tcPr>
            <w:tcW w:w="2480" w:type="dxa"/>
            <w:vAlign w:val="bottom"/>
          </w:tcPr>
          <w:p>
            <w:pPr>
              <w:spacing w:after="0"/>
              <w:rPr>
                <w:sz w:val="19"/>
                <w:szCs w:val="19"/>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voting instructions are printed on the proxy card or voting instruction form you</w:t>
            </w:r>
          </w:p>
        </w:tc>
      </w:tr>
      <w:tr>
        <w:trPr>
          <w:trHeight w:val="230"/>
        </w:trPr>
        <w:tc>
          <w:tcPr>
            <w:tcW w:w="2480" w:type="dxa"/>
            <w:vAlign w:val="bottom"/>
          </w:tcPr>
          <w:p>
            <w:pPr>
              <w:spacing w:after="0"/>
              <w:rPr>
                <w:sz w:val="19"/>
                <w:szCs w:val="19"/>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received. You can revoke a proxy at any time prior to its exercise at the meeting by</w:t>
            </w:r>
          </w:p>
        </w:tc>
      </w:tr>
      <w:tr>
        <w:trPr>
          <w:trHeight w:val="252"/>
        </w:trPr>
        <w:tc>
          <w:tcPr>
            <w:tcW w:w="2480" w:type="dxa"/>
            <w:vAlign w:val="bottom"/>
          </w:tcPr>
          <w:p>
            <w:pPr>
              <w:spacing w:after="0"/>
              <w:rPr>
                <w:sz w:val="21"/>
                <w:szCs w:val="21"/>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following the instructions in the accompanying proxy statement.</w:t>
            </w:r>
          </w:p>
        </w:tc>
      </w:tr>
      <w:tr>
        <w:trPr>
          <w:trHeight w:val="229"/>
        </w:trPr>
        <w:tc>
          <w:tcPr>
            <w:tcW w:w="2480" w:type="dxa"/>
            <w:vAlign w:val="bottom"/>
            <w:shd w:val="clear" w:color="auto" w:fill="CCEEFF"/>
          </w:tcPr>
          <w:p>
            <w:pPr>
              <w:spacing w:after="0"/>
              <w:rPr>
                <w:sz w:val="19"/>
                <w:szCs w:val="19"/>
                <w:color w:val="auto"/>
              </w:rPr>
            </w:pPr>
          </w:p>
        </w:tc>
        <w:tc>
          <w:tcPr>
            <w:tcW w:w="8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62"/>
        </w:trPr>
        <w:tc>
          <w:tcPr>
            <w:tcW w:w="2480" w:type="dxa"/>
            <w:vAlign w:val="bottom"/>
          </w:tcPr>
          <w:p>
            <w:pPr>
              <w:spacing w:after="0"/>
              <w:rPr>
                <w:sz w:val="22"/>
                <w:szCs w:val="22"/>
                <w:color w:val="auto"/>
              </w:rPr>
            </w:pPr>
          </w:p>
        </w:tc>
        <w:tc>
          <w:tcPr>
            <w:tcW w:w="8620" w:type="dxa"/>
            <w:vAlign w:val="bottom"/>
            <w:gridSpan w:val="2"/>
          </w:tcPr>
          <w:p>
            <w:pPr>
              <w:ind w:left="1660"/>
              <w:spacing w:after="0"/>
              <w:rPr>
                <w:sz w:val="20"/>
                <w:szCs w:val="20"/>
                <w:color w:val="auto"/>
              </w:rPr>
            </w:pPr>
            <w:r>
              <w:rPr>
                <w:rFonts w:ascii="Times New Roman" w:cs="Times New Roman" w:eastAsia="Times New Roman" w:hAnsi="Times New Roman"/>
                <w:sz w:val="20"/>
                <w:szCs w:val="20"/>
                <w:b w:val="1"/>
                <w:bCs w:val="1"/>
                <w:color w:val="auto"/>
              </w:rPr>
              <w:t>BY ORDER OF THE BOARD OF DIRECTORS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517525</wp:posOffset>
            </wp:positionV>
            <wp:extent cx="7054850" cy="6223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622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Jalal “Jay” Shehadeh</w:t>
      </w:r>
    </w:p>
    <w:p>
      <w:pPr>
        <w:spacing w:after="0" w:line="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i w:val="1"/>
          <w:iCs w:val="1"/>
          <w:color w:val="auto"/>
        </w:rPr>
        <w:t>Corporate Secretary</w:t>
      </w:r>
    </w:p>
    <w:p>
      <w:pPr>
        <w:spacing w:after="0"/>
        <w:rPr>
          <w:sz w:val="20"/>
          <w:szCs w:val="20"/>
          <w:color w:val="auto"/>
        </w:rPr>
      </w:pPr>
      <w:r>
        <w:rPr>
          <w:rFonts w:ascii="Times New Roman" w:cs="Times New Roman" w:eastAsia="Times New Roman" w:hAnsi="Times New Roman"/>
          <w:sz w:val="20"/>
          <w:szCs w:val="20"/>
          <w:color w:val="auto"/>
        </w:rPr>
        <w:t>Doral, Florida</w:t>
      </w:r>
    </w:p>
    <w:p>
      <w:pPr>
        <w:spacing w:after="0"/>
        <w:rPr>
          <w:sz w:val="20"/>
          <w:szCs w:val="20"/>
          <w:color w:val="auto"/>
        </w:rPr>
      </w:pPr>
      <w:r>
        <w:rPr>
          <w:rFonts w:ascii="Times New Roman" w:cs="Times New Roman" w:eastAsia="Times New Roman" w:hAnsi="Times New Roman"/>
          <w:sz w:val="20"/>
          <w:szCs w:val="20"/>
          <w:color w:val="auto"/>
        </w:rPr>
        <w:t>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506095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794" w:right="3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0520" w:type="dxa"/>
            <w:vAlign w:val="bottom"/>
            <w:tcBorders>
              <w:top w:val="single" w:sz="8" w:color="auto"/>
              <w:left w:val="single" w:sz="8" w:color="auto"/>
              <w:bottom w:val="single" w:sz="8" w:color="auto"/>
            </w:tcBorders>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2"/>
        </w:trPr>
        <w:tc>
          <w:tcPr>
            <w:tcW w:w="10520" w:type="dxa"/>
            <w:vAlign w:val="bottom"/>
          </w:tcPr>
          <w:p>
            <w:pPr>
              <w:spacing w:after="0"/>
              <w:rPr>
                <w:sz w:val="14"/>
                <w:szCs w:val="14"/>
                <w:color w:val="auto"/>
              </w:rPr>
            </w:pPr>
          </w:p>
        </w:tc>
        <w:tc>
          <w:tcPr>
            <w:tcW w:w="66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8"/>
                <w:szCs w:val="18"/>
                <w:color w:val="auto"/>
              </w:rPr>
              <w:t>Page</w:t>
            </w:r>
          </w:p>
        </w:tc>
        <w:tc>
          <w:tcPr>
            <w:tcW w:w="60" w:type="dxa"/>
            <w:vAlign w:val="bottom"/>
          </w:tcPr>
          <w:p>
            <w:pPr>
              <w:spacing w:after="0"/>
              <w:rPr>
                <w:sz w:val="14"/>
                <w:szCs w:val="14"/>
                <w:color w:val="auto"/>
              </w:rPr>
            </w:pPr>
          </w:p>
        </w:tc>
      </w:tr>
      <w:tr>
        <w:trPr>
          <w:trHeight w:val="21"/>
        </w:trPr>
        <w:tc>
          <w:tcPr>
            <w:tcW w:w="10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05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the Annual Meeting</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with Respect to Nominees for Director and Information About Executive Officers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Election of Directors (Proposal One)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Officers Who Are Not Also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 Principles and Board Matters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Attendance at Annual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and Meetings of the Board of Directors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Philosophy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Named Executive Officers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Narrative Discussion of Summary Compensation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Equity Awards at 2021 Fiscal Year-End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Employment Agreements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Incentive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 (Proposal Two)</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and Risk Committee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of Common Stock by Certain Beneficial Owners and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Proposals, Nominations and Communications with the Board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Reports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56"/>
        </w:trPr>
        <w:tc>
          <w:tcPr>
            <w:tcW w:w="10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-4088130</wp:posOffset>
            </wp:positionV>
            <wp:extent cx="342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USCB FINANCIAL HOLDINGS, INC.</w:t>
      </w:r>
    </w:p>
    <w:p>
      <w:pPr>
        <w:spacing w:after="0" w:line="207" w:lineRule="exact"/>
        <w:rPr>
          <w:sz w:val="20"/>
          <w:szCs w:val="20"/>
          <w:color w:val="auto"/>
        </w:rPr>
      </w:pPr>
    </w:p>
    <w:p>
      <w:pPr>
        <w:ind w:right="280" w:firstLine="406"/>
        <w:spacing w:after="0" w:line="246" w:lineRule="auto"/>
        <w:rPr>
          <w:sz w:val="20"/>
          <w:szCs w:val="20"/>
          <w:color w:val="auto"/>
        </w:rPr>
      </w:pPr>
      <w:r>
        <w:rPr>
          <w:rFonts w:ascii="Times New Roman" w:cs="Times New Roman" w:eastAsia="Times New Roman" w:hAnsi="Times New Roman"/>
          <w:sz w:val="20"/>
          <w:szCs w:val="20"/>
          <w:color w:val="auto"/>
        </w:rPr>
        <w:t>We are furnishing this proxy statement to holders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Tuesday, May 31, 2022 at 10:00 a.m., Eastern time for the purposes set forth in the attached Notice of Annual Meeting of Shareholders. This proxy statement is first being mailed to shareholders on or about April 25, 2022.</w:t>
      </w:r>
    </w:p>
    <w:p>
      <w:pPr>
        <w:spacing w:after="0" w:line="194" w:lineRule="exact"/>
        <w:rPr>
          <w:sz w:val="20"/>
          <w:szCs w:val="20"/>
          <w:color w:val="auto"/>
        </w:rPr>
      </w:pPr>
    </w:p>
    <w:p>
      <w:pPr>
        <w:jc w:val="both"/>
        <w:ind w:right="100" w:firstLine="409"/>
        <w:spacing w:after="0" w:line="256"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Shareholder Meeting to Be Held on May 31, 2022: The proxy materials are available at www.edocumentview.com/USCB. This proxy statement and the related proxy card will be mailed to each shareholder entitled to notice of, and to vote at, the Annual Meeting commencing on or about April 25, 2022.</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QUESTIONS AND ANSWERS ABOUT THE PROXY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313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ANNUAL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Why am I receiving these materials?</w:t>
      </w:r>
    </w:p>
    <w:p>
      <w:pPr>
        <w:spacing w:after="0" w:line="233" w:lineRule="exact"/>
        <w:rPr>
          <w:sz w:val="20"/>
          <w:szCs w:val="20"/>
          <w:color w:val="auto"/>
        </w:rPr>
      </w:pPr>
    </w:p>
    <w:p>
      <w:pPr>
        <w:ind w:right="40" w:firstLine="406"/>
        <w:spacing w:after="0" w:line="249" w:lineRule="auto"/>
        <w:rPr>
          <w:sz w:val="20"/>
          <w:szCs w:val="20"/>
          <w:color w:val="auto"/>
        </w:rPr>
      </w:pPr>
      <w:r>
        <w:rPr>
          <w:rFonts w:ascii="Times New Roman" w:cs="Times New Roman" w:eastAsia="Times New Roman" w:hAnsi="Times New Roman"/>
          <w:sz w:val="20"/>
          <w:szCs w:val="20"/>
          <w:color w:val="auto"/>
        </w:rPr>
        <w:t>We are providing these proxy materials to you in connection with the solicitation, by the Board, of proxies to be voted at the Annual Meeting. You are receiving this proxy statement because you were a USCB Financial Holdings shareholder as of the close of business on April 14, 2022, the voting Record Date. This proxy statement provides notice of the Annual Meeting, describes the proposals to be presented for shareholder action and includes information required to be disclosed to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When and where is the Annual Meeting and how can I attend with the ability to ask questions and/or vote?</w:t>
      </w:r>
    </w:p>
    <w:p>
      <w:pPr>
        <w:spacing w:after="0" w:line="233" w:lineRule="exact"/>
        <w:rPr>
          <w:sz w:val="20"/>
          <w:szCs w:val="20"/>
          <w:color w:val="auto"/>
        </w:rPr>
      </w:pPr>
    </w:p>
    <w:p>
      <w:pPr>
        <w:ind w:firstLine="406"/>
        <w:spacing w:after="0" w:line="249" w:lineRule="auto"/>
        <w:rPr>
          <w:sz w:val="20"/>
          <w:szCs w:val="20"/>
          <w:color w:val="auto"/>
        </w:rPr>
      </w:pPr>
      <w:r>
        <w:rPr>
          <w:rFonts w:ascii="Times New Roman" w:cs="Times New Roman" w:eastAsia="Times New Roman" w:hAnsi="Times New Roman"/>
          <w:sz w:val="20"/>
          <w:szCs w:val="20"/>
          <w:color w:val="auto"/>
        </w:rPr>
        <w:t>The Annual Meeting will be held on May 31, 2022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Record Date, or if you were a beneficial owner of shares of our common stock as of the Record Date and you hold a valid legal proxy for the Annual Meeting.</w:t>
      </w:r>
    </w:p>
    <w:p>
      <w:pPr>
        <w:spacing w:after="0" w:line="193" w:lineRule="exact"/>
        <w:rPr>
          <w:sz w:val="20"/>
          <w:szCs w:val="20"/>
          <w:color w:val="auto"/>
        </w:rPr>
      </w:pPr>
    </w:p>
    <w:p>
      <w:pPr>
        <w:ind w:right="100" w:firstLine="409"/>
        <w:spacing w:after="0" w:line="249" w:lineRule="auto"/>
        <w:rPr>
          <w:sz w:val="20"/>
          <w:szCs w:val="20"/>
          <w:color w:val="auto"/>
        </w:rPr>
      </w:pPr>
      <w:r>
        <w:rPr>
          <w:rFonts w:ascii="Times New Roman" w:cs="Times New Roman" w:eastAsia="Times New Roman" w:hAnsi="Times New Roman"/>
          <w:sz w:val="20"/>
          <w:szCs w:val="20"/>
          <w:u w:val="single" w:color="auto"/>
          <w:color w:val="auto"/>
        </w:rPr>
        <w:t>Registered holders</w:t>
      </w:r>
      <w:r>
        <w:rPr>
          <w:rFonts w:ascii="Times New Roman" w:cs="Times New Roman" w:eastAsia="Times New Roman" w:hAnsi="Times New Roman"/>
          <w:sz w:val="20"/>
          <w:szCs w:val="20"/>
          <w:color w:val="auto"/>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https://meetnow.global/MNZHWKQ and following the instructions on the proxy card or the instructions accompanying the proxy materials.</w:t>
      </w:r>
    </w:p>
    <w:p>
      <w:pPr>
        <w:spacing w:after="0" w:line="193" w:lineRule="exact"/>
        <w:rPr>
          <w:sz w:val="20"/>
          <w:szCs w:val="20"/>
          <w:color w:val="auto"/>
        </w:rPr>
      </w:pPr>
    </w:p>
    <w:p>
      <w:pPr>
        <w:ind w:right="80" w:firstLine="409"/>
        <w:spacing w:after="0" w:line="254" w:lineRule="auto"/>
        <w:rPr>
          <w:sz w:val="20"/>
          <w:szCs w:val="20"/>
          <w:color w:val="auto"/>
        </w:rPr>
      </w:pPr>
      <w:r>
        <w:rPr>
          <w:rFonts w:ascii="Times New Roman" w:cs="Times New Roman" w:eastAsia="Times New Roman" w:hAnsi="Times New Roman"/>
          <w:sz w:val="20"/>
          <w:szCs w:val="20"/>
          <w:u w:val="single" w:color="auto"/>
          <w:color w:val="auto"/>
        </w:rPr>
        <w:t>Beneficial owners</w:t>
      </w:r>
      <w:r>
        <w:rPr>
          <w:rFonts w:ascii="Times New Roman" w:cs="Times New Roman" w:eastAsia="Times New Roman" w:hAnsi="Times New Roman"/>
          <w:sz w:val="20"/>
          <w:szCs w:val="20"/>
          <w:color w:val="auto"/>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5" w:right="379" w:bottom="1440" w:gutter="0" w:footer="0" w:header="0"/>
        </w:sectPr>
      </w:pPr>
    </w:p>
    <w:bookmarkStart w:id="5" w:name="page6"/>
    <w:bookmarkEnd w:id="5"/>
    <w:p>
      <w:pPr>
        <w:jc w:val="both"/>
        <w:ind w:left="660" w:right="180" w:firstLine="158"/>
        <w:spacing w:after="0" w:line="249" w:lineRule="auto"/>
        <w:tabs>
          <w:tab w:leader="none" w:pos="149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in Advance of the Annual Meeting</w:t>
      </w:r>
      <w:r>
        <w:rPr>
          <w:rFonts w:ascii="Times New Roman" w:cs="Times New Roman" w:eastAsia="Times New Roman" w:hAnsi="Times New Roman"/>
          <w:sz w:val="20"/>
          <w:szCs w:val="20"/>
          <w:color w:val="auto"/>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spacing w:after="0" w:line="193" w:lineRule="exact"/>
        <w:rPr>
          <w:sz w:val="20"/>
          <w:szCs w:val="20"/>
          <w:color w:val="auto"/>
        </w:rPr>
      </w:pPr>
    </w:p>
    <w:p>
      <w:pPr>
        <w:ind w:right="380" w:firstLine="409"/>
        <w:spacing w:after="0" w:line="254" w:lineRule="auto"/>
        <w:rPr>
          <w:sz w:val="20"/>
          <w:szCs w:val="20"/>
          <w:color w:val="auto"/>
        </w:rPr>
      </w:pPr>
      <w:r>
        <w:rPr>
          <w:rFonts w:ascii="Times New Roman" w:cs="Times New Roman" w:eastAsia="Times New Roman" w:hAnsi="Times New Roman"/>
          <w:sz w:val="20"/>
          <w:szCs w:val="20"/>
          <w:color w:val="auto"/>
        </w:rPr>
        <w:t>Requests for registration as set forth in (1) above must be labeled as “Legal Proxy” and be received no later than 5:00 p.m., Eastern time, on May 26, 2022. You will receive a confirmation of your registration by email after Computershare receives your registration materials. Requests for registration should be directed to Computershare at the following:</w:t>
      </w:r>
    </w:p>
    <w:p>
      <w:pPr>
        <w:spacing w:after="0" w:line="188" w:lineRule="exact"/>
        <w:rPr>
          <w:sz w:val="20"/>
          <w:szCs w:val="20"/>
          <w:color w:val="auto"/>
        </w:rPr>
      </w:pPr>
    </w:p>
    <w:p>
      <w:pPr>
        <w:ind w:left="660"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By email</w:t>
      </w:r>
      <w:r>
        <w:rPr>
          <w:rFonts w:ascii="Times New Roman" w:cs="Times New Roman" w:eastAsia="Times New Roman" w:hAnsi="Times New Roman"/>
          <w:sz w:val="20"/>
          <w:szCs w:val="20"/>
          <w:color w:val="auto"/>
        </w:rPr>
        <w:t>: Forward the email from your bank, broker or other nominee granting you a Legal Proxy, or attach an image of your Legal Proxy, to legalproxy@computershare.com.</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u w:val="single" w:color="auto"/>
          <w:color w:val="auto"/>
        </w:rPr>
        <w:t>By mail</w:t>
      </w:r>
      <w:r>
        <w:rPr>
          <w:rFonts w:ascii="Times New Roman" w:cs="Times New Roman" w:eastAsia="Times New Roman" w:hAnsi="Times New Roman"/>
          <w:sz w:val="20"/>
          <w:szCs w:val="20"/>
          <w:color w:val="auto"/>
        </w:rPr>
        <w:t>: Computershare</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USCB Financial Holdings Legal Proxy</w:t>
      </w:r>
    </w:p>
    <w:p>
      <w:pPr>
        <w:ind w:left="1620"/>
        <w:spacing w:after="0"/>
        <w:rPr>
          <w:sz w:val="20"/>
          <w:szCs w:val="20"/>
          <w:color w:val="auto"/>
        </w:rPr>
      </w:pPr>
      <w:r>
        <w:rPr>
          <w:rFonts w:ascii="Times New Roman" w:cs="Times New Roman" w:eastAsia="Times New Roman" w:hAnsi="Times New Roman"/>
          <w:sz w:val="20"/>
          <w:szCs w:val="20"/>
          <w:color w:val="auto"/>
        </w:rPr>
        <w:t>P.O. Box 43001</w:t>
      </w:r>
    </w:p>
    <w:p>
      <w:pPr>
        <w:ind w:left="1620"/>
        <w:spacing w:after="0"/>
        <w:rPr>
          <w:sz w:val="20"/>
          <w:szCs w:val="20"/>
          <w:color w:val="auto"/>
        </w:rPr>
      </w:pPr>
      <w:r>
        <w:rPr>
          <w:rFonts w:ascii="Times New Roman" w:cs="Times New Roman" w:eastAsia="Times New Roman" w:hAnsi="Times New Roman"/>
          <w:sz w:val="20"/>
          <w:szCs w:val="20"/>
          <w:color w:val="auto"/>
        </w:rPr>
        <w:t>Providence, RI 02940-3001</w:t>
      </w:r>
    </w:p>
    <w:p>
      <w:pPr>
        <w:spacing w:after="0" w:line="207" w:lineRule="exact"/>
        <w:rPr>
          <w:sz w:val="20"/>
          <w:szCs w:val="20"/>
          <w:color w:val="auto"/>
        </w:rPr>
      </w:pPr>
    </w:p>
    <w:p>
      <w:pPr>
        <w:ind w:left="660" w:right="60" w:firstLine="158"/>
        <w:spacing w:after="0" w:line="245" w:lineRule="auto"/>
        <w:tabs>
          <w:tab w:leader="none" w:pos="149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 at the Annual Meeting</w:t>
      </w:r>
      <w:r>
        <w:rPr>
          <w:rFonts w:ascii="Times New Roman" w:cs="Times New Roman" w:eastAsia="Times New Roman" w:hAnsi="Times New Roman"/>
          <w:sz w:val="20"/>
          <w:szCs w:val="20"/>
          <w:color w:val="auto"/>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spacing w:after="0" w:line="198" w:lineRule="exact"/>
        <w:rPr>
          <w:sz w:val="20"/>
          <w:szCs w:val="20"/>
          <w:color w:val="auto"/>
        </w:rPr>
      </w:pPr>
    </w:p>
    <w:p>
      <w:pPr>
        <w:ind w:right="860" w:firstLine="409"/>
        <w:spacing w:after="0" w:line="269" w:lineRule="auto"/>
        <w:rPr>
          <w:sz w:val="20"/>
          <w:szCs w:val="20"/>
          <w:color w:val="auto"/>
        </w:rPr>
      </w:pPr>
      <w:r>
        <w:rPr>
          <w:rFonts w:ascii="Times New Roman" w:cs="Times New Roman" w:eastAsia="Times New Roman" w:hAnsi="Times New Roman"/>
          <w:sz w:val="20"/>
          <w:szCs w:val="20"/>
          <w:color w:val="auto"/>
        </w:rPr>
        <w:t>In any event, please go to https://meetnow.global/MNZHWKQ for more information on the available options and registration instructions.</w:t>
      </w:r>
    </w:p>
    <w:p>
      <w:pPr>
        <w:spacing w:after="0" w:line="173" w:lineRule="exact"/>
        <w:rPr>
          <w:sz w:val="20"/>
          <w:szCs w:val="20"/>
          <w:color w:val="auto"/>
        </w:rPr>
      </w:pPr>
    </w:p>
    <w:p>
      <w:pPr>
        <w:ind w:firstLine="406"/>
        <w:spacing w:after="0" w:line="269" w:lineRule="auto"/>
        <w:rPr>
          <w:sz w:val="20"/>
          <w:szCs w:val="20"/>
          <w:color w:val="auto"/>
        </w:rPr>
      </w:pPr>
      <w:r>
        <w:rPr>
          <w:rFonts w:ascii="Times New Roman" w:cs="Times New Roman" w:eastAsia="Times New Roman" w:hAnsi="Times New Roman"/>
          <w:sz w:val="20"/>
          <w:szCs w:val="20"/>
          <w:color w:val="auto"/>
        </w:rPr>
        <w:t>The Annual Meeting will begin promptly at 10:00 a.m., Eastern time on May 31, 2022. We encourage you to access the meeting prior to the start time leaving ample time for check in. Please follow the registration instructions as outlined in this proxy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 I need to register to attend the Annual Meeting virtually?</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Registration is only required if you are a beneficial holder, as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can I vote online at the meeting?</w:t>
      </w:r>
    </w:p>
    <w:p>
      <w:pPr>
        <w:spacing w:after="0" w:line="233" w:lineRule="exact"/>
        <w:rPr>
          <w:sz w:val="20"/>
          <w:szCs w:val="20"/>
          <w:color w:val="auto"/>
        </w:rPr>
      </w:pPr>
    </w:p>
    <w:p>
      <w:pPr>
        <w:jc w:val="both"/>
        <w:ind w:right="180" w:firstLine="409"/>
        <w:spacing w:after="0" w:line="254" w:lineRule="auto"/>
        <w:rPr>
          <w:sz w:val="20"/>
          <w:szCs w:val="20"/>
          <w:color w:val="auto"/>
        </w:rPr>
      </w:pPr>
      <w:r>
        <w:rPr>
          <w:rFonts w:ascii="Times New Roman" w:cs="Times New Roman" w:eastAsia="Times New Roman" w:hAnsi="Times New Roman"/>
          <w:sz w:val="20"/>
          <w:szCs w:val="20"/>
          <w:color w:val="auto"/>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Why are you holding a virtual meeting instead of a physical meeting?</w:t>
      </w:r>
    </w:p>
    <w:p>
      <w:pPr>
        <w:spacing w:after="0" w:line="233" w:lineRule="exact"/>
        <w:rPr>
          <w:sz w:val="20"/>
          <w:szCs w:val="20"/>
          <w:color w:val="auto"/>
        </w:rPr>
      </w:pPr>
    </w:p>
    <w:p>
      <w:pPr>
        <w:ind w:right="260" w:firstLine="406"/>
        <w:spacing w:after="0" w:line="246" w:lineRule="auto"/>
        <w:rPr>
          <w:sz w:val="20"/>
          <w:szCs w:val="20"/>
          <w:color w:val="auto"/>
        </w:rPr>
      </w:pPr>
      <w:r>
        <w:rPr>
          <w:rFonts w:ascii="Times New Roman" w:cs="Times New Roman" w:eastAsia="Times New Roman" w:hAnsi="Times New Roman"/>
          <w:sz w:val="20"/>
          <w:szCs w:val="20"/>
          <w:color w:val="auto"/>
        </w:rPr>
        <w:t>We are excited to embrace the latest technology to provide expanded access, improved communication and cost savings for our shareholders and USCB Financial Holdings. We believe that hosting a virtual meeting will enable more of our shareholders to attend and participate in the meeting since our shareholders can participate from any location around the world with Internet access. We also believe holding a virtual meeting this year will help safeguard the health of all meeting participants in view of the concerns regarding the ongoing coronavirus pandemic.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What if I have trouble accessing the Annual Meeting virtually?</w:t>
      </w:r>
    </w:p>
    <w:p>
      <w:pPr>
        <w:spacing w:after="0" w:line="233" w:lineRule="exact"/>
        <w:rPr>
          <w:sz w:val="20"/>
          <w:szCs w:val="20"/>
          <w:color w:val="auto"/>
        </w:rPr>
      </w:pPr>
    </w:p>
    <w:p>
      <w:pPr>
        <w:ind w:firstLine="406"/>
        <w:spacing w:after="0" w:line="246" w:lineRule="auto"/>
        <w:rPr>
          <w:sz w:val="20"/>
          <w:szCs w:val="20"/>
          <w:color w:val="auto"/>
        </w:rPr>
      </w:pPr>
      <w:r>
        <w:rPr>
          <w:rFonts w:ascii="Times New Roman" w:cs="Times New Roman" w:eastAsia="Times New Roman" w:hAnsi="Times New Roman"/>
          <w:sz w:val="20"/>
          <w:szCs w:val="20"/>
          <w:color w:val="auto"/>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you may call 1-888-724-2416.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am I being asked to vote on at the Annual Meeting?</w:t>
      </w: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At the Annual Meeting, shareholders will be asked to act on the following matters:</w:t>
      </w:r>
    </w:p>
    <w:p>
      <w:pPr>
        <w:spacing w:after="0" w:line="229" w:lineRule="exact"/>
        <w:rPr>
          <w:sz w:val="20"/>
          <w:szCs w:val="20"/>
          <w:color w:val="auto"/>
        </w:rPr>
      </w:pPr>
    </w:p>
    <w:p>
      <w:pPr>
        <w:ind w:left="980" w:right="40" w:hanging="324"/>
        <w:spacing w:after="0" w:line="269" w:lineRule="auto"/>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Proposal 1</w:t>
      </w:r>
      <w:r>
        <w:rPr>
          <w:rFonts w:ascii="Times New Roman" w:cs="Times New Roman" w:eastAsia="Times New Roman" w:hAnsi="Times New Roman"/>
          <w:sz w:val="20"/>
          <w:szCs w:val="20"/>
          <w:color w:val="auto"/>
        </w:rPr>
        <w:t>— The election of each of our directors for a one-year term expiring in 2023, and until their successors are elected and qualified.</w:t>
      </w:r>
    </w:p>
    <w:p>
      <w:pPr>
        <w:spacing w:after="0" w:line="172" w:lineRule="exact"/>
        <w:rPr>
          <w:rFonts w:ascii="Times New Roman" w:cs="Times New Roman" w:eastAsia="Times New Roman" w:hAnsi="Times New Roman"/>
          <w:sz w:val="20"/>
          <w:szCs w:val="20"/>
          <w:color w:val="auto"/>
        </w:rPr>
      </w:pPr>
    </w:p>
    <w:p>
      <w:pPr>
        <w:ind w:left="980" w:right="420" w:hanging="324"/>
        <w:spacing w:after="0" w:line="269" w:lineRule="auto"/>
        <w:tabs>
          <w:tab w:leader="none" w:pos="9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Proposal 2</w:t>
      </w:r>
      <w:r>
        <w:rPr>
          <w:rFonts w:ascii="Times New Roman" w:cs="Times New Roman" w:eastAsia="Times New Roman" w:hAnsi="Times New Roman"/>
          <w:sz w:val="20"/>
          <w:szCs w:val="20"/>
          <w:color w:val="auto"/>
        </w:rPr>
        <w:t>— The ratification of the appointment of Crowe LLP as our independent registered public accounting firm for the fiscal year ending December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does the Board recommend that I vote?</w:t>
      </w:r>
    </w:p>
    <w:p>
      <w:pPr>
        <w:spacing w:after="0" w:line="233" w:lineRule="exact"/>
        <w:rPr>
          <w:sz w:val="20"/>
          <w:szCs w:val="20"/>
          <w:color w:val="auto"/>
        </w:rPr>
      </w:pPr>
    </w:p>
    <w:p>
      <w:pPr>
        <w:ind w:firstLine="406"/>
        <w:spacing w:after="0" w:line="254" w:lineRule="auto"/>
        <w:rPr>
          <w:sz w:val="20"/>
          <w:szCs w:val="20"/>
          <w:color w:val="auto"/>
        </w:rPr>
      </w:pPr>
      <w:r>
        <w:rPr>
          <w:rFonts w:ascii="Times New Roman" w:cs="Times New Roman" w:eastAsia="Times New Roman" w:hAnsi="Times New Roman"/>
          <w:sz w:val="20"/>
          <w:szCs w:val="20"/>
          <w:color w:val="auto"/>
        </w:rPr>
        <w:t xml:space="preserve">The recommendations of the Board of Directors are set forth under the description of each proposal in this proxy statement. In summary, the Board of Directors recommends that you vote (i)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nominees for director described herein and (ii)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ratification of the appointment of Crowe LLP, as our independent registered public accounting firm for the year ending December 31, 2022.</w:t>
      </w:r>
    </w:p>
    <w:p>
      <w:pPr>
        <w:spacing w:after="0" w:line="188" w:lineRule="exact"/>
        <w:rPr>
          <w:sz w:val="20"/>
          <w:szCs w:val="20"/>
          <w:color w:val="auto"/>
        </w:rPr>
      </w:pPr>
    </w:p>
    <w:p>
      <w:pPr>
        <w:ind w:firstLine="406"/>
        <w:spacing w:after="0" w:line="246" w:lineRule="auto"/>
        <w:rPr>
          <w:sz w:val="20"/>
          <w:szCs w:val="20"/>
          <w:color w:val="auto"/>
        </w:rPr>
      </w:pPr>
      <w:r>
        <w:rPr>
          <w:rFonts w:ascii="Times New Roman" w:cs="Times New Roman" w:eastAsia="Times New Roman" w:hAnsi="Times New Roman"/>
          <w:sz w:val="20"/>
          <w:szCs w:val="20"/>
          <w:color w:val="auto"/>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may USCB Financial Holdings solicit my proxy?</w:t>
      </w:r>
    </w:p>
    <w:p>
      <w:pPr>
        <w:spacing w:after="0" w:line="233" w:lineRule="exact"/>
        <w:rPr>
          <w:sz w:val="20"/>
          <w:szCs w:val="20"/>
          <w:color w:val="auto"/>
        </w:rPr>
      </w:pPr>
    </w:p>
    <w:p>
      <w:pPr>
        <w:ind w:right="80" w:firstLine="406"/>
        <w:spacing w:after="0" w:line="246" w:lineRule="auto"/>
        <w:rPr>
          <w:sz w:val="20"/>
          <w:szCs w:val="20"/>
          <w:color w:val="auto"/>
        </w:rPr>
      </w:pPr>
      <w:r>
        <w:rPr>
          <w:rFonts w:ascii="Times New Roman" w:cs="Times New Roman" w:eastAsia="Times New Roman" w:hAnsi="Times New Roman"/>
          <w:sz w:val="20"/>
          <w:szCs w:val="20"/>
          <w:color w:val="auto"/>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“Method of Proxy Solicitation” for additional information.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Who can vote?</w:t>
      </w:r>
    </w:p>
    <w:p>
      <w:pPr>
        <w:spacing w:after="0" w:line="233" w:lineRule="exact"/>
        <w:rPr>
          <w:sz w:val="20"/>
          <w:szCs w:val="20"/>
          <w:color w:val="auto"/>
        </w:rPr>
      </w:pPr>
    </w:p>
    <w:p>
      <w:pPr>
        <w:ind w:right="40" w:firstLine="409"/>
        <w:spacing w:after="0" w:line="249" w:lineRule="auto"/>
        <w:rPr>
          <w:sz w:val="20"/>
          <w:szCs w:val="20"/>
          <w:color w:val="auto"/>
        </w:rPr>
      </w:pPr>
      <w:r>
        <w:rPr>
          <w:rFonts w:ascii="Times New Roman" w:cs="Times New Roman" w:eastAsia="Times New Roman" w:hAnsi="Times New Roman"/>
          <w:sz w:val="20"/>
          <w:szCs w:val="20"/>
          <w:color w:val="auto"/>
        </w:rPr>
        <w:t>Only shareholders of record at the close of business on the Record Date are entitled to notice of and to attend the Annual Meeting. Only holders of USCB Financial Holdings Class A Common Stock, par value $1.00 per share, are entitled to vote on the election of directors and ratification of auditors at the Annual Meeting of Shareholders. As of the Record Date, there were 20,000,753 shares outstanding of Class A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shareholder vote is required?</w:t>
      </w:r>
    </w:p>
    <w:p>
      <w:pPr>
        <w:spacing w:after="0" w:line="233" w:lineRule="exact"/>
        <w:rPr>
          <w:sz w:val="20"/>
          <w:szCs w:val="20"/>
          <w:color w:val="auto"/>
        </w:rPr>
      </w:pPr>
    </w:p>
    <w:p>
      <w:pPr>
        <w:ind w:firstLine="409"/>
        <w:spacing w:after="0" w:line="246" w:lineRule="auto"/>
        <w:rPr>
          <w:sz w:val="20"/>
          <w:szCs w:val="20"/>
          <w:color w:val="auto"/>
        </w:rPr>
      </w:pPr>
      <w:r>
        <w:rPr>
          <w:rFonts w:ascii="Times New Roman" w:cs="Times New Roman" w:eastAsia="Times New Roman" w:hAnsi="Times New Roman"/>
          <w:sz w:val="20"/>
          <w:szCs w:val="20"/>
          <w:color w:val="auto"/>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will be the effect of broker non-votes and abstentions?</w:t>
      </w:r>
    </w:p>
    <w:p>
      <w:pPr>
        <w:spacing w:after="0" w:line="229" w:lineRule="exact"/>
        <w:rPr>
          <w:sz w:val="20"/>
          <w:szCs w:val="20"/>
          <w:color w:val="auto"/>
        </w:rPr>
      </w:pPr>
    </w:p>
    <w:p>
      <w:pPr>
        <w:ind w:firstLine="409"/>
        <w:spacing w:after="0" w:line="244" w:lineRule="auto"/>
        <w:rPr>
          <w:sz w:val="20"/>
          <w:szCs w:val="20"/>
          <w:color w:val="auto"/>
        </w:rPr>
      </w:pPr>
      <w:r>
        <w:rPr>
          <w:rFonts w:ascii="Times New Roman" w:cs="Times New Roman" w:eastAsia="Times New Roman" w:hAnsi="Times New Roman"/>
          <w:sz w:val="20"/>
          <w:szCs w:val="20"/>
          <w:i w:val="1"/>
          <w:iCs w:val="1"/>
          <w:color w:val="auto"/>
        </w:rPr>
        <w:t>Broker Non-Votes</w:t>
      </w:r>
      <w:r>
        <w:rPr>
          <w:rFonts w:ascii="Times New Roman" w:cs="Times New Roman" w:eastAsia="Times New Roman" w:hAnsi="Times New Roman"/>
          <w:sz w:val="20"/>
          <w:szCs w:val="20"/>
          <w:color w:val="auto"/>
        </w:rPr>
        <w:t>. If your shares are held by a bank, broker or other nominee and you do not provide the bank, broker or other nominee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is considered “non-routine,” and banks, brokers and certain other nominees that hold your shares in street name will not be able to cast votes on Proposal One if you do not provide them with voting instructions. Please provide voting instructions to the bank, broker or other nominee that holds your shares by carefully following their instructions.</w:t>
      </w:r>
    </w:p>
    <w:p>
      <w:pPr>
        <w:spacing w:after="0" w:line="199" w:lineRule="exact"/>
        <w:rPr>
          <w:sz w:val="20"/>
          <w:szCs w:val="20"/>
          <w:color w:val="auto"/>
        </w:rPr>
      </w:pPr>
    </w:p>
    <w:p>
      <w:pPr>
        <w:ind w:right="20" w:firstLine="402"/>
        <w:spacing w:after="0" w:line="246" w:lineRule="auto"/>
        <w:rPr>
          <w:sz w:val="20"/>
          <w:szCs w:val="20"/>
          <w:color w:val="auto"/>
        </w:rPr>
      </w:pPr>
      <w:r>
        <w:rPr>
          <w:rFonts w:ascii="Times New Roman" w:cs="Times New Roman" w:eastAsia="Times New Roman" w:hAnsi="Times New Roman"/>
          <w:sz w:val="20"/>
          <w:szCs w:val="20"/>
          <w:color w:val="auto"/>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 One, then your shares will be considered “broker non-votes” on Proposal One. When our inspector of elections tabulates the votes for any of the matters presented, broker non-votes will not be counted for purposes of determining whether a quorum is present for the Annual Meeting.</w:t>
      </w:r>
    </w:p>
    <w:p>
      <w:pPr>
        <w:spacing w:after="0" w:line="194" w:lineRule="exact"/>
        <w:rPr>
          <w:sz w:val="20"/>
          <w:szCs w:val="20"/>
          <w:color w:val="auto"/>
        </w:rPr>
      </w:pPr>
    </w:p>
    <w:p>
      <w:pPr>
        <w:ind w:right="80" w:firstLine="406"/>
        <w:spacing w:after="0" w:line="273" w:lineRule="auto"/>
        <w:rPr>
          <w:sz w:val="20"/>
          <w:szCs w:val="20"/>
          <w:color w:val="auto"/>
        </w:rPr>
      </w:pPr>
      <w:r>
        <w:rPr>
          <w:rFonts w:ascii="Times New Roman" w:cs="Times New Roman" w:eastAsia="Times New Roman" w:hAnsi="Times New Roman"/>
          <w:sz w:val="20"/>
          <w:szCs w:val="20"/>
          <w:i w:val="1"/>
          <w:iCs w:val="1"/>
          <w:color w:val="auto"/>
        </w:rPr>
        <w:t>Abstentions</w:t>
      </w:r>
      <w:r>
        <w:rPr>
          <w:rFonts w:ascii="Times New Roman" w:cs="Times New Roman" w:eastAsia="Times New Roman" w:hAnsi="Times New Roman"/>
          <w:sz w:val="20"/>
          <w:szCs w:val="20"/>
          <w:color w:val="auto"/>
        </w:rPr>
        <w:t>. Abstentions will be counted for the purpose of determining whether a quorum is present, but will have the same effect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vote against the ratification of auditors.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can I vote?</w:t>
      </w:r>
    </w:p>
    <w:p>
      <w:pPr>
        <w:spacing w:after="0" w:line="233" w:lineRule="exact"/>
        <w:rPr>
          <w:sz w:val="20"/>
          <w:szCs w:val="20"/>
          <w:color w:val="auto"/>
        </w:rPr>
      </w:pPr>
    </w:p>
    <w:p>
      <w:pPr>
        <w:jc w:val="both"/>
        <w:ind w:right="240" w:firstLine="406"/>
        <w:spacing w:after="0" w:line="254" w:lineRule="auto"/>
        <w:rPr>
          <w:sz w:val="20"/>
          <w:szCs w:val="20"/>
          <w:color w:val="auto"/>
        </w:rPr>
      </w:pPr>
      <w:r>
        <w:rPr>
          <w:rFonts w:ascii="Times New Roman" w:cs="Times New Roman" w:eastAsia="Times New Roman" w:hAnsi="Times New Roman"/>
          <w:sz w:val="20"/>
          <w:szCs w:val="20"/>
          <w:color w:val="auto"/>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spacing w:after="0" w:line="188" w:lineRule="exact"/>
        <w:rPr>
          <w:sz w:val="20"/>
          <w:szCs w:val="20"/>
          <w:color w:val="auto"/>
        </w:rPr>
      </w:pPr>
    </w:p>
    <w:p>
      <w:pPr>
        <w:ind w:right="20" w:firstLine="409"/>
        <w:spacing w:after="0" w:line="243" w:lineRule="auto"/>
        <w:rPr>
          <w:sz w:val="20"/>
          <w:szCs w:val="20"/>
          <w:color w:val="auto"/>
        </w:rPr>
      </w:pPr>
      <w:r>
        <w:rPr>
          <w:rFonts w:ascii="Times New Roman" w:cs="Times New Roman" w:eastAsia="Times New Roman" w:hAnsi="Times New Roman"/>
          <w:sz w:val="20"/>
          <w:szCs w:val="20"/>
          <w:color w:val="auto"/>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505008 Louisville, KY 40233-9814. Record holders submitting their vote by mail should sign their name exactly as it appears on the proxy card. Votes submitted by proxy cards must be received no later than May 30, 2022. Record holders may also vote at the Annual Meeting where votes must be received no later than the closing of the polls.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8" w:name="page9"/>
    <w:bookmarkEnd w:id="8"/>
    <w:p>
      <w:pPr>
        <w:jc w:val="both"/>
        <w:ind w:right="20" w:firstLine="409"/>
        <w:spacing w:after="0" w:line="254" w:lineRule="auto"/>
        <w:rPr>
          <w:sz w:val="20"/>
          <w:szCs w:val="20"/>
          <w:color w:val="auto"/>
        </w:rPr>
      </w:pPr>
      <w:r>
        <w:rPr>
          <w:rFonts w:ascii="Times New Roman" w:cs="Times New Roman" w:eastAsia="Times New Roman" w:hAnsi="Times New Roman"/>
          <w:sz w:val="20"/>
          <w:szCs w:val="20"/>
          <w:color w:val="auto"/>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spacing w:after="0" w:line="188" w:lineRule="exact"/>
        <w:rPr>
          <w:sz w:val="20"/>
          <w:szCs w:val="20"/>
          <w:color w:val="auto"/>
        </w:rPr>
      </w:pPr>
    </w:p>
    <w:p>
      <w:pPr>
        <w:jc w:val="both"/>
        <w:ind w:right="40" w:firstLine="398"/>
        <w:spacing w:after="0" w:line="269" w:lineRule="auto"/>
        <w:rPr>
          <w:sz w:val="20"/>
          <w:szCs w:val="20"/>
          <w:color w:val="auto"/>
        </w:rPr>
      </w:pPr>
      <w:r>
        <w:rPr>
          <w:rFonts w:ascii="Times New Roman" w:cs="Times New Roman" w:eastAsia="Times New Roman" w:hAnsi="Times New Roman"/>
          <w:sz w:val="20"/>
          <w:szCs w:val="20"/>
          <w:color w:val="auto"/>
        </w:rPr>
        <w:t>Alternatively, a beneficial owner may vote directly at the Annual Meeting by following the process outlined above. Votes at the Annual Meeting must be received no later than the closing of the polls.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can I change or revoke my proxy?</w:t>
      </w:r>
    </w:p>
    <w:p>
      <w:pPr>
        <w:spacing w:after="0" w:line="233" w:lineRule="exact"/>
        <w:rPr>
          <w:sz w:val="20"/>
          <w:szCs w:val="20"/>
          <w:color w:val="auto"/>
        </w:rPr>
      </w:pPr>
    </w:p>
    <w:p>
      <w:pPr>
        <w:ind w:firstLine="409"/>
        <w:spacing w:after="0" w:line="246" w:lineRule="auto"/>
        <w:rPr>
          <w:sz w:val="20"/>
          <w:szCs w:val="20"/>
          <w:color w:val="auto"/>
        </w:rPr>
      </w:pPr>
      <w:r>
        <w:rPr>
          <w:rFonts w:ascii="Times New Roman" w:cs="Times New Roman" w:eastAsia="Times New Roman" w:hAnsi="Times New Roman"/>
          <w:sz w:val="20"/>
          <w:szCs w:val="20"/>
          <w:color w:val="auto"/>
        </w:rPr>
        <w:t>Shareholders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attending the Annual Meeting and voting online, which will automatically cancel any proxy previously given. Attendance at the Annual Meeting, however, will not automatically revoke any proxy that you have given previously unless you vote online.</w:t>
      </w:r>
    </w:p>
    <w:p>
      <w:pPr>
        <w:spacing w:after="0" w:line="198" w:lineRule="exact"/>
        <w:rPr>
          <w:sz w:val="20"/>
          <w:szCs w:val="20"/>
          <w:color w:val="auto"/>
        </w:rPr>
      </w:pPr>
    </w:p>
    <w:p>
      <w:pPr>
        <w:ind w:right="320" w:firstLine="409"/>
        <w:spacing w:after="0" w:line="269" w:lineRule="auto"/>
        <w:rPr>
          <w:sz w:val="20"/>
          <w:szCs w:val="20"/>
          <w:color w:val="auto"/>
        </w:rPr>
      </w:pPr>
      <w:r>
        <w:rPr>
          <w:rFonts w:ascii="Times New Roman" w:cs="Times New Roman" w:eastAsia="Times New Roman" w:hAnsi="Times New Roman"/>
          <w:sz w:val="20"/>
          <w:szCs w:val="20"/>
          <w:color w:val="auto"/>
        </w:rPr>
        <w:t>If you hold shares through a bank, broker or other nominee, you must contact the bank, broker or other nominee to revoke any prior voting instructions.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constitutes a quorum?</w:t>
      </w:r>
    </w:p>
    <w:p>
      <w:pPr>
        <w:spacing w:after="0" w:line="233" w:lineRule="exact"/>
        <w:rPr>
          <w:sz w:val="20"/>
          <w:szCs w:val="20"/>
          <w:color w:val="auto"/>
        </w:rPr>
      </w:pPr>
    </w:p>
    <w:p>
      <w:pPr>
        <w:jc w:val="both"/>
        <w:ind w:firstLine="409"/>
        <w:spacing w:after="0" w:line="254" w:lineRule="auto"/>
        <w:rPr>
          <w:sz w:val="20"/>
          <w:szCs w:val="20"/>
          <w:color w:val="auto"/>
        </w:rPr>
      </w:pPr>
      <w:r>
        <w:rPr>
          <w:rFonts w:ascii="Times New Roman" w:cs="Times New Roman" w:eastAsia="Times New Roman" w:hAnsi="Times New Roman"/>
          <w:sz w:val="20"/>
          <w:szCs w:val="20"/>
          <w:color w:val="auto"/>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spacing w:after="0" w:line="188" w:lineRule="exact"/>
        <w:rPr>
          <w:sz w:val="20"/>
          <w:szCs w:val="20"/>
          <w:color w:val="auto"/>
        </w:rPr>
      </w:pPr>
    </w:p>
    <w:p>
      <w:pPr>
        <w:jc w:val="both"/>
        <w:ind w:right="180" w:firstLine="409"/>
        <w:spacing w:after="0" w:line="248" w:lineRule="auto"/>
        <w:rPr>
          <w:sz w:val="20"/>
          <w:szCs w:val="20"/>
          <w:color w:val="auto"/>
        </w:rPr>
      </w:pPr>
      <w:r>
        <w:rPr>
          <w:rFonts w:ascii="Times New Roman" w:cs="Times New Roman" w:eastAsia="Times New Roman" w:hAnsi="Times New Roman"/>
          <w:sz w:val="20"/>
          <w:szCs w:val="20"/>
          <w:color w:val="auto"/>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INFORMATION WITH RESPECT TO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312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31242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INFORMATION ABOUT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of Directors (Proposal One)</w:t>
      </w:r>
    </w:p>
    <w:p>
      <w:pPr>
        <w:spacing w:after="0" w:line="233" w:lineRule="exact"/>
        <w:rPr>
          <w:sz w:val="20"/>
          <w:szCs w:val="20"/>
          <w:color w:val="auto"/>
        </w:rPr>
      </w:pPr>
    </w:p>
    <w:p>
      <w:pPr>
        <w:ind w:right="260" w:firstLine="409"/>
        <w:spacing w:after="0" w:line="263" w:lineRule="auto"/>
        <w:rPr>
          <w:sz w:val="20"/>
          <w:szCs w:val="20"/>
          <w:color w:val="auto"/>
        </w:rPr>
      </w:pPr>
      <w:r>
        <w:rPr>
          <w:rFonts w:ascii="Times New Roman" w:cs="Times New Roman" w:eastAsia="Times New Roman" w:hAnsi="Times New Roman"/>
          <w:sz w:val="19"/>
          <w:szCs w:val="19"/>
          <w:color w:val="auto"/>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2023, and until their successors are elected and qualified. Our nominating and corporate governance committee has recommended the re-election of all of our directors. No director is related to any other director or executive officer by first cousin or closer. Each nominee currently serves as a director of USCB Financial Holdings and its subsidiary, U.S. Century Bank.</w:t>
      </w:r>
    </w:p>
    <w:p>
      <w:pPr>
        <w:spacing w:after="0" w:line="180" w:lineRule="exact"/>
        <w:rPr>
          <w:sz w:val="20"/>
          <w:szCs w:val="20"/>
          <w:color w:val="auto"/>
        </w:rPr>
      </w:pPr>
    </w:p>
    <w:p>
      <w:pPr>
        <w:ind w:right="120" w:firstLine="409"/>
        <w:spacing w:after="0" w:line="246" w:lineRule="auto"/>
        <w:rPr>
          <w:sz w:val="20"/>
          <w:szCs w:val="20"/>
          <w:color w:val="auto"/>
        </w:rPr>
      </w:pPr>
      <w:r>
        <w:rPr>
          <w:rFonts w:ascii="Times New Roman" w:cs="Times New Roman" w:eastAsia="Times New Roman" w:hAnsi="Times New Roman"/>
          <w:sz w:val="20"/>
          <w:szCs w:val="20"/>
          <w:color w:val="auto"/>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spacing w:after="0" w:line="198" w:lineRule="exact"/>
        <w:rPr>
          <w:sz w:val="20"/>
          <w:szCs w:val="20"/>
          <w:color w:val="auto"/>
        </w:rPr>
      </w:pPr>
    </w:p>
    <w:p>
      <w:pPr>
        <w:ind w:right="140" w:firstLine="406"/>
        <w:spacing w:after="0" w:line="254" w:lineRule="auto"/>
        <w:rPr>
          <w:sz w:val="20"/>
          <w:szCs w:val="20"/>
          <w:color w:val="auto"/>
        </w:rPr>
      </w:pPr>
      <w:r>
        <w:rPr>
          <w:rFonts w:ascii="Times New Roman" w:cs="Times New Roman" w:eastAsia="Times New Roman" w:hAnsi="Times New Roman"/>
          <w:sz w:val="20"/>
          <w:szCs w:val="20"/>
          <w:color w:val="auto"/>
        </w:rPr>
        <w:t>The table below and on the following pages present information concerning the nominees for director, including tenure as a director. Terms as directors for all directors other than Messrs. Kafafian and Rodriguez, and Ms. Alonso include service as a director of U.S. Century Bank prior to the formation of USCB Financial Holdings in 2021. Ages are reflected as of April 14,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Nominees for Director for a One-Year Term Expiring in 2023</w:t>
            </w:r>
          </w:p>
        </w:tc>
      </w:tr>
      <w:tr>
        <w:trPr>
          <w:trHeight w:val="426"/>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Age and Principal Occupation During the Past Five Years/</w:t>
            </w:r>
          </w:p>
        </w:tc>
      </w:tr>
      <w:tr>
        <w:trPr>
          <w:trHeight w:val="256"/>
        </w:trPr>
        <w:tc>
          <w:tcPr>
            <w:tcW w:w="28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0" w:type="dxa"/>
            <w:vAlign w:val="bottom"/>
          </w:tcPr>
          <w:p>
            <w:pPr>
              <w:spacing w:after="0"/>
              <w:rPr>
                <w:sz w:val="22"/>
                <w:szCs w:val="22"/>
                <w:color w:val="auto"/>
              </w:rPr>
            </w:pPr>
          </w:p>
        </w:tc>
        <w:tc>
          <w:tcPr>
            <w:tcW w:w="8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Public Directorships</w:t>
            </w:r>
          </w:p>
        </w:tc>
      </w:tr>
      <w:tr>
        <w:trPr>
          <w:trHeight w:val="200"/>
        </w:trPr>
        <w:tc>
          <w:tcPr>
            <w:tcW w:w="2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Ramón Abadin</w:t>
            </w:r>
          </w:p>
        </w:tc>
        <w:tc>
          <w:tcPr>
            <w:tcW w:w="180" w:type="dxa"/>
            <w:vAlign w:val="bottom"/>
          </w:tcPr>
          <w:p>
            <w:pPr>
              <w:spacing w:after="0"/>
              <w:rPr>
                <w:sz w:val="17"/>
                <w:szCs w:val="17"/>
                <w:color w:val="auto"/>
              </w:rPr>
            </w:pPr>
          </w:p>
        </w:tc>
        <w:tc>
          <w:tcPr>
            <w:tcW w:w="8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Director of USCB Financial Holdings since 2017. Mr. Abadin is an active trial lawyer in Miami,</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Florida and a partner of Ramon A. Abadin, P.A. In his practice, he has represented some of the world’s</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largest multinational corporations and insurance companies in complex commercial and tort matters.</w:t>
            </w:r>
          </w:p>
        </w:tc>
      </w:tr>
      <w:tr>
        <w:trPr>
          <w:trHeight w:val="229"/>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Mr. Abadin is a prominent member of the Florida legal community having served as a past President of</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the Florida Bar. Mr. Abadin is also past President of the Cuban American Bar Association.</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Additionally, Mr. Abadin has been actively involved in the selection of trial and appellate judges in</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state and federal courts, having served as one of only 15 committee members appointed to evaluate all</w:t>
            </w:r>
          </w:p>
        </w:tc>
      </w:tr>
      <w:tr>
        <w:trPr>
          <w:trHeight w:val="229"/>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prospective nominees to the federal bench in the 11th Circuit (Florida, Georgia and Alabama) and</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nationally. Mr. Abadin also serves as a director for Florida Lawyers Mutual Insurance Company in</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Oviedo, Florida, where he has served since 2017, and Westcare Foundation, Inc. in Las Vegas, Nevada,</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where he has served since 2007. Mr. Abadin earned his J.D. from Loyola University of New Orleans</w:t>
            </w:r>
          </w:p>
        </w:tc>
      </w:tr>
      <w:tr>
        <w:trPr>
          <w:trHeight w:val="229"/>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School of Law in 1985 and his B.A. in History from Tulane University in 1981. He has received</w:t>
            </w:r>
          </w:p>
        </w:tc>
      </w:tr>
      <w:tr>
        <w:trPr>
          <w:trHeight w:val="230"/>
        </w:trPr>
        <w:tc>
          <w:tcPr>
            <w:tcW w:w="2840" w:type="dxa"/>
            <w:vAlign w:val="bottom"/>
          </w:tcPr>
          <w:p>
            <w:pPr>
              <w:spacing w:after="0"/>
              <w:rPr>
                <w:sz w:val="19"/>
                <w:szCs w:val="19"/>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numerous awards, including the prestigious G. Kirk Haas Award from the Florida Bar. We believe Mr.</w:t>
            </w:r>
          </w:p>
        </w:tc>
      </w:tr>
      <w:tr>
        <w:trPr>
          <w:trHeight w:val="258"/>
        </w:trPr>
        <w:tc>
          <w:tcPr>
            <w:tcW w:w="2840" w:type="dxa"/>
            <w:vAlign w:val="bottom"/>
          </w:tcPr>
          <w:p>
            <w:pPr>
              <w:spacing w:after="0"/>
              <w:rPr>
                <w:sz w:val="22"/>
                <w:szCs w:val="22"/>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Abadin’s extensive legal and leadership experience qualifies him to sit on our Board. Age 63.</w:t>
            </w:r>
          </w:p>
        </w:tc>
      </w:tr>
      <w:tr>
        <w:trPr>
          <w:trHeight w:val="440"/>
        </w:trPr>
        <w:tc>
          <w:tcPr>
            <w:tcW w:w="2840" w:type="dxa"/>
            <w:vAlign w:val="bottom"/>
          </w:tcPr>
          <w:p>
            <w:pPr>
              <w:spacing w:after="0"/>
              <w:rPr>
                <w:sz w:val="24"/>
                <w:szCs w:val="24"/>
                <w:color w:val="auto"/>
              </w:rPr>
            </w:pPr>
          </w:p>
        </w:tc>
        <w:tc>
          <w:tcPr>
            <w:tcW w:w="840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2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40" w:type="dxa"/>
            <w:vAlign w:val="bottom"/>
          </w:tcPr>
          <w:p>
            <w:pPr>
              <w:spacing w:after="0"/>
              <w:rPr>
                <w:sz w:val="22"/>
                <w:szCs w:val="22"/>
                <w:color w:val="auto"/>
              </w:rPr>
            </w:pPr>
          </w:p>
        </w:tc>
        <w:tc>
          <w:tcPr>
            <w:tcW w:w="9100" w:type="dxa"/>
            <w:vAlign w:val="bottom"/>
            <w:gridSpan w:val="3"/>
          </w:tcPr>
          <w:p>
            <w:pPr>
              <w:jc w:val="center"/>
              <w:ind w:right="2041"/>
              <w:spacing w:after="0"/>
              <w:rPr>
                <w:sz w:val="20"/>
                <w:szCs w:val="20"/>
                <w:color w:val="auto"/>
              </w:rPr>
            </w:pPr>
            <w:r>
              <w:rPr>
                <w:rFonts w:ascii="Times New Roman" w:cs="Times New Roman" w:eastAsia="Times New Roman" w:hAnsi="Times New Roman"/>
                <w:sz w:val="20"/>
                <w:szCs w:val="20"/>
                <w:b w:val="1"/>
                <w:bCs w:val="1"/>
                <w:i w:val="1"/>
                <w:iCs w:val="1"/>
                <w:color w:val="auto"/>
                <w:w w:val="98"/>
              </w:rPr>
              <w:t>Nominees for Director for a One-Year Term Expiring in 2023 (continued)</w:t>
            </w:r>
          </w:p>
        </w:tc>
      </w:tr>
      <w:tr>
        <w:trPr>
          <w:trHeight w:val="426"/>
        </w:trPr>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rPr>
              <w:t>Age and Principal Occupation During the Past Five Years/</w:t>
            </w:r>
          </w:p>
        </w:tc>
      </w:tr>
      <w:tr>
        <w:trPr>
          <w:trHeight w:val="256"/>
        </w:trPr>
        <w:tc>
          <w:tcPr>
            <w:tcW w:w="21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20"/>
                <w:szCs w:val="20"/>
                <w:b w:val="1"/>
                <w:bCs w:val="1"/>
                <w:color w:val="auto"/>
              </w:rPr>
              <w:t>Public Directorships</w:t>
            </w:r>
          </w:p>
        </w:tc>
      </w:tr>
      <w:tr>
        <w:trPr>
          <w:trHeight w:val="200"/>
        </w:trPr>
        <w:tc>
          <w:tcPr>
            <w:tcW w:w="21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Luis de la Aguilera</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Director of USCB Financial Holdings since 2016 and Chief Executive Officer and President of our</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Bank since 2015. He has directed the reorganization, re-staffing and turn-around of our Bank after our</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2015 Recapitalization. Prior to his joining us, Mr. de la Aguilera served in various leadership roles at</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TotalBank, Florida’s 12th largest commercial bank at that time, including as President and Chief</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 from 2013 to 2015, as President and Chief Marketing Officer from 2009 to 2013, as</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Executive Vice President, Corporate Lending from 2001 to 2009 and as Senior Vice President, Head of</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Business Development from 2000 to 2001. During his 15-year association with TotalBank, Mr. de la</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Aguilera organized, hired and directed its key production units, including commercial, real estate, small</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business, wealth management and residential mortgage lending, and significantly expanded its footprint</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 Miami-Dade County to 21 banking centers. Mr. de la Aguilera also served as a board member of</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TotalBank from 2006 to 2015, including as chair or a member of its Executive, Management, ALCO,</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BSA, Audit and Loan Committees. In his earlier career, Mr. de la Aguilera served in management and</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loan production positions with Ocean Bank from 1989 to 2000 and business development and lending</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positions with Republic National Bank from 1982 to 1988. In addition to Mr. de la Aguilera’s extensive</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banking background, he is active with the Florida Banker’s Association and serves on its board. He</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served as a Director of Florida School of Banking at the University of Florida from 2012 to 2015 and</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has continued his association with the school as an active Associate Professor. He was also the Florida</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Representative for the American Banking Association’s Government Relations Council from 2014 to</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2015. Mr. de la Aguilera received a B.A. in English Literature and a Minor in Business Administration</w:t>
            </w:r>
          </w:p>
        </w:tc>
      </w:tr>
      <w:tr>
        <w:trPr>
          <w:trHeight w:val="252"/>
        </w:trPr>
        <w:tc>
          <w:tcPr>
            <w:tcW w:w="2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from the University of Miami. Age 62.</w:t>
            </w:r>
          </w:p>
        </w:tc>
      </w:tr>
      <w:tr>
        <w:trPr>
          <w:trHeight w:val="229"/>
        </w:trPr>
        <w:tc>
          <w:tcPr>
            <w:tcW w:w="2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19"/>
                <w:szCs w:val="19"/>
                <w:color w:val="auto"/>
              </w:rPr>
            </w:pPr>
          </w:p>
        </w:tc>
      </w:tr>
      <w:tr>
        <w:trPr>
          <w:trHeight w:val="207"/>
        </w:trPr>
        <w:tc>
          <w:tcPr>
            <w:tcW w:w="21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Maria C. Alonso</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Director of USCB Financial Holdings since March 2022. Ms. Alonso served as the President and CEO</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of United Way Miami, one of the region’s largest philanthropies, from 2017 through 2021. Under her</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strategic direction at United Way Miami, Ms. Alonso managed the community’s largest funder of health</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and human services while overseeing a $40 million dollar budget and more than 250 staff members</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across multiple locations. Her involvement in community organizations has included: New World</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School of the Arts (past Executive Committee Chair), Leadership Florida, International Women’s</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Forum, Greater Miami Chamber of Commerce (past Board Chair), Miami-Dade Beacon Council (past</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One Community, One Goal Co-Chair), Camillus House, Miami Dade College Foundation, The Miami</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Foundation, and Teach for America. Ms. Alonso is a recognized community leader having received</w:t>
            </w:r>
          </w:p>
        </w:tc>
      </w:tr>
      <w:tr>
        <w:trPr>
          <w:trHeight w:val="230"/>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numerous awards celebrating her civic, business, and philanthropic contributions to the South Florida</w:t>
            </w:r>
          </w:p>
        </w:tc>
      </w:tr>
      <w:tr>
        <w:trPr>
          <w:trHeight w:val="229"/>
        </w:trPr>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community. Ms. Alonso earned an M.B.A. from Florida International University and is a cum laude</w:t>
            </w:r>
          </w:p>
        </w:tc>
      </w:tr>
      <w:tr>
        <w:trPr>
          <w:trHeight w:val="258"/>
        </w:trPr>
        <w:tc>
          <w:tcPr>
            <w:tcW w:w="2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graduate from the University of Miami with a B.S. in Industrial Engineering. Age 58.</w:t>
            </w:r>
          </w:p>
        </w:tc>
      </w:tr>
      <w:tr>
        <w:trPr>
          <w:trHeight w:val="440"/>
        </w:trPr>
        <w:tc>
          <w:tcPr>
            <w:tcW w:w="2140" w:type="dxa"/>
            <w:vAlign w:val="bottom"/>
          </w:tcPr>
          <w:p>
            <w:pPr>
              <w:spacing w:after="0"/>
              <w:rPr>
                <w:sz w:val="24"/>
                <w:szCs w:val="24"/>
                <w:color w:val="auto"/>
              </w:rPr>
            </w:pPr>
          </w:p>
        </w:tc>
        <w:tc>
          <w:tcPr>
            <w:tcW w:w="9100" w:type="dxa"/>
            <w:vAlign w:val="bottom"/>
            <w:gridSpan w:val="3"/>
          </w:tcPr>
          <w:p>
            <w:pPr>
              <w:jc w:val="right"/>
              <w:ind w:right="5481"/>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2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520" w:type="dxa"/>
            <w:vAlign w:val="bottom"/>
          </w:tcPr>
          <w:p>
            <w:pPr>
              <w:spacing w:after="0"/>
              <w:rPr>
                <w:sz w:val="22"/>
                <w:szCs w:val="22"/>
                <w:color w:val="auto"/>
              </w:rPr>
            </w:pPr>
          </w:p>
        </w:tc>
        <w:tc>
          <w:tcPr>
            <w:tcW w:w="8720" w:type="dxa"/>
            <w:vAlign w:val="bottom"/>
            <w:gridSpan w:val="3"/>
          </w:tcPr>
          <w:p>
            <w:pPr>
              <w:jc w:val="center"/>
              <w:ind w:right="2421"/>
              <w:spacing w:after="0"/>
              <w:rPr>
                <w:sz w:val="20"/>
                <w:szCs w:val="20"/>
                <w:color w:val="auto"/>
              </w:rPr>
            </w:pPr>
            <w:r>
              <w:rPr>
                <w:rFonts w:ascii="Times New Roman" w:cs="Times New Roman" w:eastAsia="Times New Roman" w:hAnsi="Times New Roman"/>
                <w:sz w:val="20"/>
                <w:szCs w:val="20"/>
                <w:b w:val="1"/>
                <w:bCs w:val="1"/>
                <w:i w:val="1"/>
                <w:iCs w:val="1"/>
                <w:color w:val="auto"/>
                <w:w w:val="98"/>
              </w:rPr>
              <w:t>Nominees for Director for a One-Year Term Expiring in 2023 (continued)</w:t>
            </w:r>
          </w:p>
        </w:tc>
      </w:tr>
      <w:tr>
        <w:trPr>
          <w:trHeight w:val="426"/>
        </w:trPr>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rPr>
              <w:t>Age and Principal Occupation During the Past Five Years/</w:t>
            </w:r>
          </w:p>
        </w:tc>
      </w:tr>
      <w:tr>
        <w:trPr>
          <w:trHeight w:val="256"/>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20"/>
                <w:szCs w:val="20"/>
                <w:b w:val="1"/>
                <w:bCs w:val="1"/>
                <w:color w:val="auto"/>
              </w:rPr>
              <w:t>Public Directorships</w:t>
            </w:r>
          </w:p>
        </w:tc>
      </w:tr>
      <w:tr>
        <w:trPr>
          <w:trHeight w:val="200"/>
        </w:trPr>
        <w:tc>
          <w:tcPr>
            <w:tcW w:w="25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Howard P. Feinglass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Director of USCB Financial Holdings since 2015. Mr. Feinglass is the founder and Senior Partner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Priam Capital, which was established in 2003. He is responsible for Priam’s strategic planning,</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investment sourcing and decision-making. Mr. Feinglass also serves as a director for Centrix Aerospace</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 Seattle, Washington, where he has served since 2019, and Riverside Hawks youth basketball</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organization. Prior to founding Priam, Mr. Feinglass spent three years running a family office with over</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$1 billion in assets under management, where he implemented a mandate to diversify the family’s</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portfolio from its real estate core into alternative investments and holdings of public companies. Prior</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thereto, Mr. Feinglass worked as a principal at Odyssey Partners in their private equity group for five</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years. Mr. Feinglass received an M.B.A. from the University of California Los Angeles and an A.B.</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from Brown University. We believe Mr. Feinglass’ extensive finance, banking and director experience</w:t>
            </w:r>
          </w:p>
        </w:tc>
      </w:tr>
      <w:tr>
        <w:trPr>
          <w:trHeight w:val="252"/>
        </w:trPr>
        <w:tc>
          <w:tcPr>
            <w:tcW w:w="2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qualifies him to sit on our Board. Age 61.</w:t>
            </w:r>
          </w:p>
        </w:tc>
      </w:tr>
      <w:tr>
        <w:trPr>
          <w:trHeight w:val="229"/>
        </w:trPr>
        <w:tc>
          <w:tcPr>
            <w:tcW w:w="2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19"/>
                <w:szCs w:val="19"/>
                <w:color w:val="auto"/>
              </w:rPr>
            </w:pPr>
          </w:p>
        </w:tc>
      </w:tr>
      <w:tr>
        <w:trPr>
          <w:trHeight w:val="207"/>
        </w:trPr>
        <w:tc>
          <w:tcPr>
            <w:tcW w:w="25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Bernardo “Bernie” Fernandez,</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Director of USCB Financial Holdings since 2017. Dr. Fernandez has served since 2014 as the Chief</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Executive Officer of Baptist Health Medical Group, a network of more than 250 physicians in multiple</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specialties spanning from Broward, Dade and Monroe County and is the holder of the John and</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Margaret Krupa Distinguished Chair. Prior thereto, Dr. Fernandez from 2006 to 2014 served as Chief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Executive Officer and President of Cleveland Clinic Florida, a renowned academic medical center with</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locations in Weston and West Palm Beach, Florida. In 2013, Dr. Fernandez was honored by The</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Association of Hispanic Healthcare Executives with the prestigious award of National Hospital CEO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the Year. Also in June 2013, he was appointed to the Florida Board of Medicine by Governor Rick</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Scott until 2017. During his tenure, he was elected vice chairman in 2014 and Chairman of the Board in</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2015. Dr. Fernandez is a native of Cuba and received his medical degree from the Ponce School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Medicine in Ponce, Puerto Rico, and completed his internal medicine residency and vascular medicine</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fellowship at the Cleveland Clinic in Ohio. He is Board-certified by the American Board of Vascular</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Medicine and a Fellow of the Society of Vascular Medicine and the American College of Physicians.</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Dr. Fernandez is an active member of the South Florida community, which includes, among his various</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activities, being a member of the Orange Bowl Committee, a member of the board of trustees for St.</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Thomas University. He also served on the selection panel for the White House Fellows Program, one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America’s most prestigious programs for leadership and public service, in 2011 and 2017. In January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2022, Dr. Fernandez was appointed to the board of directors of International Money Express, Inc., a</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leading money remittance services company. Dr. Fernandez received his M.B.A. from the University of</w:t>
            </w:r>
          </w:p>
        </w:tc>
      </w:tr>
      <w:tr>
        <w:trPr>
          <w:trHeight w:val="229"/>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Miami, School of Business in 2011 and is also a graduate of the Wharton School of</w:t>
            </w:r>
          </w:p>
        </w:tc>
      </w:tr>
      <w:tr>
        <w:trPr>
          <w:trHeight w:val="230"/>
        </w:trPr>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Business’ Executive Development Program. We believe Dr. Fernandez’s extensive executive and</w:t>
            </w:r>
          </w:p>
        </w:tc>
      </w:tr>
      <w:tr>
        <w:trPr>
          <w:trHeight w:val="258"/>
        </w:trPr>
        <w:tc>
          <w:tcPr>
            <w:tcW w:w="2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leadership experience qualifies him to sit on our Board. Age 60.</w:t>
            </w:r>
          </w:p>
        </w:tc>
      </w:tr>
      <w:tr>
        <w:trPr>
          <w:trHeight w:val="440"/>
        </w:trPr>
        <w:tc>
          <w:tcPr>
            <w:tcW w:w="2520" w:type="dxa"/>
            <w:vAlign w:val="bottom"/>
          </w:tcPr>
          <w:p>
            <w:pPr>
              <w:spacing w:after="0"/>
              <w:rPr>
                <w:sz w:val="24"/>
                <w:szCs w:val="24"/>
                <w:color w:val="auto"/>
              </w:rPr>
            </w:pPr>
          </w:p>
        </w:tc>
        <w:tc>
          <w:tcPr>
            <w:tcW w:w="8720" w:type="dxa"/>
            <w:vAlign w:val="bottom"/>
            <w:gridSpan w:val="3"/>
          </w:tcPr>
          <w:p>
            <w:pPr>
              <w:jc w:val="right"/>
              <w:ind w:right="5481"/>
              <w:spacing w:after="0"/>
              <w:rPr>
                <w:sz w:val="20"/>
                <w:szCs w:val="20"/>
                <w:color w:val="auto"/>
              </w:rPr>
            </w:pPr>
            <w:r>
              <w:rPr>
                <w:rFonts w:ascii="Times New Roman" w:cs="Times New Roman" w:eastAsia="Times New Roman" w:hAnsi="Times New Roman"/>
                <w:sz w:val="18"/>
                <w:szCs w:val="18"/>
                <w:color w:val="auto"/>
              </w:rPr>
              <w:t>8</w:t>
            </w:r>
          </w:p>
        </w:tc>
      </w:tr>
      <w:tr>
        <w:trPr>
          <w:trHeight w:val="115"/>
        </w:trPr>
        <w:tc>
          <w:tcPr>
            <w:tcW w:w="2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360" w:type="dxa"/>
            <w:vAlign w:val="bottom"/>
          </w:tcPr>
          <w:p>
            <w:pPr>
              <w:spacing w:after="0"/>
              <w:rPr>
                <w:sz w:val="22"/>
                <w:szCs w:val="22"/>
                <w:color w:val="auto"/>
              </w:rPr>
            </w:pPr>
          </w:p>
        </w:tc>
        <w:tc>
          <w:tcPr>
            <w:tcW w:w="8880" w:type="dxa"/>
            <w:vAlign w:val="bottom"/>
            <w:gridSpan w:val="3"/>
          </w:tcPr>
          <w:p>
            <w:pPr>
              <w:jc w:val="center"/>
              <w:ind w:right="2261"/>
              <w:spacing w:after="0"/>
              <w:rPr>
                <w:sz w:val="20"/>
                <w:szCs w:val="20"/>
                <w:color w:val="auto"/>
              </w:rPr>
            </w:pPr>
            <w:r>
              <w:rPr>
                <w:rFonts w:ascii="Times New Roman" w:cs="Times New Roman" w:eastAsia="Times New Roman" w:hAnsi="Times New Roman"/>
                <w:sz w:val="20"/>
                <w:szCs w:val="20"/>
                <w:b w:val="1"/>
                <w:bCs w:val="1"/>
                <w:i w:val="1"/>
                <w:iCs w:val="1"/>
                <w:color w:val="auto"/>
                <w:w w:val="98"/>
              </w:rPr>
              <w:t>Nominees for Director for a One-Year Term Expiring in 2023 (continued)</w:t>
            </w:r>
          </w:p>
        </w:tc>
      </w:tr>
      <w:tr>
        <w:trPr>
          <w:trHeight w:val="426"/>
        </w:trPr>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rPr>
              <w:t>Age and Principal Occupation During the Past Five Years/</w:t>
            </w:r>
          </w:p>
        </w:tc>
      </w:tr>
      <w:tr>
        <w:trPr>
          <w:trHeight w:val="256"/>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4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20"/>
                <w:szCs w:val="20"/>
                <w:b w:val="1"/>
                <w:bCs w:val="1"/>
                <w:color w:val="auto"/>
              </w:rPr>
              <w:t>Public Directorships</w:t>
            </w:r>
          </w:p>
        </w:tc>
      </w:tr>
      <w:tr>
        <w:trPr>
          <w:trHeight w:val="200"/>
        </w:trPr>
        <w:tc>
          <w:tcPr>
            <w:tcW w:w="23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Robert E. Kafafian</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Director of USCB Financial Holdings since March 2022. Mr. Kafafian is the Founder, Chairman and</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of The Kafafian Group, Inc. and a recognized banking industry leader in</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performance measurement. Over a 40-year career he has provided consulting and advisory services to</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more than 500 financial institutions across the United States and has been instrumental in the design</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and development of a nationally recognized bank profitability software product. Mr. Kafafian is a</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frequent speaker and writer on a variety of banking subjects. He teaches at numerous state, regional,</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and national banking schools. Mr. Kafafian’s previous professional experience includes: President-</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Consulting Services and Managing Director, Tucker Anthony Capital Markets (now RBC Capital</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Markets); President &amp; CEO, The Q Group, Inc. (merged with Hopper Soliday &amp; Co./Tucker Anthony</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Capital Markets); Vice President, Bradford Trust Company (merged into The Bank of New York</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Mellon Corporation); Director of Budgeting and Profit Planning, United Jersey Bank (merged into</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Bank of America Corporation); Controller, First National State Bank Corporation (merged into Wells</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Fargo &amp; Company). Mr. Kafafian has served as President of the Board of Directors of the Association</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for Management Information in Financial Services (“AMIfs”), is a member of the Financial Managers</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Society Strategic Issues Council, and is a board member of other companies as well as professional,</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community, and academic organizations. Mr. Kafafian received a B.A. in Business/Economics from</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Moravian University and an M.B.A. in Finance from Fairleigh Dickinson University. He was awarded</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AMIfs’ Lifetime Achievement award and is a Certified Profitability Professional. We believe Mr.</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Kafafian’s extensive experience and knowledge of the banking industry qualifies him to sit on our</w:t>
            </w:r>
          </w:p>
        </w:tc>
      </w:tr>
      <w:tr>
        <w:trPr>
          <w:trHeight w:val="252"/>
        </w:trPr>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Board. Age 66.</w:t>
            </w:r>
          </w:p>
        </w:tc>
      </w:tr>
      <w:tr>
        <w:trPr>
          <w:trHeight w:val="229"/>
        </w:trPr>
        <w:tc>
          <w:tcPr>
            <w:tcW w:w="2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19"/>
                <w:szCs w:val="19"/>
                <w:color w:val="auto"/>
              </w:rPr>
            </w:pPr>
          </w:p>
        </w:tc>
      </w:tr>
      <w:tr>
        <w:trPr>
          <w:trHeight w:val="207"/>
        </w:trPr>
        <w:tc>
          <w:tcPr>
            <w:tcW w:w="23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Aida Levitan, Ph.D., APR</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w w:val="98"/>
              </w:rPr>
              <w:t>Chairwoman of the Board since 2017. Dr. Levitan has served as a director on our Board since 2013. Dr.</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Levitan is nationally recognized marketing communications and civic leader. She founded the strategic</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branding and marketing firm The Levitan Group, Inc. in 2006 and has served as its President since</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then. From 2004 to 2005, Dr. Levitan served as Vice Chairperson/President of Bromley</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Communications, which she helped transform into the number one Hispanic advertising agency in the</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U.S. (Advertising Age, 2004). In 1986 she co-founded Sanchez &amp; Levitan and sold the agency to</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Publicis Groupe. Under her leadership as Co-Chairman/CEO between 2001 and 2003, Publicis Sanchez</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&amp; Levitan became one of the top ten U.S. Hispanic advertising agencies (Advertising Age). With</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regard to her civic engagement, Dr. Levitan served as Chair of FACE (Facts About Cuban Exiles) and</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the University of Miami Cuban Heritage Collection Amigos Board in 2019. She founded ArtesMiami,</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Inc., a nonprofit organization, in 1995 and has served as its President since 2016. In 2010, President</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Obama and the U.S. Congress named her to the National Museum of the American Latino Commission</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and in 2012 into the Smithsonian Latino Center National Board, where she served as Vice Chair. In</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2015 she was elected to the Council on Foreign Relations. Between 2000 and 2010, Dr. Levitan served</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on the board of The Art Institutes, a public company, and as Chairperson of the Aetna Latino Advisory</w:t>
            </w:r>
          </w:p>
        </w:tc>
      </w:tr>
      <w:tr>
        <w:trPr>
          <w:trHeight w:val="229"/>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Council. In 2004 she served as President of the national Association of Hispanic Advertising Agencies.</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Dr. Levitan obtained her Ph.D. degree, with a specialty in Spanish Literature, from Emory University in</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1977 and a B.A. from the University of Miami in 1969. We believe Dr. Levitan’s extensive marketing</w:t>
            </w:r>
          </w:p>
        </w:tc>
      </w:tr>
      <w:tr>
        <w:trPr>
          <w:trHeight w:val="230"/>
        </w:trPr>
        <w:tc>
          <w:tcPr>
            <w:tcW w:w="2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communications and leadership experience as well as her community relations qualifies her to sit on</w:t>
            </w:r>
          </w:p>
        </w:tc>
      </w:tr>
      <w:tr>
        <w:trPr>
          <w:trHeight w:val="258"/>
        </w:trPr>
        <w:tc>
          <w:tcPr>
            <w:tcW w:w="2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our Board. Age 74.</w:t>
            </w:r>
          </w:p>
        </w:tc>
      </w:tr>
      <w:tr>
        <w:trPr>
          <w:trHeight w:val="440"/>
        </w:trPr>
        <w:tc>
          <w:tcPr>
            <w:tcW w:w="2360" w:type="dxa"/>
            <w:vAlign w:val="bottom"/>
          </w:tcPr>
          <w:p>
            <w:pPr>
              <w:spacing w:after="0"/>
              <w:rPr>
                <w:sz w:val="24"/>
                <w:szCs w:val="24"/>
                <w:color w:val="auto"/>
              </w:rPr>
            </w:pPr>
          </w:p>
        </w:tc>
        <w:tc>
          <w:tcPr>
            <w:tcW w:w="8880" w:type="dxa"/>
            <w:vAlign w:val="bottom"/>
            <w:gridSpan w:val="3"/>
          </w:tcPr>
          <w:p>
            <w:pPr>
              <w:jc w:val="right"/>
              <w:ind w:right="5481"/>
              <w:spacing w:after="0"/>
              <w:rPr>
                <w:sz w:val="20"/>
                <w:szCs w:val="20"/>
                <w:color w:val="auto"/>
              </w:rPr>
            </w:pPr>
            <w:r>
              <w:rPr>
                <w:rFonts w:ascii="Times New Roman" w:cs="Times New Roman" w:eastAsia="Times New Roman" w:hAnsi="Times New Roman"/>
                <w:sz w:val="18"/>
                <w:szCs w:val="18"/>
                <w:color w:val="auto"/>
              </w:rPr>
              <w:t>9</w:t>
            </w:r>
          </w:p>
        </w:tc>
      </w:tr>
      <w:tr>
        <w:trPr>
          <w:trHeight w:val="115"/>
        </w:trPr>
        <w:tc>
          <w:tcPr>
            <w:tcW w:w="2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60" w:type="dxa"/>
            <w:vAlign w:val="bottom"/>
          </w:tcPr>
          <w:p>
            <w:pPr>
              <w:spacing w:after="0"/>
              <w:rPr>
                <w:sz w:val="22"/>
                <w:szCs w:val="22"/>
                <w:color w:val="auto"/>
              </w:rPr>
            </w:pPr>
          </w:p>
        </w:tc>
        <w:tc>
          <w:tcPr>
            <w:tcW w:w="9080" w:type="dxa"/>
            <w:vAlign w:val="bottom"/>
            <w:gridSpan w:val="3"/>
          </w:tcPr>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Nominees for Director for a One-Year Term Expiring in 2023 (continued)</w:t>
            </w:r>
          </w:p>
        </w:tc>
      </w:tr>
      <w:tr>
        <w:trPr>
          <w:trHeight w:val="426"/>
        </w:trPr>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rPr>
              <w:t>Age and Principal Occupation During the Past Five Years/</w:t>
            </w:r>
          </w:p>
        </w:tc>
      </w:tr>
      <w:tr>
        <w:trPr>
          <w:trHeight w:val="25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6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20"/>
                <w:szCs w:val="20"/>
                <w:b w:val="1"/>
                <w:bCs w:val="1"/>
                <w:color w:val="auto"/>
              </w:rPr>
              <w:t>Public Directorships</w:t>
            </w:r>
          </w:p>
        </w:tc>
      </w:tr>
      <w:tr>
        <w:trPr>
          <w:trHeight w:val="200"/>
        </w:trPr>
        <w:tc>
          <w:tcPr>
            <w:tcW w:w="21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Ramon A. Rodriguez</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99"/>
              </w:rPr>
              <w:t>Director of USCB Financial Holdings since February 2022. Mr. Rodriguez has served as the Chairman</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of the Board and Chief Executive Officer of Cable Insurance Company, Fort Lauderdale, Florida, a</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casualty insurer focused on the commercial automotive market, since April 2021. From</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January 1999 until April 2020, he served on the board of directors of Republic Services, Inc., Phoenix,</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Arizona, a solid waste company listed on NYSE, including serving as the Chairman of the Board. From</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2009 to 2015, he served as a director of Alico, Inc., Fort Myers, Florida, a holding company with assets</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and related operations in agricultural and environmental resources, including citrus, sugar cane, cattle,</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land, and wildlife management listed on NASDAQ. In addition, Mr. Rodriguez was the President and</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of Madsen, Sapp, Mena, Rodriguez &amp; Co. (an accounting firm acquired by</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Crowe Horwath in 2006) from 1971 to his retirement from public accounting in 2009. He is also a</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former Chairman of the Florida Board of Accountancy as well as a former President of the Florida</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Institute of Certified Public Accountants. He was a founder, Treasurer, and a director of DME</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Corporation, a manufacturing company in the defense and aerospace sector, from 1975 to 2009. Mr.</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Rodriguez also served as a director of the Public Broadcasting Service (PBS) from 2015 to 2021. Mr.</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Rodriguez earned a B.S. in Accounting from Florida Atlantic University. He has also completed the</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Owner/President Management Program at Harvard Business School. We believe Mr. Rodriguez’s</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extensive accounting, business and director experience qualifies him to be a member of our board. Age</w:t>
            </w:r>
          </w:p>
        </w:tc>
      </w:tr>
      <w:tr>
        <w:trPr>
          <w:trHeight w:val="252"/>
        </w:trPr>
        <w:tc>
          <w:tcPr>
            <w:tcW w:w="2160" w:type="dxa"/>
            <w:vAlign w:val="bottom"/>
          </w:tcPr>
          <w:p>
            <w:pPr>
              <w:spacing w:after="0"/>
              <w:rPr>
                <w:sz w:val="21"/>
                <w:szCs w:val="21"/>
                <w:color w:val="auto"/>
              </w:rPr>
            </w:pPr>
          </w:p>
        </w:tc>
        <w:tc>
          <w:tcPr>
            <w:tcW w:w="908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2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19"/>
                <w:szCs w:val="19"/>
                <w:color w:val="auto"/>
              </w:rPr>
            </w:pPr>
          </w:p>
        </w:tc>
      </w:tr>
      <w:tr>
        <w:trPr>
          <w:trHeight w:val="207"/>
        </w:trPr>
        <w:tc>
          <w:tcPr>
            <w:tcW w:w="21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W. Kirk Wycoff</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Director of USCB Financial Holdings since 2015. Mr. Wycoff is the Managing Partner of Patriot</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Financial Partners, a private equity fund headquartered in Radnor, Philadelphia, which has deployed</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over $1.04 billion in capital, maintaining a long only, value-oriented buy and hold strategy designed to</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provide growth capital to financial services companies that require additional equity to grow. He</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currently serves on the board of directors of ActiveWorx, Banc of California (NYSE: BANC) and its</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subsidiary Banc of California, National Association, Grasshopper Bancorp, Inc. and its subsidiary</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Grasshopper Bank, N.A., Auxilior Capital Partners, Inc., Numerated Growth Technologies and</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Volunteer Bancorp, Inc. and its subsidiary Civics Bank, and until recently served as a director of Radius</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8"/>
              </w:rPr>
              <w:t>Bancorp, Porter Bancorp (NASDAQ: PBIB), Guaranty Bancorp (NASDAQ: GBNK) and its subsidiary,</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Guaranty Bank and Trust Company, Heritage Commerce Corp. (NASDAQ: HTBK) and its subsidiary,</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Heritage Bank of Commerce, and Square 1 Financial, Inc. and its subsidiary Square 1 Bank. Previous</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w w:val="99"/>
              </w:rPr>
              <w:t>board positions held by Mr. Wycoff include NewSpring Ventures-Fund I, NewSpring Mezzanine Fund</w:t>
            </w:r>
          </w:p>
        </w:tc>
      </w:tr>
      <w:tr>
        <w:trPr>
          <w:trHeight w:val="229"/>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as well as service on the board of The Lincoln Center during which he served as chair of its finance</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committee. He received a B.A. in Business Administration and Finance from Franklin &amp; Marshall</w:t>
            </w:r>
          </w:p>
        </w:tc>
      </w:tr>
      <w:tr>
        <w:trPr>
          <w:trHeight w:val="230"/>
        </w:trPr>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College. We believe Mr. Wycoff’s extensive finance, banking and director experience qualifies him to</w:t>
            </w:r>
          </w:p>
        </w:tc>
      </w:tr>
      <w:tr>
        <w:trPr>
          <w:trHeight w:val="258"/>
        </w:trPr>
        <w:tc>
          <w:tcPr>
            <w:tcW w:w="2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sit on our Board. Age 64.</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xml:space="preserve">The Board of Directors recommends that you vote </w:t>
      </w:r>
      <w:r>
        <w:rPr>
          <w:rFonts w:ascii="Times New Roman" w:cs="Times New Roman" w:eastAsia="Times New Roman" w:hAnsi="Times New Roman"/>
          <w:sz w:val="25"/>
          <w:szCs w:val="25"/>
          <w:b w:val="1"/>
          <w:bCs w:val="1"/>
          <w:u w:val="single" w:color="auto"/>
          <w:color w:val="auto"/>
        </w:rPr>
        <w:t>FOR</w:t>
      </w:r>
      <w:r>
        <w:rPr>
          <w:rFonts w:ascii="Times New Roman" w:cs="Times New Roman" w:eastAsia="Times New Roman" w:hAnsi="Times New Roman"/>
          <w:sz w:val="25"/>
          <w:szCs w:val="25"/>
          <w:b w:val="1"/>
          <w:bCs w:val="1"/>
          <w:color w:val="auto"/>
        </w:rPr>
        <w:t xml:space="preserve"> election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 the nominees for Director.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Executive Officers Who Are Not Also Directors</w:t>
      </w:r>
    </w:p>
    <w:p>
      <w:pPr>
        <w:spacing w:after="0" w:line="233" w:lineRule="exact"/>
        <w:rPr>
          <w:sz w:val="20"/>
          <w:szCs w:val="20"/>
          <w:color w:val="auto"/>
        </w:rPr>
      </w:pPr>
    </w:p>
    <w:p>
      <w:pPr>
        <w:ind w:right="60" w:firstLine="409"/>
        <w:spacing w:after="0" w:line="254" w:lineRule="auto"/>
        <w:rPr>
          <w:sz w:val="20"/>
          <w:szCs w:val="20"/>
          <w:color w:val="auto"/>
        </w:rPr>
      </w:pPr>
      <w:r>
        <w:rPr>
          <w:rFonts w:ascii="Times New Roman" w:cs="Times New Roman" w:eastAsia="Times New Roman" w:hAnsi="Times New Roman"/>
          <w:sz w:val="20"/>
          <w:szCs w:val="20"/>
          <w:color w:val="auto"/>
        </w:rPr>
        <w:t>Set forth below is information with respect to the principal occupations during the last five years for the six executive officers of USCB Financial Holdings and/or our subsidiary, U.S. Century Bank, who do not also serve as directors of USCB Financial Holdings. Ages are reflected as of April 14, 2022.</w:t>
      </w:r>
    </w:p>
    <w:p>
      <w:pPr>
        <w:spacing w:after="0" w:line="188" w:lineRule="exact"/>
        <w:rPr>
          <w:sz w:val="20"/>
          <w:szCs w:val="20"/>
          <w:color w:val="auto"/>
        </w:rPr>
      </w:pPr>
    </w:p>
    <w:p>
      <w:pPr>
        <w:ind w:right="40" w:firstLine="409"/>
        <w:spacing w:after="0" w:line="274" w:lineRule="auto"/>
        <w:rPr>
          <w:sz w:val="20"/>
          <w:szCs w:val="20"/>
          <w:color w:val="auto"/>
        </w:rPr>
      </w:pPr>
      <w:r>
        <w:rPr>
          <w:rFonts w:ascii="Times New Roman" w:cs="Times New Roman" w:eastAsia="Times New Roman" w:hAnsi="Times New Roman"/>
          <w:sz w:val="19"/>
          <w:szCs w:val="19"/>
          <w:color w:val="auto"/>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spacing w:after="0" w:line="166" w:lineRule="exact"/>
        <w:rPr>
          <w:sz w:val="20"/>
          <w:szCs w:val="20"/>
          <w:color w:val="auto"/>
        </w:rPr>
      </w:pPr>
    </w:p>
    <w:p>
      <w:pPr>
        <w:ind w:firstLine="409"/>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Anderson, </w:t>
      </w:r>
      <w:r>
        <w:rPr>
          <w:rFonts w:ascii="Times New Roman" w:cs="Times New Roman" w:eastAsia="Times New Roman" w:hAnsi="Times New Roman"/>
          <w:sz w:val="20"/>
          <w:szCs w:val="20"/>
          <w:color w:val="auto"/>
        </w:rPr>
        <w:t>age 56, has served as our Executive Vice President and Chief Financial Officer since 2020. Prior to his joining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Bank, Mr. Anderson served as Chief Financial Officer and Chief Administrative Officer of CapStar Financial Holdings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and as Senior Vice President Finance at Bank of American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spacing w:after="0" w:line="195" w:lineRule="exact"/>
        <w:rPr>
          <w:sz w:val="20"/>
          <w:szCs w:val="20"/>
          <w:color w:val="auto"/>
        </w:rPr>
      </w:pPr>
    </w:p>
    <w:p>
      <w:pPr>
        <w:ind w:right="60" w:firstLine="40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Benigno Pazos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 68, has served as our Executive Vice President and Chief Credit Officer since 2016. Prior to joining us, Mr. Pazos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served in various executive positions at TotalBank including as Executive Vice President and Chief Credit Officer from 2010 to 2015, as Executive Vice President supervising the Debt Restructuring Division from 2009 to 2015 and as Senior Vice President, Commercial Lending from 2001 to 2009. Mr. Pazos has also served as a board member of TotalBank from 2012 to 2015. From 1987 to 2001, Mr. Pazos served in lending positions and was ultimately promoted to Vice President at Ocean Bank. Mr. Pazos is an active member and former President of the Cuban American CPA Association, member of the Florida Institute of Certified Public Accountants and member of the American Institute of Certified Public Accountants.</w:t>
      </w:r>
    </w:p>
    <w:p>
      <w:pPr>
        <w:spacing w:after="0" w:line="193" w:lineRule="exact"/>
        <w:rPr>
          <w:sz w:val="20"/>
          <w:szCs w:val="20"/>
          <w:color w:val="auto"/>
        </w:rPr>
      </w:pPr>
    </w:p>
    <w:p>
      <w:pPr>
        <w:ind w:right="80" w:firstLine="402"/>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Andres Collazo</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age 58, has served as our Executive Vice President, Director of Operations and Information Technology since 2016.</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Mr. Collazo has over 33 years’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spacing w:after="0" w:line="179" w:lineRule="exact"/>
        <w:rPr>
          <w:sz w:val="20"/>
          <w:szCs w:val="20"/>
          <w:color w:val="auto"/>
        </w:rPr>
      </w:pPr>
    </w:p>
    <w:p>
      <w:pPr>
        <w:ind w:right="200" w:firstLine="40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Oscar Gomez</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 68, has served as our Executive Vice President, Head of Global Banking Division since 2007 and has overseen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inception and growth of our Global Banking Division. Mr. Gomez has more than 30 years’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holds a bachelor’s degree in business administration with a major in accounting from Florida International University.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15" w:name="page16"/>
    <w:bookmarkEnd w:id="15"/>
    <w:p>
      <w:pPr>
        <w:ind w:right="120" w:firstLine="40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Nicholas Bustle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 59, has served as our Executive Vice President, Chief Lending Officer since 2019. Mr. Bustle has more than 35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years of managerial experience 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spacing w:after="0" w:line="196" w:lineRule="exact"/>
        <w:rPr>
          <w:sz w:val="20"/>
          <w:szCs w:val="20"/>
          <w:color w:val="auto"/>
        </w:rPr>
      </w:pPr>
    </w:p>
    <w:p>
      <w:pPr>
        <w:ind w:right="60" w:firstLine="40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Martha Guerra-Kattou</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age 53, has served as our Executive Vice President, Director of Sales and Marketing since 2016 and oversees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operation of 10 full-service banking centers throughout Miami-Dade and south Broward counties. Ms. Guerra-Kattou has over 30 years’ managerial experience in bank operations and sales and marketing. Prior to joining us,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Principles and Board Matters</w:t>
      </w:r>
    </w:p>
    <w:p>
      <w:pPr>
        <w:spacing w:after="0" w:line="229" w:lineRule="exact"/>
        <w:rPr>
          <w:sz w:val="20"/>
          <w:szCs w:val="20"/>
          <w:color w:val="auto"/>
        </w:rPr>
      </w:pPr>
    </w:p>
    <w:p>
      <w:pPr>
        <w:ind w:firstLine="409"/>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Governance Guidelines. </w:t>
      </w:r>
      <w:r>
        <w:rPr>
          <w:rFonts w:ascii="Times New Roman" w:cs="Times New Roman" w:eastAsia="Times New Roman" w:hAnsi="Times New Roman"/>
          <w:sz w:val="20"/>
          <w:szCs w:val="20"/>
          <w:color w:val="auto"/>
        </w:rPr>
        <w:t>We are committed to sound corporate governance principles, which are essential to running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efficiently and 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 our Board, director independence, compensation of directors, management succession and review, committees of our Board and selection of new directors. Our Corporate Governance Guidelines is available on our website at www.uscentury.com under the “Investor Relations” tab.</w:t>
      </w:r>
    </w:p>
    <w:p>
      <w:pPr>
        <w:spacing w:after="0" w:line="193" w:lineRule="exact"/>
        <w:rPr>
          <w:sz w:val="20"/>
          <w:szCs w:val="20"/>
          <w:color w:val="auto"/>
        </w:rPr>
      </w:pPr>
    </w:p>
    <w:p>
      <w:pPr>
        <w:ind w:right="60" w:firstLine="40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Director Qualifications. </w:t>
      </w:r>
      <w:r>
        <w:rPr>
          <w:rFonts w:ascii="Times New Roman" w:cs="Times New Roman" w:eastAsia="Times New Roman" w:hAnsi="Times New Roman"/>
          <w:sz w:val="20"/>
          <w:szCs w:val="20"/>
          <w:color w:val="auto"/>
        </w:rPr>
        <w:t>We believe that our directors should have the highest professional and personal ethics and values. They should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broad experience at the 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16" w:name="page17"/>
    <w:bookmarkEnd w:id="16"/>
    <w:p>
      <w:pPr>
        <w:ind w:firstLine="40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Director Independence. </w:t>
      </w:r>
      <w:r>
        <w:rPr>
          <w:rFonts w:ascii="Times New Roman" w:cs="Times New Roman" w:eastAsia="Times New Roman" w:hAnsi="Times New Roman"/>
          <w:sz w:val="20"/>
          <w:szCs w:val="20"/>
          <w:color w:val="auto"/>
        </w:rPr>
        <w:t>Under the listing requirements and rules of The Nasdaq Stock Market, independent directors must constitute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majority of a listed company’s board of directors within 12 months after its initial public offering.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serving on the Board is an independent director, as defined under the applicable rules.</w:t>
      </w:r>
    </w:p>
    <w:p>
      <w:pPr>
        <w:spacing w:after="0" w:line="203" w:lineRule="exact"/>
        <w:rPr>
          <w:sz w:val="20"/>
          <w:szCs w:val="20"/>
          <w:color w:val="auto"/>
        </w:rPr>
      </w:pPr>
    </w:p>
    <w:p>
      <w:pPr>
        <w:ind w:right="40" w:firstLine="40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Leadership Structure. </w:t>
      </w:r>
      <w:r>
        <w:rPr>
          <w:rFonts w:ascii="Times New Roman" w:cs="Times New Roman" w:eastAsia="Times New Roman" w:hAnsi="Times New Roman"/>
          <w:sz w:val="20"/>
          <w:szCs w:val="20"/>
          <w:color w:val="auto"/>
        </w:rPr>
        <w:t>Our Board does not have a policy regarding the separation of the roles of Chief Executive Officer and director,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as Chairperson of the Board, as our Board believes that it is in the best interests of USCB Financial Holdings and its shareholders to make that determination from time to time based on the position and direction of USCB Financial Holdings and the membership of the Board. Our Board has determined that having our Chief Executive Officer currently serve as a director on our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Our Chief Executive Officer does not serve as Chairperson of the Board. Dr. Levitan, an independent director, currently serves as Chairwoman of the Board.</w:t>
      </w:r>
    </w:p>
    <w:p>
      <w:pPr>
        <w:spacing w:after="0" w:line="199" w:lineRule="exact"/>
        <w:rPr>
          <w:sz w:val="20"/>
          <w:szCs w:val="20"/>
          <w:color w:val="auto"/>
        </w:rPr>
      </w:pPr>
    </w:p>
    <w:p>
      <w:pPr>
        <w:ind w:right="20" w:firstLine="409"/>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Code of Ethics and Business Conduct. </w:t>
      </w:r>
      <w:r>
        <w:rPr>
          <w:rFonts w:ascii="Times New Roman" w:cs="Times New Roman" w:eastAsia="Times New Roman" w:hAnsi="Times New Roman"/>
          <w:sz w:val="19"/>
          <w:szCs w:val="19"/>
          <w:color w:val="auto"/>
        </w:rPr>
        <w:t>Our Board has adopted a Code of Ethics and Business Conduct which applies to all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directors, officers and employees. 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spacing w:after="0" w:line="167" w:lineRule="exact"/>
        <w:rPr>
          <w:sz w:val="20"/>
          <w:szCs w:val="20"/>
          <w:color w:val="auto"/>
        </w:rPr>
      </w:pPr>
    </w:p>
    <w:p>
      <w:pPr>
        <w:ind w:right="60" w:firstLine="409"/>
        <w:spacing w:after="0" w:line="237" w:lineRule="exact"/>
        <w:rPr>
          <w:sz w:val="20"/>
          <w:szCs w:val="20"/>
          <w:color w:val="auto"/>
        </w:rPr>
      </w:pPr>
      <w:r>
        <w:rPr>
          <w:rFonts w:ascii="Times New Roman" w:cs="Times New Roman" w:eastAsia="Times New Roman" w:hAnsi="Times New Roman"/>
          <w:sz w:val="19"/>
          <w:szCs w:val="19"/>
          <w:b w:val="1"/>
          <w:bCs w:val="1"/>
          <w:i w:val="1"/>
          <w:iCs w:val="1"/>
          <w:color w:val="auto"/>
        </w:rPr>
        <w:t xml:space="preserve">Risk Management and Oversight. </w:t>
      </w:r>
      <w:r>
        <w:rPr>
          <w:rFonts w:ascii="Times New Roman" w:cs="Times New Roman" w:eastAsia="Times New Roman" w:hAnsi="Times New Roman"/>
          <w:sz w:val="19"/>
          <w:szCs w:val="19"/>
          <w:color w:val="auto"/>
        </w:rPr>
        <w:t>Our Board oversees our risk management process, which is a company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wide approach to risk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management that is carried out by 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Attendance at Annual Meetings</w:t>
      </w:r>
    </w:p>
    <w:p>
      <w:pPr>
        <w:spacing w:after="0" w:line="233" w:lineRule="exact"/>
        <w:rPr>
          <w:sz w:val="20"/>
          <w:szCs w:val="20"/>
          <w:color w:val="auto"/>
        </w:rPr>
      </w:pPr>
    </w:p>
    <w:p>
      <w:pPr>
        <w:ind w:right="640" w:firstLine="398"/>
        <w:spacing w:after="0" w:line="254" w:lineRule="auto"/>
        <w:rPr>
          <w:sz w:val="20"/>
          <w:szCs w:val="20"/>
          <w:color w:val="auto"/>
        </w:rPr>
      </w:pPr>
      <w:r>
        <w:rPr>
          <w:rFonts w:ascii="Times New Roman" w:cs="Times New Roman" w:eastAsia="Times New Roman" w:hAnsi="Times New Roman"/>
          <w:sz w:val="20"/>
          <w:szCs w:val="20"/>
          <w:color w:val="auto"/>
        </w:rPr>
        <w:t>Although we do not have a formal policy regarding attendance by members of the Board of Directors at annual meetings of shareholders, we expect that our directors will attend, absent a valid reason for not doing so. This will be our first Annual Meeting of Shareholders of USCB Financial Holdings.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and Meetings of the Board of Directors</w:t>
      </w:r>
    </w:p>
    <w:p>
      <w:pPr>
        <w:spacing w:after="0" w:line="233" w:lineRule="exact"/>
        <w:rPr>
          <w:sz w:val="20"/>
          <w:szCs w:val="20"/>
          <w:color w:val="auto"/>
        </w:rPr>
      </w:pPr>
    </w:p>
    <w:p>
      <w:pPr>
        <w:ind w:firstLine="409"/>
        <w:spacing w:after="0" w:line="244" w:lineRule="auto"/>
        <w:rPr>
          <w:sz w:val="20"/>
          <w:szCs w:val="20"/>
          <w:color w:val="auto"/>
        </w:rPr>
      </w:pPr>
      <w:r>
        <w:rPr>
          <w:rFonts w:ascii="Times New Roman" w:cs="Times New Roman" w:eastAsia="Times New Roman" w:hAnsi="Times New Roman"/>
          <w:sz w:val="20"/>
          <w:szCs w:val="20"/>
          <w:color w:val="auto"/>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 During the fiscal year ended December 31, 2021, the Board of USCB Financial Holdings held two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spacing w:after="0" w:line="195" w:lineRule="exact"/>
        <w:rPr>
          <w:sz w:val="20"/>
          <w:szCs w:val="20"/>
          <w:color w:val="auto"/>
        </w:rPr>
      </w:pPr>
    </w:p>
    <w:p>
      <w:pPr>
        <w:ind w:firstLine="402"/>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Audit and Risk Committee. </w:t>
      </w:r>
      <w:r>
        <w:rPr>
          <w:rFonts w:ascii="Times New Roman" w:cs="Times New Roman" w:eastAsia="Times New Roman" w:hAnsi="Times New Roman"/>
          <w:sz w:val="20"/>
          <w:szCs w:val="20"/>
          <w:color w:val="auto"/>
        </w:rPr>
        <w:t>Our audit and risk committee consists of Dr. Fernandez, Mr. Abadin, Dr. Levitan and Mr. Rodriguez,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 Fernandez 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member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six times in 2021.</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Among other things, our audit and risk committee has responsibility for:</w:t>
      </w:r>
    </w:p>
    <w:p>
      <w:pPr>
        <w:spacing w:after="0" w:line="229" w:lineRule="exact"/>
        <w:rPr>
          <w:sz w:val="20"/>
          <w:szCs w:val="20"/>
          <w:color w:val="auto"/>
        </w:rPr>
      </w:pPr>
    </w:p>
    <w:p>
      <w:pPr>
        <w:ind w:left="980" w:right="380" w:hanging="324"/>
        <w:spacing w:after="0" w:line="250"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selecting and hiring our independent registered public accounting firm, and approving the audit and non-audit services to be performed by our independent registered public accounting firm;</w:t>
      </w:r>
    </w:p>
    <w:p>
      <w:pPr>
        <w:spacing w:after="0" w:line="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qualifications, performance and independence of our independent registered public accounting firm;</w:t>
      </w:r>
    </w:p>
    <w:p>
      <w:pPr>
        <w:ind w:left="980" w:right="140" w:hanging="324"/>
        <w:spacing w:after="0" w:line="239"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integrity of our financial statements and our compliance with legal and regulatory requirements as they relate to financial statements or accounting matters;</w:t>
      </w:r>
    </w:p>
    <w:p>
      <w:pPr>
        <w:ind w:left="980" w:hanging="324"/>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adequacy and effectiveness of our internal control policies and procedures;</w:t>
      </w:r>
    </w:p>
    <w:p>
      <w:pPr>
        <w:ind w:left="980" w:right="760" w:hanging="324"/>
        <w:spacing w:after="0" w:line="246" w:lineRule="auto"/>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2" w:right="399" w:bottom="1440" w:gutter="0" w:footer="0" w:header="0"/>
        </w:sectPr>
      </w:pPr>
    </w:p>
    <w:bookmarkStart w:id="18" w:name="page19"/>
    <w:bookmarkEnd w:id="18"/>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the audit and risk committee report required by the Exchange Act rules to be included in our annual proxy statement;</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considering the adequacy of our internal controls and internal audit function;</w:t>
      </w:r>
    </w:p>
    <w:p>
      <w:pPr>
        <w:ind w:left="980" w:hanging="32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employees to anonymously submit concerns about questionable accounting or audit matters;</w:t>
      </w:r>
    </w:p>
    <w:p>
      <w:pPr>
        <w:ind w:left="980" w:right="180" w:hanging="324"/>
        <w:spacing w:after="0" w:line="239"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or, as permitted, pre-approving all audit and non-audit services to be performed by the independent registered public accounting firm; and</w:t>
      </w:r>
    </w:p>
    <w:p>
      <w:pPr>
        <w:ind w:left="980" w:right="120" w:hanging="324"/>
        <w:spacing w:after="0" w:line="246"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inquiring about significant risks, reviewing our policies for risk assessment and risk management, including cybersecurity risks, and assessing the steps management has taken to control these risks.</w:t>
      </w:r>
    </w:p>
    <w:p>
      <w:pPr>
        <w:spacing w:after="0" w:line="195" w:lineRule="exact"/>
        <w:rPr>
          <w:sz w:val="20"/>
          <w:szCs w:val="20"/>
          <w:color w:val="auto"/>
        </w:rPr>
      </w:pPr>
    </w:p>
    <w:p>
      <w:pPr>
        <w:ind w:right="160" w:firstLine="409"/>
        <w:spacing w:after="0" w:line="269" w:lineRule="auto"/>
        <w:rPr>
          <w:sz w:val="20"/>
          <w:szCs w:val="20"/>
          <w:color w:val="auto"/>
        </w:rPr>
      </w:pPr>
      <w:r>
        <w:rPr>
          <w:rFonts w:ascii="Times New Roman" w:cs="Times New Roman" w:eastAsia="Times New Roman" w:hAnsi="Times New Roman"/>
          <w:sz w:val="20"/>
          <w:szCs w:val="20"/>
          <w:color w:val="auto"/>
        </w:rPr>
        <w:t xml:space="preserve">Our audit and risk committee has adopted a written charter, which sets forth the committee’s duties and responsibilities. The charter of the audit and risk committee is available on our website at </w:t>
      </w:r>
      <w:r>
        <w:rPr>
          <w:rFonts w:ascii="Times New Roman" w:cs="Times New Roman" w:eastAsia="Times New Roman" w:hAnsi="Times New Roman"/>
          <w:sz w:val="20"/>
          <w:szCs w:val="20"/>
          <w:u w:val="single" w:color="auto"/>
          <w:color w:val="auto"/>
        </w:rPr>
        <w:t>www.uscentury.com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140" w:firstLine="409"/>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Compensation Committee. </w:t>
      </w:r>
      <w:r>
        <w:rPr>
          <w:rFonts w:ascii="Times New Roman" w:cs="Times New Roman" w:eastAsia="Times New Roman" w:hAnsi="Times New Roman"/>
          <w:sz w:val="19"/>
          <w:szCs w:val="19"/>
          <w:color w:val="auto"/>
        </w:rPr>
        <w:t>Our compensation committee consists of Dr. Levitan, Mr. Abadin, Mr. Feinglass and Mr. Wycoff, with Mr.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Wycoff serving as chair of the compensation committee and met three times in 2021.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Among other things, our compensation committee has responsibility for:</w:t>
      </w:r>
    </w:p>
    <w:p>
      <w:pPr>
        <w:spacing w:after="0" w:line="229" w:lineRule="exact"/>
        <w:rPr>
          <w:sz w:val="20"/>
          <w:szCs w:val="20"/>
          <w:color w:val="auto"/>
        </w:rPr>
      </w:pPr>
    </w:p>
    <w:p>
      <w:pPr>
        <w:ind w:left="980" w:hanging="324"/>
        <w:spacing w:after="0" w:line="264" w:lineRule="auto"/>
        <w:tabs>
          <w:tab w:leader="none" w:pos="9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reviewing and approving compensation of our executive officers including salary, long-term incentives, cash incentives, bonuses, perquisites, equity incentives, severance arrangements, retirement benefits and other related benefits and benefit plans;</w:t>
      </w:r>
    </w:p>
    <w:p>
      <w:pPr>
        <w:ind w:left="980" w:right="220" w:hanging="324"/>
        <w:spacing w:after="0" w:line="239"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compensation policies and practices for our employees and considering whether risks arise from such policies and practices;</w:t>
      </w:r>
    </w:p>
    <w:p>
      <w:pPr>
        <w:ind w:left="980" w:hanging="324"/>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compensation of our directors;</w:t>
      </w:r>
    </w:p>
    <w:p>
      <w:pPr>
        <w:ind w:left="980" w:right="300" w:hanging="324"/>
        <w:spacing w:after="0" w:line="239" w:lineRule="auto"/>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discussing annually with management any executive compensation disclosure required by Exchange Act rules; and</w:t>
      </w:r>
    </w:p>
    <w:p>
      <w:pPr>
        <w:ind w:left="980" w:hanging="324"/>
        <w:spacing w:after="0"/>
        <w:tabs>
          <w:tab w:leader="none" w:pos="9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administrating, reviewing and making recommendations with respect to our equity compensation plans.</w:t>
      </w:r>
    </w:p>
    <w:p>
      <w:pPr>
        <w:spacing w:after="0" w:line="207" w:lineRule="exact"/>
        <w:rPr>
          <w:sz w:val="20"/>
          <w:szCs w:val="20"/>
          <w:color w:val="auto"/>
        </w:rPr>
      </w:pPr>
    </w:p>
    <w:p>
      <w:pPr>
        <w:ind w:right="140" w:firstLine="409"/>
        <w:spacing w:after="0" w:line="269" w:lineRule="auto"/>
        <w:rPr>
          <w:sz w:val="20"/>
          <w:szCs w:val="20"/>
          <w:color w:val="auto"/>
        </w:rPr>
      </w:pPr>
      <w:r>
        <w:rPr>
          <w:rFonts w:ascii="Times New Roman" w:cs="Times New Roman" w:eastAsia="Times New Roman" w:hAnsi="Times New Roman"/>
          <w:sz w:val="20"/>
          <w:szCs w:val="20"/>
          <w:color w:val="auto"/>
        </w:rPr>
        <w:t>Our compensation committee has adopted a written charter, which sets forth the committee’s duties and responsibilities. The charter of the compensation committee is available on our website at www.uscentury.com.</w:t>
      </w:r>
    </w:p>
    <w:p>
      <w:pPr>
        <w:spacing w:after="0" w:line="169" w:lineRule="exact"/>
        <w:rPr>
          <w:sz w:val="20"/>
          <w:szCs w:val="20"/>
          <w:color w:val="auto"/>
        </w:rPr>
      </w:pPr>
    </w:p>
    <w:p>
      <w:pPr>
        <w:jc w:val="both"/>
        <w:ind w:right="40" w:firstLine="40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Nominating and Corporate Governance Committee. </w:t>
      </w:r>
      <w:r>
        <w:rPr>
          <w:rFonts w:ascii="Times New Roman" w:cs="Times New Roman" w:eastAsia="Times New Roman" w:hAnsi="Times New Roman"/>
          <w:sz w:val="20"/>
          <w:szCs w:val="20"/>
          <w:color w:val="auto"/>
        </w:rPr>
        <w:t>Our nominating and corporate governance committee consists of Mr. Abadin, Dr.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Levitan, and Mr. Wycoff, with Mr. Abadin serving as chair of the nominating and corporate governance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once during 2021.</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20"/>
          <w:szCs w:val="20"/>
          <w:color w:val="auto"/>
        </w:rPr>
        <w:t>Among other things, our nominating and corporate governance committee is responsible for:</w:t>
      </w:r>
    </w:p>
    <w:p>
      <w:pPr>
        <w:spacing w:after="0" w:line="229" w:lineRule="exact"/>
        <w:rPr>
          <w:sz w:val="20"/>
          <w:szCs w:val="20"/>
          <w:color w:val="auto"/>
        </w:rPr>
      </w:pPr>
    </w:p>
    <w:p>
      <w:pPr>
        <w:ind w:left="980" w:right="220" w:hanging="324"/>
        <w:spacing w:after="0" w:line="247"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p>
      <w:pPr>
        <w:ind w:left="980" w:hanging="324"/>
        <w:spacing w:after="0" w:line="239" w:lineRule="auto"/>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periodically the governance principles adopted by the Board and developing and recommending governance principles applicable to our Board;</w:t>
      </w:r>
    </w:p>
    <w:p>
      <w:pPr>
        <w:ind w:left="980" w:hanging="324"/>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recommendations to the Board as to determinations of director independence;</w:t>
      </w:r>
    </w:p>
    <w:p>
      <w:pPr>
        <w:ind w:left="980" w:hanging="324"/>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evaluation of the Board; and</w:t>
      </w:r>
    </w:p>
    <w:p>
      <w:pPr>
        <w:ind w:left="980" w:hanging="324"/>
        <w:spacing w:after="0"/>
        <w:tabs>
          <w:tab w:leader="none" w:pos="9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recommending members for each board committee of our Board.</w:t>
      </w:r>
    </w:p>
    <w:p>
      <w:pPr>
        <w:spacing w:after="0" w:line="207" w:lineRule="exact"/>
        <w:rPr>
          <w:sz w:val="20"/>
          <w:szCs w:val="20"/>
          <w:color w:val="auto"/>
        </w:rPr>
      </w:pPr>
    </w:p>
    <w:p>
      <w:pPr>
        <w:ind w:right="520" w:firstLine="409"/>
        <w:spacing w:after="0" w:line="295" w:lineRule="auto"/>
        <w:rPr>
          <w:sz w:val="20"/>
          <w:szCs w:val="20"/>
          <w:color w:val="auto"/>
        </w:rPr>
      </w:pPr>
      <w:r>
        <w:rPr>
          <w:rFonts w:ascii="Times New Roman" w:cs="Times New Roman" w:eastAsia="Times New Roman" w:hAnsi="Times New Roman"/>
          <w:sz w:val="19"/>
          <w:szCs w:val="19"/>
          <w:color w:val="auto"/>
        </w:rPr>
        <w:t>Our nominating and corporate governance committee has adopted a written charter, which sets forth the committee’s duties and responsibilities. The charter of the nominating and corporate governance committee is available on our website at www.uscentury.com.</w:t>
      </w:r>
    </w:p>
    <w:p>
      <w:pPr>
        <w:spacing w:after="0" w:line="151" w:lineRule="exact"/>
        <w:rPr>
          <w:sz w:val="20"/>
          <w:szCs w:val="20"/>
          <w:color w:val="auto"/>
        </w:rPr>
      </w:pPr>
    </w:p>
    <w:p>
      <w:pPr>
        <w:jc w:val="both"/>
        <w:ind w:right="600" w:firstLine="409"/>
        <w:spacing w:after="0" w:line="254" w:lineRule="auto"/>
        <w:rPr>
          <w:sz w:val="20"/>
          <w:szCs w:val="20"/>
          <w:color w:val="auto"/>
        </w:rPr>
      </w:pPr>
      <w:r>
        <w:rPr>
          <w:rFonts w:ascii="Times New Roman" w:cs="Times New Roman" w:eastAsia="Times New Roman" w:hAnsi="Times New Roman"/>
          <w:sz w:val="20"/>
          <w:szCs w:val="20"/>
          <w:color w:val="auto"/>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spacing w:after="0" w:line="188" w:lineRule="exact"/>
        <w:rPr>
          <w:sz w:val="20"/>
          <w:szCs w:val="20"/>
          <w:color w:val="auto"/>
        </w:rPr>
      </w:pPr>
    </w:p>
    <w:p>
      <w:pPr>
        <w:ind w:firstLine="406"/>
        <w:spacing w:after="0" w:line="245" w:lineRule="auto"/>
        <w:rPr>
          <w:sz w:val="20"/>
          <w:szCs w:val="20"/>
          <w:color w:val="auto"/>
        </w:rPr>
      </w:pPr>
      <w:r>
        <w:rPr>
          <w:rFonts w:ascii="Times New Roman" w:cs="Times New Roman" w:eastAsia="Times New Roman" w:hAnsi="Times New Roman"/>
          <w:sz w:val="20"/>
          <w:szCs w:val="20"/>
          <w:color w:val="auto"/>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spacing w:after="0" w:line="198" w:lineRule="exact"/>
        <w:rPr>
          <w:sz w:val="20"/>
          <w:szCs w:val="20"/>
          <w:color w:val="auto"/>
        </w:rPr>
      </w:pPr>
    </w:p>
    <w:p>
      <w:pPr>
        <w:ind w:right="500" w:firstLine="409"/>
        <w:spacing w:after="0" w:line="269" w:lineRule="auto"/>
        <w:rPr>
          <w:sz w:val="20"/>
          <w:szCs w:val="20"/>
          <w:color w:val="auto"/>
        </w:rPr>
      </w:pPr>
      <w:r>
        <w:rPr>
          <w:rFonts w:ascii="Times New Roman" w:cs="Times New Roman" w:eastAsia="Times New Roman" w:hAnsi="Times New Roman"/>
          <w:sz w:val="20"/>
          <w:szCs w:val="20"/>
          <w:color w:val="auto"/>
        </w:rPr>
        <w:t>Prior to recommending an existing director for re-election to our Board, the nominating and corporate governance committee may consider and review the following attributes with respect to each incumbent director:</w:t>
      </w:r>
    </w:p>
    <w:p>
      <w:pPr>
        <w:spacing w:after="0" w:line="17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attendance and performance at meetings of our Board and the committees on which such director serves;</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length of service on our Board;</w:t>
      </w:r>
    </w:p>
    <w:p>
      <w:pPr>
        <w:ind w:left="980" w:hanging="324"/>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skills and contributions that the incumbent director brings to our Board;</w:t>
      </w:r>
    </w:p>
    <w:p>
      <w:pPr>
        <w:ind w:left="980" w:hanging="324"/>
        <w:spacing w:after="0"/>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independence and any conflicts of interest; and</w:t>
      </w:r>
    </w:p>
    <w:p>
      <w:pPr>
        <w:ind w:left="980" w:right="480" w:hanging="324"/>
        <w:spacing w:after="0" w:line="246" w:lineRule="auto"/>
        <w:tabs>
          <w:tab w:leader="none" w:pos="9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the director’s status, including with respect to the attributes considered for initial membership our Board.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33" w:lineRule="exact"/>
        <w:rPr>
          <w:sz w:val="20"/>
          <w:szCs w:val="20"/>
          <w:color w:val="auto"/>
        </w:rPr>
      </w:pPr>
    </w:p>
    <w:p>
      <w:pPr>
        <w:ind w:firstLine="409"/>
        <w:spacing w:after="0" w:line="263" w:lineRule="auto"/>
        <w:rPr>
          <w:sz w:val="20"/>
          <w:szCs w:val="20"/>
          <w:color w:val="auto"/>
        </w:rPr>
      </w:pPr>
      <w:r>
        <w:rPr>
          <w:rFonts w:ascii="Times New Roman" w:cs="Times New Roman" w:eastAsia="Times New Roman" w:hAnsi="Times New Roman"/>
          <w:sz w:val="19"/>
          <w:szCs w:val="19"/>
          <w:color w:val="auto"/>
        </w:rPr>
        <w:t>Each non-employee director receives an annual cash retainer of $75,000 per year as compensation for his or her services as a member of the Board. In addition, the chairs of our board committees also receive an additional cash retainer of $8,000 and the chair of our Board receives an additional cash retainer of $28,000. We pay each director their applicable annual fee in quarterly installments. Our directors also participate in our 2015 Amended and Restated Equity Incentive Plan. We do not pay our “inside” employee-director, Mr. de la Aguilera, any additional compensation for his services as a director. There are no changes to Board compensation currently contemplated for 2022.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20"/>
          <w:szCs w:val="20"/>
          <w:color w:val="auto"/>
        </w:rPr>
        <w:t>The following table provides the compensation paid to our non-employee directors for the year ended 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Fees Earned or</w:t>
            </w:r>
          </w:p>
        </w:tc>
        <w:tc>
          <w:tcPr>
            <w:tcW w:w="19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 w:type="dxa"/>
            <w:vAlign w:val="bottom"/>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xml:space="preserve">Paid in Cash </w:t>
            </w:r>
            <w:r>
              <w:rPr>
                <w:rFonts w:ascii="Times New Roman" w:cs="Times New Roman" w:eastAsia="Times New Roman" w:hAnsi="Times New Roman"/>
                <w:sz w:val="20"/>
                <w:szCs w:val="20"/>
                <w:b w:val="1"/>
                <w:bCs w:val="1"/>
                <w:u w:val="single" w:color="auto"/>
                <w:color w:val="auto"/>
                <w:w w:val="99"/>
              </w:rPr>
              <w:t>($</w:t>
            </w:r>
            <w:r>
              <w:rPr>
                <w:rFonts w:ascii="Times New Roman" w:cs="Times New Roman" w:eastAsia="Times New Roman" w:hAnsi="Times New Roman"/>
                <w:sz w:val="20"/>
                <w:szCs w:val="20"/>
                <w:b w:val="1"/>
                <w:bCs w:val="1"/>
                <w:color w:val="auto"/>
                <w:w w:val="99"/>
              </w:rPr>
              <w:t>)</w:t>
            </w:r>
          </w:p>
        </w:tc>
        <w:tc>
          <w:tcPr>
            <w:tcW w:w="240" w:type="dxa"/>
            <w:vAlign w:val="bottom"/>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Awards</w:t>
            </w:r>
            <w:r>
              <w:rPr>
                <w:rFonts w:ascii="Times New Roman" w:cs="Times New Roman" w:eastAsia="Times New Roman" w:hAnsi="Times New Roman"/>
                <w:sz w:val="16"/>
                <w:szCs w:val="16"/>
                <w:b w:val="1"/>
                <w:bCs w:val="1"/>
                <w:color w:val="auto"/>
              </w:rPr>
              <w:t>(7)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Total ($)</w:t>
            </w:r>
          </w:p>
        </w:tc>
        <w:tc>
          <w:tcPr>
            <w:tcW w:w="100" w:type="dxa"/>
            <w:vAlign w:val="bottom"/>
          </w:tcPr>
          <w:p>
            <w:pPr>
              <w:spacing w:after="0"/>
              <w:rPr>
                <w:sz w:val="22"/>
                <w:szCs w:val="22"/>
                <w:color w:val="auto"/>
              </w:rPr>
            </w:pPr>
          </w:p>
        </w:tc>
      </w:tr>
      <w:tr>
        <w:trPr>
          <w:trHeight w:val="223"/>
        </w:trPr>
        <w:tc>
          <w:tcPr>
            <w:tcW w:w="62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Ramón Abadin</w:t>
            </w:r>
            <w:r>
              <w:rPr>
                <w:rFonts w:ascii="Times New Roman" w:cs="Times New Roman" w:eastAsia="Times New Roman" w:hAnsi="Times New Roman"/>
                <w:sz w:val="16"/>
                <w:szCs w:val="16"/>
                <w:color w:val="auto"/>
              </w:rPr>
              <w:t>(1)</w:t>
            </w:r>
          </w:p>
        </w:tc>
        <w:tc>
          <w:tcPr>
            <w:tcW w:w="580" w:type="dxa"/>
            <w:vAlign w:val="bottom"/>
            <w:gridSpan w:val="2"/>
            <w:shd w:val="clear" w:color="auto" w:fill="CCEEFF"/>
          </w:tcPr>
          <w:p>
            <w:pPr>
              <w:jc w:val="right"/>
              <w:ind w:right="2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83,000</w:t>
            </w:r>
          </w:p>
        </w:tc>
        <w:tc>
          <w:tcPr>
            <w:tcW w:w="1900" w:type="dxa"/>
            <w:vAlign w:val="bottom"/>
            <w:gridSpan w:val="3"/>
            <w:shd w:val="clear" w:color="auto" w:fill="CCEEFF"/>
          </w:tcPr>
          <w:p>
            <w:pPr>
              <w:ind w:left="132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83,000</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Maria C. Alonso</w:t>
            </w: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Howard P. Feinglass</w:t>
            </w: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75,000</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75,000</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Bernardo Fernandez</w:t>
            </w: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83,000</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83,000</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Wayne Goldstein</w:t>
            </w: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75,000</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75,000</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Robert E. Kafafian</w:t>
            </w: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Aida Levitan</w:t>
            </w: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103,000</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103,000</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Ramon A. Rodriguez</w:t>
            </w: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 Kirk Wycoff</w:t>
            </w: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75,000</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75,000</w:t>
            </w:r>
          </w:p>
        </w:tc>
      </w:tr>
      <w:tr>
        <w:trPr>
          <w:trHeight w:val="229"/>
        </w:trPr>
        <w:tc>
          <w:tcPr>
            <w:tcW w:w="62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_____________________________</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ind w:left="660" w:right="600" w:hanging="652"/>
        <w:spacing w:after="0" w:line="246" w:lineRule="auto"/>
        <w:tabs>
          <w:tab w:leader="none" w:pos="6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annual retainer for membership on our Board and for serving as chair of the nominating and corporate governance committee.</w:t>
      </w:r>
    </w:p>
    <w:p>
      <w:pPr>
        <w:spacing w:after="0" w:line="195" w:lineRule="exact"/>
        <w:rPr>
          <w:rFonts w:ascii="Times New Roman" w:cs="Times New Roman" w:eastAsia="Times New Roman" w:hAnsi="Times New Roman"/>
          <w:sz w:val="20"/>
          <w:szCs w:val="20"/>
          <w:color w:val="auto"/>
        </w:rPr>
      </w:pPr>
    </w:p>
    <w:p>
      <w:pPr>
        <w:ind w:left="660" w:hanging="652"/>
        <w:spacing w:after="0" w:line="269" w:lineRule="auto"/>
        <w:tabs>
          <w:tab w:leader="none" w:pos="6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Alonso was appointed to the Board in March 2022 and Messrs. Rodriguez and Kafafian were appointed to the Board in February 2022 and March 2022, respectively, and thus did not earn any fees for fiscal 2021.</w:t>
      </w:r>
    </w:p>
    <w:p>
      <w:pPr>
        <w:spacing w:after="0" w:line="172"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annual retainer for membership on our Board.</w:t>
      </w:r>
    </w:p>
    <w:p>
      <w:pPr>
        <w:spacing w:after="0" w:line="229"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annual retainer for membership on our Board and for serving as chair of the audit and risk committee.</w:t>
      </w:r>
    </w:p>
    <w:p>
      <w:pPr>
        <w:spacing w:after="0" w:line="229"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Goldstein resigned effective November 30, 2021.</w:t>
      </w:r>
    </w:p>
    <w:p>
      <w:pPr>
        <w:spacing w:after="0" w:line="229"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annual retainer for membership on our Board and for serving as chair of the Board.</w:t>
      </w:r>
    </w:p>
    <w:p>
      <w:pPr>
        <w:spacing w:after="0" w:line="229" w:lineRule="exact"/>
        <w:rPr>
          <w:rFonts w:ascii="Times New Roman" w:cs="Times New Roman" w:eastAsia="Times New Roman" w:hAnsi="Times New Roman"/>
          <w:sz w:val="20"/>
          <w:szCs w:val="20"/>
          <w:color w:val="auto"/>
        </w:rPr>
      </w:pPr>
    </w:p>
    <w:p>
      <w:pPr>
        <w:ind w:left="660" w:right="20" w:hanging="652"/>
        <w:spacing w:after="0" w:line="249" w:lineRule="auto"/>
        <w:tabs>
          <w:tab w:leader="none" w:pos="67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2021, Messrs. Abadin, Fernandez and Goldstein each held options to purchase 9,000 shares of Class A Common Stock, Messrs. Feinglass and Wycoff each held options to purchase 11,500 shares of Class A Common Stock and Ms. Levitan held options to purchase 14,000 shares of Class A Common Stock. Mr. Goldstein’s options expired in February 2022. No option awards were made to non-employee directors in 2021.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Philosophy</w:t>
      </w:r>
    </w:p>
    <w:p>
      <w:pPr>
        <w:spacing w:after="0" w:line="229" w:lineRule="exact"/>
        <w:rPr>
          <w:sz w:val="20"/>
          <w:szCs w:val="20"/>
          <w:color w:val="auto"/>
        </w:rPr>
      </w:pPr>
    </w:p>
    <w:p>
      <w:pPr>
        <w:ind w:right="20" w:firstLine="409"/>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Philosophy. </w:t>
      </w:r>
      <w:r>
        <w:rPr>
          <w:rFonts w:ascii="Times New Roman" w:cs="Times New Roman" w:eastAsia="Times New Roman" w:hAnsi="Times New Roman"/>
          <w:sz w:val="20"/>
          <w:szCs w:val="20"/>
          <w:color w:val="auto"/>
        </w:rPr>
        <w:t>As an organization, we focus on successfully addressing client needs, maintaining critical quality standards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driving superior shareholder 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strives to maintain compensation at levels ranging from the applicable peer median to the 75</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percentile of the peer group. In addition, we provide our executive officers the opportunity to participate in the long-term success of USCB Financial Holdings by awarding stock options. Finally, we are committed to helping maintain the health and welfare of our executive officers and offer benefits packages that meet or exceed median levels of coverage.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right="240" w:firstLine="409"/>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Compensation Process. </w:t>
      </w:r>
      <w:r>
        <w:rPr>
          <w:rFonts w:ascii="Times New Roman" w:cs="Times New Roman" w:eastAsia="Times New Roman" w:hAnsi="Times New Roman"/>
          <w:sz w:val="20"/>
          <w:szCs w:val="20"/>
          <w:color w:val="auto"/>
        </w:rPr>
        <w:t>Our compensation committee regularly reviews our executive compensation to ensure it achieves our desired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goals and is responsible for approving compensation arrangements for our named executive officers. As part of this process, the committee annually reviews and approves corporate goals and objectives relevant to the compensation of our named executive officers, evaluates the performance of the named executive officers in light of these goals and objectives, and approves the compensation levels for the named executive officers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to our peers and the awards given to our named executive officers in past years.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Components of Compensation. </w:t>
      </w:r>
      <w:r>
        <w:rPr>
          <w:rFonts w:ascii="Times New Roman" w:cs="Times New Roman" w:eastAsia="Times New Roman" w:hAnsi="Times New Roman"/>
          <w:sz w:val="20"/>
          <w:szCs w:val="20"/>
          <w:color w:val="auto"/>
        </w:rPr>
        <w:t>Our executive compensation program consists primarily of the following elements:</w:t>
      </w:r>
    </w:p>
    <w:p>
      <w:pPr>
        <w:spacing w:after="0" w:line="23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compensation;</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bonuses;</w:t>
      </w: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(starting in 2022) and stock options;</w:t>
      </w: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our 401(k) plan, to which we make annual contributions;</w:t>
      </w: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and welfare benefits; and</w:t>
      </w:r>
    </w:p>
    <w:p>
      <w:pPr>
        <w:ind w:left="980" w:hanging="324"/>
        <w:spacing w:after="0"/>
        <w:tabs>
          <w:tab w:leader="none" w:pos="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perquisites.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Each of these elements is discussed in more detail under “—Narrative Discussion of Summary Compensation”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Named Executive Officers</w:t>
      </w:r>
    </w:p>
    <w:p>
      <w:pPr>
        <w:spacing w:after="0" w:line="233" w:lineRule="exact"/>
        <w:rPr>
          <w:sz w:val="20"/>
          <w:szCs w:val="20"/>
          <w:color w:val="auto"/>
        </w:rPr>
      </w:pPr>
    </w:p>
    <w:p>
      <w:pPr>
        <w:ind w:right="100" w:firstLine="409"/>
        <w:spacing w:after="0" w:line="254" w:lineRule="auto"/>
        <w:rPr>
          <w:sz w:val="20"/>
          <w:szCs w:val="20"/>
          <w:color w:val="auto"/>
        </w:rPr>
      </w:pPr>
      <w:r>
        <w:rPr>
          <w:rFonts w:ascii="Times New Roman" w:cs="Times New Roman" w:eastAsia="Times New Roman" w:hAnsi="Times New Roman"/>
          <w:sz w:val="20"/>
          <w:szCs w:val="20"/>
          <w:color w:val="auto"/>
        </w:rPr>
        <w:t>Our “named executive officers” are the individual who serves as our principal executive officer and our two other most highly compensated executive officers who were serving as executive officers at the end of 2021. Our named executive officers as of December 31, 2021 are noted in the following table, along with their 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624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20"/>
        </w:trPr>
        <w:tc>
          <w:tcPr>
            <w:tcW w:w="5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r>
      <w:tr>
        <w:trPr>
          <w:trHeight w:val="223"/>
        </w:trPr>
        <w:tc>
          <w:tcPr>
            <w:tcW w:w="50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Luis de la Aguilera</w:t>
            </w:r>
          </w:p>
        </w:tc>
        <w:tc>
          <w:tcPr>
            <w:tcW w:w="6240" w:type="dxa"/>
            <w:vAlign w:val="bottom"/>
            <w:gridSpan w:val="2"/>
            <w:shd w:val="clear" w:color="auto" w:fill="CCEEFF"/>
          </w:tcPr>
          <w:p>
            <w:pPr>
              <w:ind w:left="320"/>
              <w:spacing w:after="0" w:line="223" w:lineRule="exact"/>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Robert Anderson</w:t>
            </w:r>
          </w:p>
        </w:tc>
        <w:tc>
          <w:tcPr>
            <w:tcW w:w="624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Benigno Pazos</w:t>
            </w:r>
          </w:p>
        </w:tc>
        <w:tc>
          <w:tcPr>
            <w:tcW w:w="6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Executive Vice President and Chief Credit Officer</w:t>
            </w:r>
          </w:p>
        </w:tc>
      </w:tr>
    </w:tbl>
    <w:p>
      <w:pPr>
        <w:spacing w:after="0" w:line="207" w:lineRule="exact"/>
        <w:rPr>
          <w:sz w:val="20"/>
          <w:szCs w:val="20"/>
          <w:color w:val="auto"/>
        </w:rPr>
      </w:pPr>
    </w:p>
    <w:p>
      <w:pPr>
        <w:ind w:right="200" w:firstLine="406"/>
        <w:spacing w:after="0" w:line="249" w:lineRule="auto"/>
        <w:rPr>
          <w:sz w:val="20"/>
          <w:szCs w:val="20"/>
          <w:color w:val="auto"/>
        </w:rPr>
      </w:pPr>
      <w:r>
        <w:rPr>
          <w:rFonts w:ascii="Times New Roman" w:cs="Times New Roman" w:eastAsia="Times New Roman" w:hAnsi="Times New Roman"/>
          <w:sz w:val="20"/>
          <w:szCs w:val="20"/>
          <w:color w:val="auto"/>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33" w:lineRule="exact"/>
        <w:rPr>
          <w:sz w:val="20"/>
          <w:szCs w:val="20"/>
          <w:color w:val="auto"/>
        </w:rPr>
      </w:pPr>
    </w:p>
    <w:p>
      <w:pPr>
        <w:ind w:right="420" w:firstLine="406"/>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concerning the compensation paid to each of our named executive officers for fiscal year 2021. USCB Financial Holdings does not pay separate compensation to our named executive officers from U.S. Century Bank.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3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r>
      <w:tr>
        <w:trPr>
          <w:trHeight w:val="19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Luis de la Aguilera</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380,000</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5"/>
              </w:rPr>
              <w:t>46,252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1,227,052</w:t>
            </w:r>
          </w:p>
        </w:tc>
        <w:tc>
          <w:tcPr>
            <w:tcW w:w="4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5"/>
              </w:rPr>
              <w:t>41,729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681,729</w:t>
            </w:r>
          </w:p>
        </w:tc>
        <w:tc>
          <w:tcPr>
            <w:tcW w:w="4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7"/>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Robert Anderson</w:t>
            </w:r>
          </w:p>
        </w:tc>
        <w:tc>
          <w:tcPr>
            <w:tcW w:w="12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5"/>
              </w:rPr>
              <w:t>24,721</w:t>
            </w:r>
          </w:p>
        </w:tc>
        <w:tc>
          <w:tcPr>
            <w:tcW w:w="2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655,021</w:t>
            </w:r>
          </w:p>
        </w:tc>
        <w:tc>
          <w:tcPr>
            <w:tcW w:w="40" w:type="dxa"/>
            <w:vAlign w:val="bottom"/>
          </w:tcPr>
          <w:p>
            <w:pPr>
              <w:spacing w:after="0"/>
              <w:rPr>
                <w:sz w:val="16"/>
                <w:szCs w:val="16"/>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Executive Vice President and</w:t>
            </w:r>
          </w:p>
        </w:tc>
        <w:tc>
          <w:tcPr>
            <w:tcW w:w="12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98,500(1)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53,152(6)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305,652</w:t>
            </w:r>
          </w:p>
        </w:tc>
        <w:tc>
          <w:tcPr>
            <w:tcW w:w="40" w:type="dxa"/>
            <w:vAlign w:val="bottom"/>
          </w:tcPr>
          <w:p>
            <w:pPr>
              <w:spacing w:after="0"/>
              <w:rPr>
                <w:sz w:val="17"/>
                <w:szCs w:val="17"/>
                <w:color w:val="auto"/>
              </w:rPr>
            </w:pP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Benigno Pazos</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131,336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5"/>
              </w:rPr>
              <w:t>35,650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681,181</w:t>
            </w:r>
          </w:p>
        </w:tc>
        <w:tc>
          <w:tcPr>
            <w:tcW w:w="4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Executive Vice President and</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5"/>
              </w:rPr>
              <w:t>34,449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408,449</w:t>
            </w:r>
          </w:p>
        </w:tc>
        <w:tc>
          <w:tcPr>
            <w:tcW w:w="40" w:type="dxa"/>
            <w:vAlign w:val="bottom"/>
            <w:shd w:val="clear" w:color="auto" w:fill="CCEEFF"/>
          </w:tcPr>
          <w:p>
            <w:pPr>
              <w:spacing w:after="0"/>
              <w:rPr>
                <w:sz w:val="17"/>
                <w:szCs w:val="17"/>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Credit Officer</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ind w:right="240" w:firstLine="8"/>
        <w:spacing w:after="0" w:line="239" w:lineRule="auto"/>
        <w:tabs>
          <w:tab w:leader="none" w:pos="67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Anderson began employment with U.S. Century Bank on September 10, 2020. His annual salary of $325,000 was prorated for the period of</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 employment during fiscal year 2020.</w:t>
      </w:r>
    </w:p>
    <w:p>
      <w:pPr>
        <w:spacing w:after="0" w:line="207" w:lineRule="exact"/>
        <w:rPr>
          <w:rFonts w:ascii="Times New Roman" w:cs="Times New Roman" w:eastAsia="Times New Roman" w:hAnsi="Times New Roman"/>
          <w:sz w:val="20"/>
          <w:szCs w:val="20"/>
          <w:color w:val="auto"/>
        </w:rPr>
      </w:pPr>
    </w:p>
    <w:p>
      <w:pPr>
        <w:ind w:left="660" w:right="520" w:hanging="652"/>
        <w:spacing w:after="0" w:line="254" w:lineRule="auto"/>
        <w:tabs>
          <w:tab w:leader="none" w:pos="6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described in footnote (4) below, the amounts reported in the “Bonus” column represent annual discretionary bonuses earned by our named executive officers for the fiscal year 2021, based on the achievement of U.S. Century Bank performance objectives.</w:t>
      </w:r>
    </w:p>
    <w:p>
      <w:pPr>
        <w:spacing w:after="0" w:line="187" w:lineRule="exact"/>
        <w:rPr>
          <w:rFonts w:ascii="Times New Roman" w:cs="Times New Roman" w:eastAsia="Times New Roman" w:hAnsi="Times New Roman"/>
          <w:sz w:val="20"/>
          <w:szCs w:val="20"/>
          <w:color w:val="auto"/>
        </w:rPr>
      </w:pPr>
    </w:p>
    <w:p>
      <w:pPr>
        <w:jc w:val="both"/>
        <w:ind w:left="660" w:right="60" w:hanging="652"/>
        <w:spacing w:after="0" w:line="254" w:lineRule="auto"/>
        <w:tabs>
          <w:tab w:leader="none" w:pos="6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grant date fair value in accordance with FASB ASC topic 718 for stock options that were granted during the fiscal year. The assumptions used in valuing the stock option awards are set forth in Note 9 to the Consolidated Financial Statements included in the Annual Report on Form 10-K for the year ended December 31, 2021.</w:t>
      </w:r>
    </w:p>
    <w:p>
      <w:pPr>
        <w:spacing w:after="0" w:line="187"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sign-on bonus of $100,000 when hired.</w:t>
      </w:r>
    </w:p>
    <w:p>
      <w:pPr>
        <w:spacing w:after="0" w:line="229" w:lineRule="exact"/>
        <w:rPr>
          <w:rFonts w:ascii="Times New Roman" w:cs="Times New Roman" w:eastAsia="Times New Roman" w:hAnsi="Times New Roman"/>
          <w:sz w:val="20"/>
          <w:szCs w:val="20"/>
          <w:color w:val="auto"/>
        </w:rPr>
      </w:pPr>
    </w:p>
    <w:p>
      <w:pPr>
        <w:ind w:left="660" w:right="780" w:hanging="652"/>
        <w:spacing w:after="0" w:line="269" w:lineRule="auto"/>
        <w:tabs>
          <w:tab w:leader="none" w:pos="6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401(k) employer match, long-term disability insurance, group term life insurance, automobile allowance, phone allowance, and health insurance (medical/dental/vision), as shown in the following table for fiscal year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Long-</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Term</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Disability/</w:t>
            </w: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401(k)</w:t>
            </w: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Automobile</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Phone</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Health</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Group</w:t>
            </w:r>
          </w:p>
        </w:tc>
      </w:tr>
      <w:tr>
        <w:trPr>
          <w:trHeight w:val="21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Contribution</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Term Life</w:t>
            </w:r>
          </w:p>
        </w:tc>
        <w:tc>
          <w:tcPr>
            <w:tcW w:w="100" w:type="dxa"/>
            <w:vAlign w:val="bottom"/>
          </w:tcPr>
          <w:p>
            <w:pPr>
              <w:spacing w:after="0"/>
              <w:rPr>
                <w:sz w:val="18"/>
                <w:szCs w:val="18"/>
                <w:color w:val="auto"/>
              </w:rPr>
            </w:pPr>
          </w:p>
        </w:tc>
      </w:tr>
      <w:tr>
        <w:trPr>
          <w:trHeight w:val="19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Luis de la Aguilera</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20,384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10,425</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Robert Anderson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9,000</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8,721</w:t>
            </w:r>
          </w:p>
        </w:tc>
      </w:tr>
      <w:tr>
        <w:trPr>
          <w:trHeight w:val="20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Benigno Pazos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5,485</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9,000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9,339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10,626</w:t>
            </w:r>
          </w:p>
        </w:tc>
      </w:tr>
    </w:tbl>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Includes a $50,000 moving allowance pursuant to the terms of Mr. Anderson’s 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Narrative Discussion of Summary Compensation</w:t>
      </w:r>
    </w:p>
    <w:p>
      <w:pPr>
        <w:spacing w:after="0" w:line="229" w:lineRule="exact"/>
        <w:rPr>
          <w:sz w:val="20"/>
          <w:szCs w:val="20"/>
          <w:color w:val="auto"/>
        </w:rPr>
      </w:pPr>
    </w:p>
    <w:p>
      <w:pPr>
        <w:ind w:right="140" w:firstLine="445"/>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Base Salary. </w:t>
      </w:r>
      <w:r>
        <w:rPr>
          <w:rFonts w:ascii="Times New Roman" w:cs="Times New Roman" w:eastAsia="Times New Roman" w:hAnsi="Times New Roman"/>
          <w:sz w:val="20"/>
          <w:szCs w:val="20"/>
          <w:color w:val="auto"/>
        </w:rPr>
        <w:t>The base salaries of our named executive officers are reviewed and approved annually by the compensation committee,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Board ratification. 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 addition to considering the information obtained from such sources, our compensation committee has considered: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3" w:name="page24"/>
    <w:bookmarkEnd w:id="23"/>
    <w:p>
      <w:pPr>
        <w:ind w:left="980" w:hanging="324"/>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named executive officer’s scope of responsibility;</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named executive officer’s years of experience;</w:t>
      </w:r>
    </w:p>
    <w:p>
      <w:pPr>
        <w:ind w:left="980" w:hanging="324"/>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types and amount of the elements of compensation to be paid to each named executive officer;</w:t>
      </w:r>
    </w:p>
    <w:p>
      <w:pPr>
        <w:ind w:left="980" w:right="380" w:hanging="324"/>
        <w:spacing w:after="0" w:line="239"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 and performance with respect to other aspects of our operations, such as our growth, asset quality, profitability and other matters, including the status of our relationship with the banking regulatory agencies; and</w:t>
      </w:r>
    </w:p>
    <w:p>
      <w:pPr>
        <w:ind w:left="980" w:right="820" w:hanging="324"/>
        <w:spacing w:after="0" w:line="246"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named executive officer’s individual performance and contributions to our performance, including leadership and teamwork.</w:t>
      </w:r>
    </w:p>
    <w:p>
      <w:pPr>
        <w:spacing w:after="0" w:line="195" w:lineRule="exact"/>
        <w:rPr>
          <w:sz w:val="20"/>
          <w:szCs w:val="20"/>
          <w:color w:val="auto"/>
        </w:rPr>
      </w:pPr>
    </w:p>
    <w:p>
      <w:pPr>
        <w:ind w:firstLine="459"/>
        <w:spacing w:after="0" w:line="274" w:lineRule="auto"/>
        <w:rPr>
          <w:sz w:val="20"/>
          <w:szCs w:val="20"/>
          <w:color w:val="auto"/>
        </w:rPr>
      </w:pPr>
      <w:r>
        <w:rPr>
          <w:rFonts w:ascii="Times New Roman" w:cs="Times New Roman" w:eastAsia="Times New Roman" w:hAnsi="Times New Roman"/>
          <w:sz w:val="19"/>
          <w:szCs w:val="19"/>
          <w:color w:val="auto"/>
        </w:rPr>
        <w:t>Based on market studies and the performance of the named executive officers, the compensation committee approved an increase in the base salary of Mr. Aguilera by $50,000, to $500,000 per year, and an increase in the base salary of Mr. Pazos by $25,000, to $300,000 per year. Mr. Anderson received a base salary of $325,000 pursuant to the terms of his employment agreement entered into in September 2020.</w:t>
      </w:r>
    </w:p>
    <w:p>
      <w:pPr>
        <w:spacing w:after="0" w:line="166" w:lineRule="exact"/>
        <w:rPr>
          <w:sz w:val="20"/>
          <w:szCs w:val="20"/>
          <w:color w:val="auto"/>
        </w:rPr>
      </w:pPr>
    </w:p>
    <w:p>
      <w:pPr>
        <w:jc w:val="both"/>
        <w:ind w:right="300" w:firstLine="445"/>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Bonuses. </w:t>
      </w:r>
      <w:r>
        <w:rPr>
          <w:rFonts w:ascii="Times New Roman" w:cs="Times New Roman" w:eastAsia="Times New Roman" w:hAnsi="Times New Roman"/>
          <w:sz w:val="20"/>
          <w:szCs w:val="20"/>
          <w:color w:val="auto"/>
        </w:rPr>
        <w:t>Our named executive officers are also eligible to receive an annual cash bonus based on our achievement of various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metrics, including earnings, 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w:t>
      </w:r>
    </w:p>
    <w:p>
      <w:pPr>
        <w:spacing w:after="0" w:line="189" w:lineRule="exact"/>
        <w:rPr>
          <w:sz w:val="20"/>
          <w:szCs w:val="20"/>
          <w:color w:val="auto"/>
        </w:rPr>
      </w:pPr>
    </w:p>
    <w:p>
      <w:pPr>
        <w:ind w:right="40" w:firstLine="445"/>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Option Grants. </w:t>
      </w:r>
      <w:r>
        <w:rPr>
          <w:rFonts w:ascii="Times New Roman" w:cs="Times New Roman" w:eastAsia="Times New Roman" w:hAnsi="Times New Roman"/>
          <w:sz w:val="20"/>
          <w:szCs w:val="20"/>
          <w:color w:val="auto"/>
        </w:rPr>
        <w:t>Grants of stock options in 2021 were awarded to our named executive officers for recognition of their efforts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successfully completing our initial public offering in 2021, their overall contributions to U.S. Century Bank’s performance and their tenure. In addition, grants of stock options are intended to align our management team’s interests with the goals of our shareholders. Upon recommendation of the President and Chief Executive Officer, the compensation committee approved and recommended for Board ratification grants of 160,000 stock options for Mr. Aguilera, 90,000 stock options for Mr. Pazos, and 60,000 options for the Mr. Anderson in each case vesting over three years on the anniversary date of the date of grant.</w:t>
      </w:r>
    </w:p>
    <w:p>
      <w:pPr>
        <w:spacing w:after="0" w:line="192" w:lineRule="exact"/>
        <w:rPr>
          <w:sz w:val="20"/>
          <w:szCs w:val="20"/>
          <w:color w:val="auto"/>
        </w:rPr>
      </w:pPr>
    </w:p>
    <w:p>
      <w:pPr>
        <w:ind w:right="40" w:firstLine="445"/>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 Century Bank 401(k) Plan. </w:t>
      </w:r>
      <w:r>
        <w:rPr>
          <w:rFonts w:ascii="Times New Roman" w:cs="Times New Roman" w:eastAsia="Times New Roman" w:hAnsi="Times New Roman"/>
          <w:sz w:val="19"/>
          <w:szCs w:val="19"/>
          <w:color w:val="auto"/>
        </w:rPr>
        <w:t>Our 401(k) Plan is designed to provide retirement benefits to all eligible full-time and part-time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employees. The 401(k) Plan provides employees the opportunity to save for retirement on a tax-favored basis. Our named executive officers, all of whom were eligible to participate in the 401(k) Plan during the current year, 2021 and 2020, may elect to participate in the 401(k) Plan on the same basis as all other employees. We have elected to match 100% of the first 2% of the employee’s annual contribution.</w:t>
      </w:r>
    </w:p>
    <w:p>
      <w:pPr>
        <w:spacing w:after="0" w:line="172" w:lineRule="exact"/>
        <w:rPr>
          <w:sz w:val="20"/>
          <w:szCs w:val="20"/>
          <w:color w:val="auto"/>
        </w:rPr>
      </w:pPr>
    </w:p>
    <w:p>
      <w:pPr>
        <w:ind w:right="140" w:firstLine="445"/>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 and Welfare Benefits. </w:t>
      </w:r>
      <w:r>
        <w:rPr>
          <w:rFonts w:ascii="Times New Roman" w:cs="Times New Roman" w:eastAsia="Times New Roman" w:hAnsi="Times New Roman"/>
          <w:sz w:val="20"/>
          <w:szCs w:val="20"/>
          <w:color w:val="auto"/>
        </w:rPr>
        <w:t>Our named executive officers are eligible to participate in the same benefit plans designed for all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full-time employees, including health, dental, vision, disability and basic group life insurance coverage. Our named executive officers are entitled to long term disability in an amount equal to one time their respective base salary, subject to a maximum of $350,000.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spacing w:after="0" w:line="194" w:lineRule="exact"/>
        <w:rPr>
          <w:sz w:val="20"/>
          <w:szCs w:val="20"/>
          <w:color w:val="auto"/>
        </w:rPr>
      </w:pPr>
    </w:p>
    <w:p>
      <w:pPr>
        <w:ind w:right="100" w:firstLine="445"/>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Perquisites. </w:t>
      </w:r>
      <w:r>
        <w:rPr>
          <w:rFonts w:ascii="Times New Roman" w:cs="Times New Roman" w:eastAsia="Times New Roman" w:hAnsi="Times New Roman"/>
          <w:sz w:val="20"/>
          <w:szCs w:val="20"/>
          <w:color w:val="auto"/>
        </w:rPr>
        <w:t>We provide our named executive officers with a limited number of perquisites that we believe are reasonable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consistent with our overall 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2021 Fiscal Year-End</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provides a summary of equity awards outstanding as of December 31, 2021 for the named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6"/>
                <w:szCs w:val="26"/>
                <w:b w:val="1"/>
                <w:b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18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32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Total Option</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232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4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20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unexercisable</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Luis de la Aguilera</w:t>
            </w: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40,000(2)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40,000(3)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13,334</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160,000(3)</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Anderson</w:t>
            </w: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30,000(3)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9/10/2030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60,000(3)</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Benigno Pazos</w:t>
            </w: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20,000(3)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6,667</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17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90,000(3)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90,000</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12.05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_______________________________</w:t>
      </w:r>
    </w:p>
    <w:p>
      <w:pPr>
        <w:ind w:left="380" w:right="220" w:hanging="318"/>
        <w:spacing w:after="0" w:line="246" w:lineRule="auto"/>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equity award is subject to the terms of our 2015 Amended and Restated Equity Incentive Plan. Amounts reflect the reverse stock split effected in June 2021.</w:t>
      </w:r>
    </w:p>
    <w:p>
      <w:pPr>
        <w:spacing w:after="0" w:line="195" w:lineRule="exact"/>
        <w:rPr>
          <w:rFonts w:ascii="Times New Roman" w:cs="Times New Roman" w:eastAsia="Times New Roman" w:hAnsi="Times New Roman"/>
          <w:sz w:val="20"/>
          <w:szCs w:val="20"/>
          <w:color w:val="auto"/>
        </w:rPr>
      </w:pPr>
    </w:p>
    <w:p>
      <w:pPr>
        <w:ind w:left="380" w:right="40" w:hanging="318"/>
        <w:spacing w:after="0" w:line="269" w:lineRule="auto"/>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options vested over a four year period from the grant date, with one-fourth of the options under the grant becoming exercisable on each of the first four anniversaries of the grant date.</w:t>
      </w:r>
    </w:p>
    <w:p>
      <w:pPr>
        <w:spacing w:after="0" w:line="172" w:lineRule="exact"/>
        <w:rPr>
          <w:rFonts w:ascii="Times New Roman" w:cs="Times New Roman" w:eastAsia="Times New Roman" w:hAnsi="Times New Roman"/>
          <w:sz w:val="20"/>
          <w:szCs w:val="20"/>
          <w:color w:val="auto"/>
        </w:rPr>
      </w:pPr>
    </w:p>
    <w:p>
      <w:pPr>
        <w:ind w:left="380" w:right="260" w:hanging="318"/>
        <w:spacing w:after="0" w:line="269" w:lineRule="auto"/>
        <w:tabs>
          <w:tab w:leader="none" w:pos="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options vest over a three year period from the grant date, with one-third of the options under the grant becoming exercisable on each of the first three anniversaries of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233" w:lineRule="exact"/>
        <w:rPr>
          <w:sz w:val="20"/>
          <w:szCs w:val="20"/>
          <w:color w:val="auto"/>
        </w:rPr>
      </w:pPr>
    </w:p>
    <w:p>
      <w:pPr>
        <w:ind w:right="440" w:firstLine="406"/>
        <w:spacing w:after="0" w:line="254" w:lineRule="auto"/>
        <w:rPr>
          <w:sz w:val="20"/>
          <w:szCs w:val="20"/>
          <w:color w:val="auto"/>
        </w:rPr>
      </w:pPr>
      <w:r>
        <w:rPr>
          <w:rFonts w:ascii="Times New Roman" w:cs="Times New Roman" w:eastAsia="Times New Roman" w:hAnsi="Times New Roman"/>
          <w:sz w:val="20"/>
          <w:szCs w:val="20"/>
          <w:color w:val="auto"/>
        </w:rPr>
        <w:t>The following provides a more detailed description of the employment agreements with Messrs. de la Aguilera and Anderson. U.S. Century Bank has entered into a change in control agreement with Mr. Pazos. See “Potential Payments upon Termination or Change in Control.”</w:t>
      </w:r>
    </w:p>
    <w:p>
      <w:pPr>
        <w:spacing w:after="0" w:line="184" w:lineRule="exact"/>
        <w:rPr>
          <w:sz w:val="20"/>
          <w:szCs w:val="20"/>
          <w:color w:val="auto"/>
        </w:rPr>
      </w:pPr>
    </w:p>
    <w:p>
      <w:pPr>
        <w:ind w:right="40" w:firstLine="445"/>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Luis de la Aguilera. </w:t>
      </w:r>
      <w:r>
        <w:rPr>
          <w:rFonts w:ascii="Times New Roman" w:cs="Times New Roman" w:eastAsia="Times New Roman" w:hAnsi="Times New Roman"/>
          <w:sz w:val="20"/>
          <w:szCs w:val="20"/>
          <w:color w:val="auto"/>
        </w:rPr>
        <w:t>U.S. Century Bank has entered into an employment agreement with Mr. de la Aguilera dated April 16, 2016,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was subsequently amended on April 19, 2019 and April 30, 2019. Mr. de la Aguilera serves as U.S. Century Bank’s Chief Executive Officer. The employment agreement had an initial termination date of three years after the effective date, which was subsequently extended pursuant to an amendment adopted in 2019 to April 30, 2022, and is subject to one-year extensions if approved by the Board. The agreement provides for a minimum base salary of $450,000 per year, which may be increased as determined by the Board. For any calendar year, Mr. de la Aguilera may also earn a cash bonus based on a percentage of his base salary, depending on the satisfaction of performance criteria for such calendar year. The agreement also provided for a grant of nonqualified stock options, with the first grants subject to vesting over a four year period and subsequent grants subject to vesting over three years.</w:t>
      </w:r>
    </w:p>
    <w:p>
      <w:pPr>
        <w:spacing w:after="0" w:line="199" w:lineRule="exact"/>
        <w:rPr>
          <w:sz w:val="20"/>
          <w:szCs w:val="20"/>
          <w:color w:val="auto"/>
        </w:rPr>
      </w:pPr>
    </w:p>
    <w:p>
      <w:pPr>
        <w:ind w:firstLine="409"/>
        <w:spacing w:after="0" w:line="242" w:lineRule="auto"/>
        <w:rPr>
          <w:sz w:val="20"/>
          <w:szCs w:val="20"/>
          <w:color w:val="auto"/>
        </w:rPr>
      </w:pPr>
      <w:r>
        <w:rPr>
          <w:rFonts w:ascii="Times New Roman" w:cs="Times New Roman" w:eastAsia="Times New Roman" w:hAnsi="Times New Roman"/>
          <w:sz w:val="20"/>
          <w:szCs w:val="20"/>
          <w:color w:val="auto"/>
        </w:rPr>
        <w:t>In the event that Mr. de la Aguilera’s employment is terminated by U.S. Century Bank for other than cause (as defined in the employment agreement), disability, retirement, or his death, or by Mr. de la Aguilera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 Century Bank (as defined in the employment agreement), Mr. de la Aguilera’s employment is terminated by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and dental benefits. Mr. de la Aguilera’s right to the cash severance benefits described above are conditioned upon his execution of a general release of claims against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5" w:name="page26"/>
    <w:bookmarkEnd w:id="25"/>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The benefits provided under Mr. de la Aguilera’s employment agreement are subject to certain restrictions, as further set forth in the agreement. Further, if Mr. de la Aguilera’s employment is terminated by U.S. Century Bank for cause or without cause, before or after a change in control, or by Mr. de la Aguilera other than for disability, he will be subject to non-competition and non-solicitation restrictions for 12 months after the termination of his employment.</w:t>
      </w:r>
    </w:p>
    <w:p>
      <w:pPr>
        <w:spacing w:after="0" w:line="185" w:lineRule="exact"/>
        <w:rPr>
          <w:sz w:val="20"/>
          <w:szCs w:val="20"/>
          <w:color w:val="auto"/>
        </w:rPr>
      </w:pPr>
    </w:p>
    <w:p>
      <w:pPr>
        <w:ind w:firstLine="445"/>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Anderson. </w:t>
      </w:r>
      <w:r>
        <w:rPr>
          <w:rFonts w:ascii="Times New Roman" w:cs="Times New Roman" w:eastAsia="Times New Roman" w:hAnsi="Times New Roman"/>
          <w:sz w:val="20"/>
          <w:szCs w:val="20"/>
          <w:color w:val="auto"/>
        </w:rPr>
        <w:t>U.S. Century Bank has entered into an employment agreement with Mr. Anderson dated September 11, 2020. Mr.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Anderson serves as U.S. Century Bank’s Executive Vice President and Chief Financial Officer. The employment agreement has an initial termination date of three years after the effective date, subject to one-year extensions if approved by the Board. The agreement provides for a minimum base salary of $325,000 per year, which may be increased as determined by the Board. The agreement also provided for a $100,000 sign-on bonus and up to a $50,000 moving allowance. Mr. Anderson may also earn cash bonus payments as may be determined by the Board. The agreement also provided for a grant of nonqualified stock options, subject to vesting over a three year period.</w:t>
      </w:r>
    </w:p>
    <w:p>
      <w:pPr>
        <w:spacing w:after="0" w:line="196" w:lineRule="exact"/>
        <w:rPr>
          <w:sz w:val="20"/>
          <w:szCs w:val="20"/>
          <w:color w:val="auto"/>
        </w:rPr>
      </w:pPr>
    </w:p>
    <w:p>
      <w:pPr>
        <w:ind w:right="20" w:firstLine="409"/>
        <w:spacing w:after="0" w:line="242" w:lineRule="auto"/>
        <w:rPr>
          <w:sz w:val="20"/>
          <w:szCs w:val="20"/>
          <w:color w:val="auto"/>
        </w:rPr>
      </w:pPr>
      <w:r>
        <w:rPr>
          <w:rFonts w:ascii="Times New Roman" w:cs="Times New Roman" w:eastAsia="Times New Roman" w:hAnsi="Times New Roman"/>
          <w:sz w:val="20"/>
          <w:szCs w:val="20"/>
          <w:color w:val="auto"/>
        </w:rPr>
        <w:t>In the event that Mr. Anderson’s employment is terminated by U.S. Century Bank for other than cause (as defined in the employment agreement), disability, retirement, or his death, or by Mr. Anderson for good reason,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 Century Bank (as defined in the employment agreement), Mr. Anderson’s employment is terminated by U.S. Century Bank for other than cause, disability, retirement, or his death, or by Mr. Anderson for good reason, then he shall be entitled to a cash severance amount equal to two times his then current annual base salary, plus a continuation of certain medical and dental benefits. Mr. Anderson’s right to the cash severance benefits described above are conditioned upon his execution of a general release of claims against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spacing w:after="0" w:line="203" w:lineRule="exact"/>
        <w:rPr>
          <w:sz w:val="20"/>
          <w:szCs w:val="20"/>
          <w:color w:val="auto"/>
        </w:rPr>
      </w:pPr>
    </w:p>
    <w:p>
      <w:pPr>
        <w:ind w:firstLine="406"/>
        <w:spacing w:after="0" w:line="249" w:lineRule="auto"/>
        <w:rPr>
          <w:sz w:val="20"/>
          <w:szCs w:val="20"/>
          <w:color w:val="auto"/>
        </w:rPr>
      </w:pPr>
      <w:r>
        <w:rPr>
          <w:rFonts w:ascii="Times New Roman" w:cs="Times New Roman" w:eastAsia="Times New Roman" w:hAnsi="Times New Roman"/>
          <w:sz w:val="20"/>
          <w:szCs w:val="20"/>
          <w:color w:val="auto"/>
        </w:rPr>
        <w:t>The benefits provided under Mr. Anderson’s employment agreement are subject to certain restrictions, as further set forth in the agreement. Further, if Mr. Anderson’s employment is terminated by U.S. Century Bank for cause or without cause, before or after a change in control, or by Mr. Anderson other than for disability, he will be subject to non-competition and non-solicitation restrictions for 12 months after the termination of his employment.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spacing w:after="0" w:line="233" w:lineRule="exact"/>
        <w:rPr>
          <w:sz w:val="20"/>
          <w:szCs w:val="20"/>
          <w:color w:val="auto"/>
        </w:rPr>
      </w:pPr>
    </w:p>
    <w:p>
      <w:pPr>
        <w:ind w:right="20" w:firstLine="406"/>
        <w:spacing w:after="0" w:line="241" w:lineRule="auto"/>
        <w:rPr>
          <w:sz w:val="20"/>
          <w:szCs w:val="20"/>
          <w:color w:val="auto"/>
        </w:rPr>
      </w:pPr>
      <w:r>
        <w:rPr>
          <w:rFonts w:ascii="Times New Roman" w:cs="Times New Roman" w:eastAsia="Times New Roman" w:hAnsi="Times New Roman"/>
          <w:sz w:val="20"/>
          <w:szCs w:val="20"/>
          <w:color w:val="auto"/>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up to 600,000 restricted stock awards.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and up to 600,000 shares subject to the plan can consist of restricted stock awards.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233" w:lineRule="exact"/>
        <w:rPr>
          <w:sz w:val="20"/>
          <w:szCs w:val="20"/>
          <w:color w:val="auto"/>
        </w:rPr>
      </w:pPr>
    </w:p>
    <w:p>
      <w:pPr>
        <w:ind w:right="140" w:firstLine="409"/>
        <w:spacing w:after="0" w:line="269" w:lineRule="auto"/>
        <w:rPr>
          <w:sz w:val="20"/>
          <w:szCs w:val="20"/>
          <w:color w:val="auto"/>
        </w:rPr>
      </w:pPr>
      <w:r>
        <w:rPr>
          <w:rFonts w:ascii="Times New Roman" w:cs="Times New Roman" w:eastAsia="Times New Roman" w:hAnsi="Times New Roman"/>
          <w:sz w:val="20"/>
          <w:szCs w:val="20"/>
          <w:color w:val="auto"/>
        </w:rPr>
        <w:t>U.S. Century Bank’s employment agreements with Mr. de la Aguilera and Mr. Anderson, respectively, contain benefits payable upon a change in control. See “Employment Agreements—Luis de la Aguilera” and “Employment Agreements—Robert Anderson.”</w:t>
      </w:r>
    </w:p>
    <w:p>
      <w:pPr>
        <w:spacing w:after="0" w:line="173" w:lineRule="exact"/>
        <w:rPr>
          <w:sz w:val="20"/>
          <w:szCs w:val="20"/>
          <w:color w:val="auto"/>
        </w:rPr>
      </w:pPr>
    </w:p>
    <w:p>
      <w:pPr>
        <w:ind w:firstLine="409"/>
        <w:spacing w:after="0" w:line="246" w:lineRule="auto"/>
        <w:rPr>
          <w:sz w:val="20"/>
          <w:szCs w:val="20"/>
          <w:color w:val="auto"/>
        </w:rPr>
      </w:pPr>
      <w:r>
        <w:rPr>
          <w:rFonts w:ascii="Times New Roman" w:cs="Times New Roman" w:eastAsia="Times New Roman" w:hAnsi="Times New Roman"/>
          <w:sz w:val="20"/>
          <w:szCs w:val="20"/>
          <w:color w:val="auto"/>
        </w:rPr>
        <w:t>U.S. Century Bank has entered into a change in control agreement with Benigno Pazos, who serves as U.S. Century Bank’s Chief Credit Officer, dated August 2, 2019. The agreement provides that, in the event of a change in control (as defined in the agreement), for the remaining term of Mr. Pazos’s employment with U.S. Century Bank, U.S. Century Bank will pay Mr. Pazos a lump sum payment equal to 1.5 times his annual base salary applicable for the one year period prior to the change in control, to be paid within 30 days of the consummation of the change in control.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313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 (Proposal Two)</w:t>
      </w:r>
    </w:p>
    <w:p>
      <w:pPr>
        <w:spacing w:after="0" w:line="221" w:lineRule="exact"/>
        <w:rPr>
          <w:sz w:val="20"/>
          <w:szCs w:val="20"/>
          <w:color w:val="auto"/>
        </w:rPr>
      </w:pPr>
    </w:p>
    <w:p>
      <w:pPr>
        <w:ind w:right="20" w:firstLine="409"/>
        <w:spacing w:after="0" w:line="246" w:lineRule="auto"/>
        <w:rPr>
          <w:sz w:val="20"/>
          <w:szCs w:val="20"/>
          <w:color w:val="auto"/>
        </w:rPr>
      </w:pPr>
      <w:r>
        <w:rPr>
          <w:rFonts w:ascii="Times New Roman" w:cs="Times New Roman" w:eastAsia="Times New Roman" w:hAnsi="Times New Roman"/>
          <w:sz w:val="20"/>
          <w:szCs w:val="20"/>
          <w:color w:val="auto"/>
        </w:rPr>
        <w:t>Our audit and risk committee has appointed Crowe LLP, independent registered public accounting firm, to perform the audit of USCB Financial Holdings’ financial statements for the year ending December 31, 2022, and further directed that their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spacing w:after="0" w:line="198" w:lineRule="exact"/>
        <w:rPr>
          <w:sz w:val="20"/>
          <w:szCs w:val="20"/>
          <w:color w:val="auto"/>
        </w:rPr>
      </w:pPr>
    </w:p>
    <w:p>
      <w:pPr>
        <w:ind w:right="20" w:firstLine="406"/>
        <w:spacing w:after="0" w:line="249" w:lineRule="auto"/>
        <w:rPr>
          <w:sz w:val="20"/>
          <w:szCs w:val="20"/>
          <w:color w:val="auto"/>
        </w:rPr>
      </w:pPr>
      <w:r>
        <w:rPr>
          <w:rFonts w:ascii="Times New Roman" w:cs="Times New Roman" w:eastAsia="Times New Roman" w:hAnsi="Times New Roman"/>
          <w:sz w:val="20"/>
          <w:szCs w:val="20"/>
          <w:color w:val="auto"/>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one or more representatives at the Annual Meeting who will have an opportunity to make a statement, if they so desire, and will be available to respond to appropriate questions.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27" w:name="page28"/>
    <w:bookmarkEnd w:id="27"/>
    <w:p>
      <w:pPr>
        <w:ind w:right="40" w:firstLine="409"/>
        <w:spacing w:after="0" w:line="249" w:lineRule="auto"/>
        <w:rPr>
          <w:sz w:val="20"/>
          <w:szCs w:val="20"/>
          <w:color w:val="auto"/>
        </w:rPr>
      </w:pPr>
      <w:r>
        <w:rPr>
          <w:rFonts w:ascii="Times New Roman" w:cs="Times New Roman" w:eastAsia="Times New Roman" w:hAnsi="Times New Roman"/>
          <w:sz w:val="20"/>
          <w:szCs w:val="20"/>
          <w:color w:val="auto"/>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exception to pre-approval contained in the SEC’s rules.</w:t>
      </w:r>
    </w:p>
    <w:p>
      <w:pPr>
        <w:spacing w:after="0" w:line="193" w:lineRule="exact"/>
        <w:rPr>
          <w:sz w:val="20"/>
          <w:szCs w:val="20"/>
          <w:color w:val="auto"/>
        </w:rPr>
      </w:pPr>
    </w:p>
    <w:p>
      <w:pPr>
        <w:ind w:right="80" w:firstLine="406"/>
        <w:spacing w:after="0" w:line="243" w:lineRule="auto"/>
        <w:rPr>
          <w:sz w:val="20"/>
          <w:szCs w:val="20"/>
          <w:color w:val="auto"/>
        </w:rPr>
      </w:pPr>
      <w:r>
        <w:rPr>
          <w:rFonts w:ascii="Times New Roman" w:cs="Times New Roman" w:eastAsia="Times New Roman" w:hAnsi="Times New Roman"/>
          <w:sz w:val="20"/>
          <w:szCs w:val="20"/>
          <w:color w:val="auto"/>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Fees</w:t>
      </w:r>
    </w:p>
    <w:p>
      <w:pPr>
        <w:spacing w:after="0" w:line="233" w:lineRule="exact"/>
        <w:rPr>
          <w:sz w:val="20"/>
          <w:szCs w:val="20"/>
          <w:color w:val="auto"/>
        </w:rPr>
      </w:pPr>
    </w:p>
    <w:p>
      <w:pPr>
        <w:jc w:val="both"/>
        <w:ind w:right="400" w:firstLine="406"/>
        <w:spacing w:after="0" w:line="254" w:lineRule="auto"/>
        <w:rPr>
          <w:sz w:val="20"/>
          <w:szCs w:val="20"/>
          <w:color w:val="auto"/>
        </w:rPr>
      </w:pPr>
      <w:r>
        <w:rPr>
          <w:rFonts w:ascii="Times New Roman" w:cs="Times New Roman" w:eastAsia="Times New Roman" w:hAnsi="Times New Roman"/>
          <w:sz w:val="20"/>
          <w:szCs w:val="20"/>
          <w:color w:val="auto"/>
        </w:rPr>
        <w:t>The following table sets forth the aggregate fees paid by us to Crowe LLP for professional services in connection with the audit of USCB Financial Holdings’ consolidated financial statements for the years ended December 31, 2021 and 2020 and the fees paid by us to Crowe LLP for tax services during the years ended December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60" w:type="dxa"/>
            <w:vAlign w:val="bottom"/>
            <w:gridSpan w:val="6"/>
          </w:tcPr>
          <w:p>
            <w:pPr>
              <w:ind w:left="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3"/>
        </w:trPr>
        <w:tc>
          <w:tcPr>
            <w:tcW w:w="80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auto"/>
              </w:rPr>
              <w:t>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b w:val="1"/>
                <w:bCs w:val="1"/>
                <w:color w:val="auto"/>
              </w:rPr>
              <w:t>2020</w:t>
            </w:r>
          </w:p>
        </w:tc>
        <w:tc>
          <w:tcPr>
            <w:tcW w:w="100" w:type="dxa"/>
            <w:vAlign w:val="bottom"/>
          </w:tcPr>
          <w:p>
            <w:pPr>
              <w:spacing w:after="0"/>
              <w:rPr>
                <w:sz w:val="19"/>
                <w:szCs w:val="19"/>
                <w:color w:val="auto"/>
              </w:rPr>
            </w:pPr>
          </w:p>
        </w:tc>
      </w:tr>
      <w:tr>
        <w:trPr>
          <w:trHeight w:val="223"/>
        </w:trPr>
        <w:tc>
          <w:tcPr>
            <w:tcW w:w="80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16"/>
                <w:szCs w:val="16"/>
                <w:color w:val="auto"/>
              </w:rPr>
              <w:t>(1)</w:t>
            </w:r>
          </w:p>
        </w:tc>
        <w:tc>
          <w:tcPr>
            <w:tcW w:w="280" w:type="dxa"/>
            <w:vAlign w:val="bottom"/>
            <w:shd w:val="clear" w:color="auto" w:fill="CCEEFF"/>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485,000</w:t>
            </w:r>
          </w:p>
        </w:tc>
        <w:tc>
          <w:tcPr>
            <w:tcW w:w="420" w:type="dxa"/>
            <w:vAlign w:val="bottom"/>
            <w:gridSpan w:val="2"/>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497,500</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Audit-related fees</w:t>
            </w:r>
            <w:r>
              <w:rPr>
                <w:rFonts w:ascii="Times New Roman" w:cs="Times New Roman" w:eastAsia="Times New Roman" w:hAnsi="Times New Roman"/>
                <w:sz w:val="16"/>
                <w:szCs w:val="16"/>
                <w:color w:val="auto"/>
              </w:rPr>
              <w:t>(2)</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348,500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92,863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25,419</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All other fees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23"/>
        </w:trPr>
        <w:tc>
          <w:tcPr>
            <w:tcW w:w="80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80" w:type="dxa"/>
            <w:vAlign w:val="bottom"/>
            <w:shd w:val="clear" w:color="auto" w:fill="CCEEFF"/>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926,363</w:t>
            </w:r>
          </w:p>
        </w:tc>
        <w:tc>
          <w:tcPr>
            <w:tcW w:w="420" w:type="dxa"/>
            <w:vAlign w:val="bottom"/>
            <w:gridSpan w:val="2"/>
            <w:shd w:val="clear" w:color="auto" w:fill="CCEEFF"/>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522,919</w:t>
            </w:r>
          </w:p>
        </w:tc>
      </w:tr>
      <w:tr>
        <w:trPr>
          <w:trHeight w:val="229"/>
        </w:trPr>
        <w:tc>
          <w:tcPr>
            <w:tcW w:w="80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____________________</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ind w:left="660" w:right="40" w:hanging="652"/>
        <w:spacing w:after="0" w:line="241" w:lineRule="auto"/>
        <w:tabs>
          <w:tab w:leader="none" w:pos="67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consist of fees for professional services rendered for the audit of USCB Financial Holdings’ financial statements for fiscal 2021 and U.S. Century Bank’s financial statements for fiscal 2020., review of financial statements included in USCB Financial Holdings’ quarterly reports and for services normally provided by the independent auditor in connection with statutory and regulatory filings or engagements.</w:t>
      </w:r>
    </w:p>
    <w:p>
      <w:pPr>
        <w:spacing w:after="0" w:line="201"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fees paid in connection with U.S. Century Bank’s initial public offering in July 2021.</w:t>
      </w:r>
    </w:p>
    <w:p>
      <w:pPr>
        <w:spacing w:after="0" w:line="229"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paid for tax compliance.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xml:space="preserve">The Board of Directors recommends that you vote </w:t>
      </w:r>
      <w:r>
        <w:rPr>
          <w:rFonts w:ascii="Times New Roman" w:cs="Times New Roman" w:eastAsia="Times New Roman" w:hAnsi="Times New Roman"/>
          <w:sz w:val="25"/>
          <w:szCs w:val="25"/>
          <w:b w:val="1"/>
          <w:bCs w:val="1"/>
          <w:u w:val="single" w:color="auto"/>
          <w:color w:val="auto"/>
        </w:rPr>
        <w:t>FOR</w:t>
      </w:r>
      <w:r>
        <w:rPr>
          <w:rFonts w:ascii="Times New Roman" w:cs="Times New Roman" w:eastAsia="Times New Roman" w:hAnsi="Times New Roman"/>
          <w:sz w:val="25"/>
          <w:szCs w:val="25"/>
          <w:b w:val="1"/>
          <w:bCs w:val="1"/>
          <w:color w:val="auto"/>
        </w:rPr>
        <w:t xml:space="preserve"> the ratification of the appointment</w:t>
      </w:r>
    </w:p>
    <w:p>
      <w:pPr>
        <w:spacing w:after="0" w:line="44" w:lineRule="exact"/>
        <w:rPr>
          <w:sz w:val="20"/>
          <w:szCs w:val="20"/>
          <w:color w:val="auto"/>
        </w:rPr>
      </w:pPr>
    </w:p>
    <w:p>
      <w:pPr>
        <w:ind w:left="4580" w:right="320" w:hanging="3683"/>
        <w:spacing w:after="0" w:line="258" w:lineRule="auto"/>
        <w:rPr>
          <w:sz w:val="20"/>
          <w:szCs w:val="20"/>
          <w:color w:val="auto"/>
        </w:rPr>
      </w:pPr>
      <w:r>
        <w:rPr>
          <w:rFonts w:ascii="Times New Roman" w:cs="Times New Roman" w:eastAsia="Times New Roman" w:hAnsi="Times New Roman"/>
          <w:sz w:val="25"/>
          <w:szCs w:val="25"/>
          <w:b w:val="1"/>
          <w:bCs w:val="1"/>
          <w:color w:val="auto"/>
        </w:rPr>
        <w:t>of Crowe LLP as our independent registered public accounting firm for the fiscal year ending December 31, 2022.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firstLine="406"/>
        <w:spacing w:after="0" w:line="243" w:lineRule="auto"/>
        <w:rPr>
          <w:sz w:val="20"/>
          <w:szCs w:val="20"/>
          <w:color w:val="auto"/>
        </w:rPr>
      </w:pPr>
      <w:r>
        <w:rPr>
          <w:rFonts w:ascii="Times New Roman" w:cs="Times New Roman" w:eastAsia="Times New Roman" w:hAnsi="Times New Roman"/>
          <w:sz w:val="20"/>
          <w:szCs w:val="20"/>
          <w:color w:val="auto"/>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cs="Times New Roman" w:eastAsia="Times New Roman" w:hAnsi="Times New Roman"/>
          <w:sz w:val="20"/>
          <w:szCs w:val="20"/>
          <w:i w:val="1"/>
          <w:iCs w:val="1"/>
          <w:color w:val="auto"/>
        </w:rPr>
        <w:t>(Communications with Audit Committees)</w:t>
      </w:r>
      <w:r>
        <w:rPr>
          <w:rFonts w:ascii="Times New Roman" w:cs="Times New Roman" w:eastAsia="Times New Roman" w:hAnsi="Times New Roman"/>
          <w:sz w:val="20"/>
          <w:szCs w:val="20"/>
          <w:color w:val="auto"/>
        </w:rPr>
        <w:t>. The audit and risk committee has received the written disclosures and the letter from the independent accountant required by applicable requirements 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fiscal year ended December 31, 2021, for filing with the Securities and Exchange Commission.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Members of the Audit and Risk Committee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Bernardo Fernandez, M.D., Chair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Ramón Abadin</w:t>
      </w:r>
    </w:p>
    <w:p>
      <w:pPr>
        <w:jc w:val="center"/>
        <w:ind w:right="-19"/>
        <w:spacing w:after="0"/>
        <w:rPr>
          <w:sz w:val="20"/>
          <w:szCs w:val="20"/>
          <w:color w:val="auto"/>
        </w:rPr>
      </w:pPr>
      <w:r>
        <w:rPr>
          <w:rFonts w:ascii="Times New Roman" w:cs="Times New Roman" w:eastAsia="Times New Roman" w:hAnsi="Times New Roman"/>
          <w:sz w:val="20"/>
          <w:szCs w:val="20"/>
          <w:color w:val="auto"/>
        </w:rPr>
        <w:t>Aida Levitan, Ph.D., APR</w:t>
      </w:r>
    </w:p>
    <w:p>
      <w:pPr>
        <w:jc w:val="center"/>
        <w:ind w:right="-19"/>
        <w:spacing w:after="0"/>
        <w:rPr>
          <w:sz w:val="20"/>
          <w:szCs w:val="20"/>
          <w:color w:val="auto"/>
        </w:rPr>
      </w:pPr>
      <w:r>
        <w:rPr>
          <w:rFonts w:ascii="Times New Roman" w:cs="Times New Roman" w:eastAsia="Times New Roman" w:hAnsi="Times New Roman"/>
          <w:sz w:val="20"/>
          <w:szCs w:val="20"/>
          <w:color w:val="auto"/>
        </w:rPr>
        <w:t>Ramon A. Rodriguez</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27" w:lineRule="exact"/>
        <w:rPr>
          <w:sz w:val="20"/>
          <w:szCs w:val="20"/>
          <w:color w:val="auto"/>
        </w:rPr>
      </w:pPr>
    </w:p>
    <w:p>
      <w:pPr>
        <w:ind w:firstLine="459"/>
        <w:spacing w:after="0" w:line="246" w:lineRule="auto"/>
        <w:rPr>
          <w:sz w:val="20"/>
          <w:szCs w:val="20"/>
          <w:color w:val="auto"/>
        </w:rPr>
      </w:pPr>
      <w:r>
        <w:rPr>
          <w:rFonts w:ascii="Times New Roman" w:cs="Times New Roman" w:eastAsia="Times New Roman" w:hAnsi="Times New Roman"/>
          <w:sz w:val="20"/>
          <w:szCs w:val="20"/>
          <w:color w:val="auto"/>
        </w:rPr>
        <w:t>In addition to the compensation arrangements with directors and executive officers described in “Executive Compensation” above, the following is a description of transactions since January 1, 2021 to which we have been a party in which the amount involved exceeded or will exceed the lesser of $120,000 or one percent of the average of our total assets at year-end for the last two completed fiscal years, which was $31,306,000 and in which any of our directors, executive officers or beneficial holders of 5% or more of our voting securities, or their respective immediate family members or entities affiliated with them, had or will have a direct or indirect material interest.</w:t>
      </w:r>
    </w:p>
    <w:p>
      <w:pPr>
        <w:spacing w:after="0" w:line="194" w:lineRule="exact"/>
        <w:rPr>
          <w:sz w:val="20"/>
          <w:szCs w:val="20"/>
          <w:color w:val="auto"/>
        </w:rPr>
      </w:pPr>
    </w:p>
    <w:p>
      <w:pPr>
        <w:ind w:firstLine="445"/>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Policies and Procedures Regarding Related Party Transactions. </w:t>
      </w:r>
      <w:r>
        <w:rPr>
          <w:rFonts w:ascii="Times New Roman" w:cs="Times New Roman" w:eastAsia="Times New Roman" w:hAnsi="Times New Roman"/>
          <w:sz w:val="20"/>
          <w:szCs w:val="20"/>
          <w:color w:val="auto"/>
        </w:rPr>
        <w:t>We have adopted written policies to comply with regulatory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and restrictions 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spacing w:after="0" w:line="198" w:lineRule="exact"/>
        <w:rPr>
          <w:sz w:val="20"/>
          <w:szCs w:val="20"/>
          <w:color w:val="auto"/>
        </w:rPr>
      </w:pPr>
    </w:p>
    <w:p>
      <w:pPr>
        <w:ind w:firstLine="409"/>
        <w:spacing w:after="0" w:line="243" w:lineRule="auto"/>
        <w:rPr>
          <w:sz w:val="20"/>
          <w:szCs w:val="20"/>
          <w:color w:val="auto"/>
        </w:rPr>
      </w:pPr>
      <w:r>
        <w:rPr>
          <w:rFonts w:ascii="Times New Roman" w:cs="Times New Roman" w:eastAsia="Times New Roman" w:hAnsi="Times New Roman"/>
          <w:sz w:val="20"/>
          <w:szCs w:val="20"/>
          <w:color w:val="auto"/>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6" w:right="359" w:bottom="1440" w:gutter="0" w:footer="0" w:header="0"/>
        </w:sectPr>
      </w:pPr>
    </w:p>
    <w:bookmarkStart w:id="29" w:name="page30"/>
    <w:bookmarkEnd w:id="29"/>
    <w:p>
      <w:pPr>
        <w:ind w:right="40" w:firstLine="409"/>
        <w:spacing w:after="0" w:line="242" w:lineRule="auto"/>
        <w:rPr>
          <w:sz w:val="20"/>
          <w:szCs w:val="20"/>
          <w:color w:val="auto"/>
        </w:rPr>
      </w:pPr>
      <w:r>
        <w:rPr>
          <w:rFonts w:ascii="Times New Roman" w:cs="Times New Roman" w:eastAsia="Times New Roman" w:hAnsi="Times New Roman"/>
          <w:sz w:val="20"/>
          <w:szCs w:val="20"/>
          <w:color w:val="auto"/>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spacing w:after="0" w:line="197" w:lineRule="exact"/>
        <w:rPr>
          <w:sz w:val="20"/>
          <w:szCs w:val="20"/>
          <w:color w:val="auto"/>
        </w:rPr>
      </w:pPr>
    </w:p>
    <w:p>
      <w:pPr>
        <w:ind w:firstLine="396"/>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Ordinary Banking Relationships. </w:t>
      </w:r>
      <w:r>
        <w:rPr>
          <w:rFonts w:ascii="Times New Roman" w:cs="Times New Roman" w:eastAsia="Times New Roman" w:hAnsi="Times New Roman"/>
          <w:sz w:val="20"/>
          <w:szCs w:val="20"/>
          <w:color w:val="auto"/>
        </w:rPr>
        <w:t>Certain of our executive officers, directors and principal shareholders, as well as their immediate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family members and affiliates, are clients of ours or have entered into banking transactions with us in the ordinary course of business. These transactions include deposits, loans and other financial services-related transactions. All of our transactions involving loans to related 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2021, none of our executive officers and directors, nor their immediate families and affiliated companies, were indebted directly or indirectly to us. As of December 31, 2021, no related party loans were categorized as nonaccrual, past due, troubled debt restructurings or potential problem loans. We expect to continue to enter into transactions in the ordinary course of business with our executive officers, directors and principal shareholders, as well as their immediate family members and affiliates.</w:t>
      </w:r>
    </w:p>
    <w:p>
      <w:pPr>
        <w:spacing w:after="0" w:line="201"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Arrangements with Certain Investors. </w:t>
      </w:r>
      <w:r>
        <w:rPr>
          <w:rFonts w:ascii="Times New Roman" w:cs="Times New Roman" w:eastAsia="Times New Roman" w:hAnsi="Times New Roman"/>
          <w:sz w:val="20"/>
          <w:szCs w:val="20"/>
          <w:color w:val="auto"/>
        </w:rPr>
        <w:t>In connection with the recapitalization in 2015 of U.S. Century Bank, U.S. Century Bank entered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into agreements with each of Patriot and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spacing w:after="0" w:line="194" w:lineRule="exact"/>
        <w:rPr>
          <w:sz w:val="20"/>
          <w:szCs w:val="20"/>
          <w:color w:val="auto"/>
        </w:rPr>
      </w:pPr>
    </w:p>
    <w:p>
      <w:pPr>
        <w:ind w:right="40" w:firstLine="40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Registration Rights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entered into a Registration Rights Agreement with each of Patriot and Priam and certain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shareholders, which provides for “demand”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which would provide for the sale of their registerable securities from time to time on a delayed or continuous basis pursuant to Rule 415 under the Securities Act; provided that we are eligible to register securities pursuant to Rule 415 under the Securities Act.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60" w:firstLine="406"/>
        <w:spacing w:after="0" w:line="242" w:lineRule="auto"/>
        <w:rPr>
          <w:sz w:val="20"/>
          <w:szCs w:val="20"/>
          <w:color w:val="auto"/>
        </w:rPr>
      </w:pPr>
      <w:r>
        <w:rPr>
          <w:rFonts w:ascii="Times New Roman" w:cs="Times New Roman" w:eastAsia="Times New Roman" w:hAnsi="Times New Roman"/>
          <w:sz w:val="20"/>
          <w:szCs w:val="20"/>
          <w:color w:val="auto"/>
        </w:rPr>
        <w:t>The Registration Rights Agreement also provides Patriot and Priam and the other shareholders that are a party to the agreement with “piggyback” registration rights. These piggyback registration rights allow the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the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Both Patriot and Priam waived this contractual right with respect to U.S. Century Bank’s initial public offering in July 2021. In connection with the holding company reorganization effected in December 2021, USCB Financial Holdings assumed the obligations of U.S. Century Bank under the Registration Rights Agreement.</w:t>
      </w:r>
    </w:p>
    <w:p>
      <w:pPr>
        <w:spacing w:after="0" w:line="199" w:lineRule="exact"/>
        <w:rPr>
          <w:sz w:val="20"/>
          <w:szCs w:val="20"/>
          <w:color w:val="auto"/>
        </w:rPr>
      </w:pPr>
    </w:p>
    <w:p>
      <w:pPr>
        <w:ind w:firstLine="409"/>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Investment Agreement; Matching/Contractual Preemptive Rights and Corporate Governance Rights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the terms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Agreement, in the 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firstLine="409"/>
        <w:spacing w:after="0" w:line="249" w:lineRule="auto"/>
        <w:rPr>
          <w:sz w:val="20"/>
          <w:szCs w:val="20"/>
          <w:color w:val="auto"/>
        </w:rPr>
      </w:pPr>
      <w:r>
        <w:rPr>
          <w:rFonts w:ascii="Times New Roman" w:cs="Times New Roman" w:eastAsia="Times New Roman" w:hAnsi="Times New Roman"/>
          <w:sz w:val="20"/>
          <w:szCs w:val="20"/>
          <w:color w:val="auto"/>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spacing w:after="0" w:line="193" w:lineRule="exact"/>
        <w:rPr>
          <w:sz w:val="20"/>
          <w:szCs w:val="20"/>
          <w:color w:val="auto"/>
        </w:rPr>
      </w:pPr>
    </w:p>
    <w:p>
      <w:pPr>
        <w:ind w:right="60" w:firstLine="406"/>
        <w:spacing w:after="0" w:line="242" w:lineRule="auto"/>
        <w:rPr>
          <w:sz w:val="20"/>
          <w:szCs w:val="20"/>
          <w:color w:val="auto"/>
        </w:rPr>
      </w:pPr>
      <w:r>
        <w:rPr>
          <w:rFonts w:ascii="Times New Roman" w:cs="Times New Roman" w:eastAsia="Times New Roman" w:hAnsi="Times New Roman"/>
          <w:sz w:val="20"/>
          <w:szCs w:val="20"/>
          <w:color w:val="auto"/>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the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spacing w:after="0" w:line="201" w:lineRule="exact"/>
        <w:rPr>
          <w:sz w:val="20"/>
          <w:szCs w:val="20"/>
          <w:color w:val="auto"/>
        </w:rPr>
      </w:pPr>
    </w:p>
    <w:p>
      <w:pPr>
        <w:ind w:right="60" w:firstLine="406"/>
        <w:spacing w:after="0" w:line="243" w:lineRule="auto"/>
        <w:rPr>
          <w:sz w:val="20"/>
          <w:szCs w:val="20"/>
          <w:color w:val="auto"/>
        </w:rPr>
      </w:pPr>
      <w:r>
        <w:rPr>
          <w:rFonts w:ascii="Times New Roman" w:cs="Times New Roman" w:eastAsia="Times New Roman" w:hAnsi="Times New Roman"/>
          <w:sz w:val="20"/>
          <w:szCs w:val="20"/>
          <w:color w:val="auto"/>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Prima as were provided in the Investment Agreement.</w:t>
      </w:r>
    </w:p>
    <w:p>
      <w:pPr>
        <w:spacing w:after="0" w:line="199" w:lineRule="exact"/>
        <w:rPr>
          <w:sz w:val="20"/>
          <w:szCs w:val="20"/>
          <w:color w:val="auto"/>
        </w:rPr>
      </w:pPr>
    </w:p>
    <w:p>
      <w:pPr>
        <w:ind w:right="220" w:firstLine="40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Repurchase of Class E Preferred Stock. </w:t>
      </w:r>
      <w:r>
        <w:rPr>
          <w:rFonts w:ascii="Times New Roman" w:cs="Times New Roman" w:eastAsia="Times New Roman" w:hAnsi="Times New Roman"/>
          <w:sz w:val="20"/>
          <w:szCs w:val="20"/>
          <w:color w:val="auto"/>
        </w:rPr>
        <w:t>U.S. Century Bank repurchased all of the outstanding shares of our Class E Preferred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“Class E Repurchase Transaction”). The Class E Repurchase Transaction was completed on April 26, 2021. Among the holders of our Class E Preferred Stock were Patriot and Priam, each of which owned 2,739 shares of Class E Preferred Stock, and each of which received approximately $2,739,000 for the repurchase of these shares. In connection with the Class E Repurchase Transaction, all of the holders, including Patriot and Priam, received the same consideration for their shares of Class E Preferred Stock.</w:t>
      </w:r>
    </w:p>
    <w:p>
      <w:pPr>
        <w:spacing w:after="0" w:line="194" w:lineRule="exact"/>
        <w:rPr>
          <w:sz w:val="20"/>
          <w:szCs w:val="20"/>
          <w:color w:val="auto"/>
        </w:rPr>
      </w:pPr>
    </w:p>
    <w:p>
      <w:pPr>
        <w:ind w:right="20" w:firstLine="409"/>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Exchange and Redemption Transactions. </w:t>
      </w:r>
      <w:r>
        <w:rPr>
          <w:rFonts w:ascii="Times New Roman" w:cs="Times New Roman" w:eastAsia="Times New Roman" w:hAnsi="Times New Roman"/>
          <w:sz w:val="20"/>
          <w:szCs w:val="20"/>
          <w:color w:val="auto"/>
        </w:rPr>
        <w:t>On July 22, 2021, U.S. Century Bank completed the exchange of shares of Class C Non-voting, Non-Cumulative Perpetual Preferred Stock (the “Class C Preferred Stock”) and Class D Non-Voting, Non-Cumulative Perpetual Preferred Stock, par value $1.00 per share, (the “Class D Preferred Stock”) with approximately $102.8 million in aggregate liquidation preference of the Preferred Stock accepted in exchange for approximately 10.3 million shares of Class A common stock at the exchange rates established by the initial public offering price of $10.00 per share of Class A common stock (the “Exchange Transaction”). Among the holders of our Class C and Class D Preferred Stock who participated in the Exchange Transactions were Patriot and Priam, who each exchanged 16,142 shares of Class C Preferred Stock and 3,757,186 shares of Class D Preferred Stock for 3,492,765 shares of Class A common stock. In connection with the Exchange Transactions, all of the holders, including Patriot and Priam, received the same consideration for their shares of Class C Preferred Stock and Class D Preferred Stock.</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2" w:name="page33"/>
    <w:bookmarkEnd w:id="32"/>
    <w:p>
      <w:pPr>
        <w:ind w:firstLine="409"/>
        <w:spacing w:after="0" w:line="242" w:lineRule="auto"/>
        <w:rPr>
          <w:sz w:val="20"/>
          <w:szCs w:val="20"/>
          <w:color w:val="auto"/>
        </w:rPr>
      </w:pPr>
      <w:r>
        <w:rPr>
          <w:rFonts w:ascii="Times New Roman" w:cs="Times New Roman" w:eastAsia="Times New Roman" w:hAnsi="Times New Roman"/>
          <w:sz w:val="20"/>
          <w:szCs w:val="20"/>
          <w:color w:val="auto"/>
        </w:rPr>
        <w:t>On September 20, 2021, U.S. Century Bank redeemed all 5,275 remaining shares of its Class C Preferred Stock and all 1,229,079 remaining shares of its Class D Preferred Stock. The redemption price of the Class C Preferred Stock was equal to the liquidation preference of $1,000.00 per share plus declared and unpaid dividends of $14.222 per share accrued but unpaid for the current dividend period to, but the redemption date. The redemption price of the Class D Preferred Stock was equal to the liquidation preference of $5.00 per share plus declared and unpaid dividends of $0.0142 per share accrued but unpaid for the current dividend period to, but excluding, the redemption date. Among the holders of the Class C Preferred Stock and Class D preferred Stock were Patriot and Priam, who owned 527 and 527 shares of Class C Preferred Stock, respectively, and owned 34,814 and 34,814 shares of Class D Preferred Stock, respectively, and received an aggregate of approximately $701,350 and $701,350, respectively, for the redemption of these shares. In connection with the redemption of the Class C Preferred Stock and the Class D Preferred Stock, all of the holders, including Patriot and Priam, received the same consideration for the redemption of their shares of Class C Preferred Stock and Class D Preferred Stock.</w:t>
      </w:r>
    </w:p>
    <w:p>
      <w:pPr>
        <w:spacing w:after="0" w:line="206" w:lineRule="exact"/>
        <w:rPr>
          <w:sz w:val="20"/>
          <w:szCs w:val="20"/>
          <w:color w:val="auto"/>
        </w:rPr>
      </w:pPr>
    </w:p>
    <w:p>
      <w:pPr>
        <w:ind w:right="140" w:firstLine="396"/>
        <w:spacing w:after="0" w:line="244" w:lineRule="auto"/>
        <w:rPr>
          <w:sz w:val="20"/>
          <w:szCs w:val="20"/>
          <w:color w:val="auto"/>
        </w:rPr>
      </w:pPr>
      <w:r>
        <w:rPr>
          <w:rFonts w:ascii="Times New Roman" w:cs="Times New Roman" w:eastAsia="Times New Roman" w:hAnsi="Times New Roman"/>
          <w:sz w:val="20"/>
          <w:szCs w:val="20"/>
          <w:color w:val="auto"/>
        </w:rPr>
        <w:t>On December 21, 2021, U.S. Century Bank entered into an exchange agreement with each of Patriot and Prima (collectively, the Exchange Agreements”) providing for the exchange of by each of Patriot and Priam of 3,060,526 shares of U.S. Century Bank’s Class B Non-Voting Common Stock, par value $1.00 per share (“Class B Common Stock”), for 612,106 shares of U.S. Century Bank’s Class A Common Stock. The Class B Common Stock was originally issued to Patriot and Priam in connection with the recapitalization conducted in 2015. The Exchange Agreements contained customary representations, warranties and covenants by U.S. Century Bank, Patriot and Patriot. Upon completion of the exchange transactions, each of Patriot and Priam owned 4,485,909 shares of Class A Common Stock, in each case exclusive of any shares exercisable pursuant to stock option awards.</w:t>
      </w:r>
    </w:p>
    <w:p>
      <w:pPr>
        <w:spacing w:after="0" w:line="195" w:lineRule="exact"/>
        <w:rPr>
          <w:sz w:val="20"/>
          <w:szCs w:val="20"/>
          <w:color w:val="auto"/>
        </w:rPr>
      </w:pPr>
    </w:p>
    <w:p>
      <w:pPr>
        <w:ind w:firstLine="409"/>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Indemnification Agreements. </w:t>
      </w:r>
      <w:r>
        <w:rPr>
          <w:rFonts w:ascii="Times New Roman" w:cs="Times New Roman" w:eastAsia="Times New Roman" w:hAnsi="Times New Roman"/>
          <w:sz w:val="20"/>
          <w:szCs w:val="20"/>
          <w:color w:val="auto"/>
        </w:rPr>
        <w:t>USCB Financial Holdings has entered into indemnification agreements with each of its directors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contractually obligate it 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Loan Purchase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2021, U.S. Century Bank purchased a $7.9 million loan sourced through Auxilior Capital Partners, Inc. (“Auxilior”) for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Auxilior received a fee from U.S. Century Bank of $643,600. U.S. Century Bank is amortizing the $643,600 origination fee for the loan over the contractual life of the loan. One of Auxilior’s major shareholders is Patriot Financial Partners. Mr. W. Kirk Wycoff, one of our directors, is the Chairman of the Board of Directors of Auxilior and is the Managing Partner of Patriot Financial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313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 CERTAIN BENEFICIAL OWNERS AND MANAGEMENT</w:t>
      </w:r>
    </w:p>
    <w:p>
      <w:pPr>
        <w:spacing w:after="0" w:line="221" w:lineRule="exact"/>
        <w:rPr>
          <w:sz w:val="20"/>
          <w:szCs w:val="20"/>
          <w:color w:val="auto"/>
        </w:rPr>
      </w:pPr>
    </w:p>
    <w:p>
      <w:pPr>
        <w:ind w:right="580" w:firstLine="442"/>
        <w:spacing w:after="0" w:line="269" w:lineRule="auto"/>
        <w:rPr>
          <w:sz w:val="20"/>
          <w:szCs w:val="20"/>
          <w:color w:val="auto"/>
        </w:rPr>
      </w:pPr>
      <w:r>
        <w:rPr>
          <w:rFonts w:ascii="Times New Roman" w:cs="Times New Roman" w:eastAsia="Times New Roman" w:hAnsi="Times New Roman"/>
          <w:sz w:val="20"/>
          <w:szCs w:val="20"/>
          <w:color w:val="auto"/>
        </w:rPr>
        <w:t>The following table sets forth certain information about the beneficial ownership of Class A Common Stock as of April 14, 2022 (unless otherwise indicated), for:</w:t>
      </w:r>
    </w:p>
    <w:p>
      <w:pPr>
        <w:spacing w:after="0" w:line="17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known by us to beneficially owns more than 5% of outstanding shares of Class A Common Stock;</w:t>
      </w:r>
    </w:p>
    <w:p>
      <w:pPr>
        <w:spacing w:after="0" w:line="2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 and each director; and</w:t>
      </w:r>
    </w:p>
    <w:p>
      <w:pPr>
        <w:ind w:left="980" w:hanging="324"/>
        <w:spacing w:after="0"/>
        <w:tabs>
          <w:tab w:leader="none" w:pos="9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executive officers and directors as a group.</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the date set forth above, we had 20,000,753 shares of Class A Common Stock outstanding.</w:t>
      </w:r>
    </w:p>
    <w:p>
      <w:pPr>
        <w:spacing w:after="0" w:line="2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Unless otherwise indicated in the table below, the address for each beneficial owner is c/o USCB Financial Holdings, Inc., 2301 N.W.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87th Avenue, Doral, Florida 33172.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40" w:type="dxa"/>
            <w:vAlign w:val="bottom"/>
            <w:gridSpan w:val="3"/>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40" w:type="dxa"/>
            <w:vAlign w:val="bottom"/>
            <w:gridSpan w:val="3"/>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15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Percentage(1)</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5% or Greater Shareholders: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Patriot Financial Partners II, L.P. (2)</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4,485,909</w:t>
            </w:r>
          </w:p>
        </w:tc>
        <w:tc>
          <w:tcPr>
            <w:tcW w:w="19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Radnor Corporate Center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Matsonford Road, Suite 210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Radnor, PA 19087</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color w:val="auto"/>
              </w:rPr>
              <w:t>Priam Capital Fund II, L.P.</w:t>
            </w:r>
            <w:r>
              <w:rPr>
                <w:rFonts w:ascii="Times New Roman" w:cs="Times New Roman" w:eastAsia="Times New Roman" w:hAnsi="Times New Roman"/>
                <w:sz w:val="22"/>
                <w:szCs w:val="22"/>
                <w:color w:val="auto"/>
                <w:vertAlign w:val="superscript"/>
              </w:rPr>
              <w:t>(3)</w:t>
            </w:r>
          </w:p>
        </w:tc>
        <w:tc>
          <w:tcPr>
            <w:tcW w:w="9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4,485,909</w:t>
            </w:r>
          </w:p>
        </w:tc>
        <w:tc>
          <w:tcPr>
            <w:tcW w:w="1900" w:type="dxa"/>
            <w:vAlign w:val="bottom"/>
          </w:tcPr>
          <w:p>
            <w:pPr>
              <w:spacing w:after="0"/>
              <w:rPr>
                <w:sz w:val="17"/>
                <w:szCs w:val="17"/>
                <w:color w:val="auto"/>
              </w:rPr>
            </w:pP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745 Fifth Ave, Suite 1702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10151</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de la Aguilera(4)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116,666</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Anderson(5)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Benigno Pazos(6)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Aida Levitan, Ph.D., APR(7)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28,468</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Ramón Abadin(8)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P. Feinglass(9)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4,497,409</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Bernardo Fernandez, M.D.(10)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Kirk Wycoff(11)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4,497,409</w:t>
            </w: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Directors and Executive Officers as a Group </w:t>
            </w:r>
            <w:r>
              <w:rPr>
                <w:rFonts w:ascii="Times New Roman" w:cs="Times New Roman" w:eastAsia="Times New Roman" w:hAnsi="Times New Roman"/>
                <w:sz w:val="18"/>
                <w:szCs w:val="18"/>
                <w:color w:val="auto"/>
              </w:rPr>
              <w:t>(15 Persons)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9,309,352</w:t>
            </w:r>
          </w:p>
        </w:tc>
        <w:tc>
          <w:tcPr>
            <w:tcW w:w="1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7"/>
          <w:szCs w:val="17"/>
          <w:color w:val="auto"/>
        </w:rPr>
        <w:t>(Footnotes on following page)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2" w:lineRule="exact"/>
        <w:rPr>
          <w:sz w:val="20"/>
          <w:szCs w:val="20"/>
          <w:color w:val="auto"/>
        </w:rPr>
      </w:pPr>
    </w:p>
    <w:p>
      <w:pPr>
        <w:ind w:left="800" w:hanging="594"/>
        <w:spacing w:after="0"/>
        <w:tabs>
          <w:tab w:leader="none" w:pos="8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less than 1%.</w:t>
      </w:r>
    </w:p>
    <w:p>
      <w:pPr>
        <w:spacing w:after="0" w:line="207" w:lineRule="exact"/>
        <w:rPr>
          <w:sz w:val="20"/>
          <w:szCs w:val="20"/>
          <w:color w:val="auto"/>
        </w:rPr>
      </w:pPr>
    </w:p>
    <w:p>
      <w:pPr>
        <w:ind w:left="680" w:right="20" w:hanging="510"/>
        <w:spacing w:after="0" w:line="250"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beneficial owner’s percentage ownership is determined by assuming that options held by such person (but not those held by any other</w:t>
      </w:r>
    </w:p>
    <w:p>
      <w:pPr>
        <w:spacing w:after="0" w:line="1" w:lineRule="exact"/>
        <w:rPr>
          <w:rFonts w:ascii="Times New Roman" w:cs="Times New Roman" w:eastAsia="Times New Roman" w:hAnsi="Times New Roman"/>
          <w:sz w:val="20"/>
          <w:szCs w:val="20"/>
          <w:color w:val="auto"/>
        </w:rPr>
      </w:pP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 and that are exercisable within 60 days of the voting record date have been exercised.</w:t>
      </w:r>
    </w:p>
    <w:p>
      <w:pPr>
        <w:spacing w:after="0" w:line="207" w:lineRule="exact"/>
        <w:rPr>
          <w:rFonts w:ascii="Times New Roman" w:cs="Times New Roman" w:eastAsia="Times New Roman" w:hAnsi="Times New Roman"/>
          <w:sz w:val="20"/>
          <w:szCs w:val="20"/>
          <w:color w:val="auto"/>
        </w:rPr>
      </w:pPr>
    </w:p>
    <w:p>
      <w:pPr>
        <w:ind w:left="680" w:hanging="510"/>
        <w:spacing w:after="0" w:line="250" w:lineRule="auto"/>
        <w:tabs>
          <w:tab w:leader="none" w:pos="87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Patriot Financial Partners II, L.P. (“Patriot Funds II”) has shared voting and dipositive power over 3,398,637 shares of our Class A Common</w:t>
      </w:r>
    </w:p>
    <w:p>
      <w:pPr>
        <w:spacing w:after="0" w:line="1" w:lineRule="exact"/>
        <w:rPr>
          <w:rFonts w:ascii="Times New Roman" w:cs="Times New Roman" w:eastAsia="Times New Roman" w:hAnsi="Times New Roman"/>
          <w:sz w:val="20"/>
          <w:szCs w:val="20"/>
          <w:color w:val="auto"/>
        </w:rPr>
      </w:pPr>
    </w:p>
    <w:p>
      <w:pPr>
        <w:ind w:left="680" w:right="20" w:firstLine="145"/>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issued and outstanding and Patriot Financial Partners Parallel II, L.P. (together with Patriot Funds II, the “Patriot Funds”) has shared</w:t>
      </w:r>
    </w:p>
    <w:p>
      <w:pPr>
        <w:ind w:left="680" w:right="20" w:firstLine="315"/>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and dispositive power over 1,087,272 shares of our Class A Common Stock issued and outstanding. The Patriot Funds’ voting</w:t>
      </w:r>
    </w:p>
    <w:p>
      <w:pPr>
        <w:ind w:left="680" w:firstLine="267"/>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dispositive power is shared with the partners of Patriot Financial Partners, L.P., W. Kirk Wycoff, and James Lynch. W. Kirk Wycoff,</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serves as a managing partner of Patriot Financial Partners, L.P., serves on our Board.</w:t>
      </w:r>
    </w:p>
    <w:p>
      <w:pPr>
        <w:spacing w:after="0" w:line="207" w:lineRule="exact"/>
        <w:rPr>
          <w:rFonts w:ascii="Times New Roman" w:cs="Times New Roman" w:eastAsia="Times New Roman" w:hAnsi="Times New Roman"/>
          <w:sz w:val="20"/>
          <w:szCs w:val="20"/>
          <w:color w:val="auto"/>
        </w:rPr>
      </w:pPr>
    </w:p>
    <w:p>
      <w:pPr>
        <w:ind w:left="680" w:hanging="510"/>
        <w:spacing w:after="0" w:line="250" w:lineRule="auto"/>
        <w:tabs>
          <w:tab w:leader="none" w:pos="90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Priam Capital Associates, LLC is the general partner of Priam Capital Fund II, L.P. (“Priam Capital II”) and Howard Feinglass is the</w:t>
      </w:r>
    </w:p>
    <w:p>
      <w:pPr>
        <w:spacing w:after="0" w:line="1" w:lineRule="exact"/>
        <w:rPr>
          <w:rFonts w:ascii="Times New Roman" w:cs="Times New Roman" w:eastAsia="Times New Roman" w:hAnsi="Times New Roman"/>
          <w:sz w:val="20"/>
          <w:szCs w:val="20"/>
          <w:color w:val="auto"/>
        </w:rPr>
      </w:pPr>
    </w:p>
    <w:p>
      <w:pPr>
        <w:ind w:left="680" w:right="20" w:firstLine="338"/>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member of Priam Capital Associates, LLC. By virtue of such relationships, Priam Capital Associates, LLC and Mr. Feinglass</w:t>
      </w:r>
    </w:p>
    <w:p>
      <w:pPr>
        <w:ind w:left="680" w:firstLine="176"/>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deemed to have voting and dispositive power over 4,485,909 shares of our Class A Common Stock issued and outstanding and</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may be deemed to have beneficial ownership of such securities. Mr. Feinglass serves on our Board.</w:t>
      </w:r>
    </w:p>
    <w:p>
      <w:pPr>
        <w:spacing w:after="0" w:line="207" w:lineRule="exact"/>
        <w:rPr>
          <w:rFonts w:ascii="Times New Roman" w:cs="Times New Roman" w:eastAsia="Times New Roman" w:hAnsi="Times New Roman"/>
          <w:sz w:val="20"/>
          <w:szCs w:val="20"/>
          <w:color w:val="auto"/>
        </w:rPr>
      </w:pPr>
    </w:p>
    <w:p>
      <w:pPr>
        <w:ind w:left="840" w:hanging="670"/>
        <w:spacing w:after="0"/>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66,666 shares of Class A Common Stock exercisable within 60 days.</w:t>
      </w:r>
    </w:p>
    <w:p>
      <w:pPr>
        <w:spacing w:after="0" w:line="229" w:lineRule="exact"/>
        <w:rPr>
          <w:rFonts w:ascii="Times New Roman" w:cs="Times New Roman" w:eastAsia="Times New Roman" w:hAnsi="Times New Roman"/>
          <w:sz w:val="20"/>
          <w:szCs w:val="20"/>
          <w:color w:val="auto"/>
        </w:rPr>
      </w:pPr>
    </w:p>
    <w:p>
      <w:pPr>
        <w:ind w:left="840" w:hanging="670"/>
        <w:spacing w:after="0"/>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10,000 shares of Class A Common Stock exercisable within 60 days.</w:t>
      </w:r>
    </w:p>
    <w:p>
      <w:pPr>
        <w:spacing w:after="0" w:line="229" w:lineRule="exact"/>
        <w:rPr>
          <w:rFonts w:ascii="Times New Roman" w:cs="Times New Roman" w:eastAsia="Times New Roman" w:hAnsi="Times New Roman"/>
          <w:sz w:val="20"/>
          <w:szCs w:val="20"/>
          <w:color w:val="auto"/>
        </w:rPr>
      </w:pPr>
    </w:p>
    <w:p>
      <w:pPr>
        <w:ind w:left="840" w:hanging="670"/>
        <w:spacing w:after="0"/>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30,000 shares of Class A Common Stock exercisable within 60 days.</w:t>
      </w:r>
    </w:p>
    <w:p>
      <w:pPr>
        <w:spacing w:after="0" w:line="229" w:lineRule="exact"/>
        <w:rPr>
          <w:rFonts w:ascii="Times New Roman" w:cs="Times New Roman" w:eastAsia="Times New Roman" w:hAnsi="Times New Roman"/>
          <w:sz w:val="20"/>
          <w:szCs w:val="20"/>
          <w:color w:val="auto"/>
        </w:rPr>
      </w:pPr>
    </w:p>
    <w:p>
      <w:pPr>
        <w:ind w:left="800" w:right="40" w:hanging="630"/>
        <w:spacing w:after="0" w:line="254" w:lineRule="auto"/>
        <w:tabs>
          <w:tab w:leader="none" w:pos="84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14,000 shares of Class A Common Stock exercisable within 60 days. In addition, Ms. Levitan may be deemed to have beneficial ownership of 14,468 shares of Class A Common Stock owned by The Second Restatement of the Aida T. Levitan Living Trust u/t/d December 20, 2012.</w:t>
      </w:r>
    </w:p>
    <w:p>
      <w:pPr>
        <w:spacing w:after="0" w:line="187" w:lineRule="exact"/>
        <w:rPr>
          <w:rFonts w:ascii="Times New Roman" w:cs="Times New Roman" w:eastAsia="Times New Roman" w:hAnsi="Times New Roman"/>
          <w:sz w:val="20"/>
          <w:szCs w:val="20"/>
          <w:color w:val="auto"/>
        </w:rPr>
      </w:pPr>
    </w:p>
    <w:p>
      <w:pPr>
        <w:ind w:left="840" w:hanging="670"/>
        <w:spacing w:after="0"/>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9,000 shares of Class A Common Stock exercisable within 60 days.</w:t>
      </w:r>
    </w:p>
    <w:p>
      <w:pPr>
        <w:spacing w:after="0" w:line="229" w:lineRule="exact"/>
        <w:rPr>
          <w:rFonts w:ascii="Times New Roman" w:cs="Times New Roman" w:eastAsia="Times New Roman" w:hAnsi="Times New Roman"/>
          <w:sz w:val="20"/>
          <w:szCs w:val="20"/>
          <w:color w:val="auto"/>
        </w:rPr>
      </w:pPr>
    </w:p>
    <w:p>
      <w:pPr>
        <w:ind w:left="820" w:right="340" w:hanging="650"/>
        <w:spacing w:after="0" w:line="260" w:lineRule="auto"/>
        <w:tabs>
          <w:tab w:leader="none" w:pos="85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4,485,909 shares of Class A Common Stock held by Priam Capital II. See footnote (3) above. Mr. Feinglass disclaims beneficial ownership of these shares owned by Priam Capital II, other than to the extent of any pecuniary interest he may have therein. Also includes options to purchase 11,500 shares of Class A Common Stock exercisable within 60 days held</w:t>
      </w:r>
    </w:p>
    <w:p>
      <w:pPr>
        <w:ind w:left="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his individual capacity.</w:t>
      </w:r>
    </w:p>
    <w:p>
      <w:pPr>
        <w:spacing w:after="0" w:line="207" w:lineRule="exact"/>
        <w:rPr>
          <w:rFonts w:ascii="Times New Roman" w:cs="Times New Roman" w:eastAsia="Times New Roman" w:hAnsi="Times New Roman"/>
          <w:sz w:val="19"/>
          <w:szCs w:val="19"/>
          <w:color w:val="auto"/>
        </w:rPr>
      </w:pPr>
    </w:p>
    <w:p>
      <w:pPr>
        <w:ind w:left="840" w:hanging="670"/>
        <w:spacing w:after="0"/>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options to purchase 9,000 shares of Class A Common Stock exercisable within 60 days.</w:t>
      </w:r>
    </w:p>
    <w:p>
      <w:pPr>
        <w:spacing w:after="0" w:line="229" w:lineRule="exact"/>
        <w:rPr>
          <w:rFonts w:ascii="Times New Roman" w:cs="Times New Roman" w:eastAsia="Times New Roman" w:hAnsi="Times New Roman"/>
          <w:sz w:val="20"/>
          <w:szCs w:val="20"/>
          <w:color w:val="auto"/>
        </w:rPr>
      </w:pPr>
    </w:p>
    <w:p>
      <w:pPr>
        <w:ind w:left="660" w:hanging="490"/>
        <w:spacing w:after="0" w:line="250" w:lineRule="auto"/>
        <w:tabs>
          <w:tab w:leader="none" w:pos="95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4,485,909 shares of Class A Common Stock held by the Patriot Funds. See footnote (2) above. Mr. Wycoff disclaims beneficial</w:t>
      </w:r>
    </w:p>
    <w:p>
      <w:pPr>
        <w:spacing w:after="0" w:line="1" w:lineRule="exact"/>
        <w:rPr>
          <w:rFonts w:ascii="Times New Roman" w:cs="Times New Roman" w:eastAsia="Times New Roman" w:hAnsi="Times New Roman"/>
          <w:sz w:val="20"/>
          <w:szCs w:val="20"/>
          <w:color w:val="auto"/>
        </w:rPr>
      </w:pPr>
    </w:p>
    <w:p>
      <w:pPr>
        <w:ind w:left="820" w:right="100"/>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ownership of these shares owned by the Patriot Funds, other than to the extent of any pecuniary interest he may have therein. Also includes options to purchase 11,500 shares of Class A Common Stock exercisable within 60 days held in his individual capacity.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Section 16(a) of the Securities Exchange Act of 1934 requires our executive officers and directors, and persons who own more than</w:t>
      </w:r>
    </w:p>
    <w:p>
      <w:pPr>
        <w:spacing w:after="0" w:line="2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2021, all of our officers and directors complied in all respects with the reporting requirements promulgated under Section 16(a).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NOMINATIONS AND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295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9527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THE BOARD OF DIRECTORS</w:t>
      </w:r>
    </w:p>
    <w:p>
      <w:pPr>
        <w:spacing w:after="0" w:line="212" w:lineRule="exact"/>
        <w:rPr>
          <w:sz w:val="20"/>
          <w:szCs w:val="20"/>
          <w:color w:val="auto"/>
        </w:rPr>
      </w:pPr>
    </w:p>
    <w:p>
      <w:pPr>
        <w:ind w:right="40" w:firstLine="40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Shareholder Proposals. </w:t>
      </w:r>
      <w:r>
        <w:rPr>
          <w:rFonts w:ascii="Times New Roman" w:cs="Times New Roman" w:eastAsia="Times New Roman" w:hAnsi="Times New Roman"/>
          <w:sz w:val="20"/>
          <w:szCs w:val="20"/>
          <w:color w:val="auto"/>
        </w:rPr>
        <w:t>Any proposal which a shareholder wishes to have included in the proxy materials of USCB Financial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relating to the next annual meeting of shareholders, which is expected to be held in May 2023, must be received at our principal executive offices located at 2301 N.W. 87th Avenue, Doral, Florida 33172, Attention: Jalal “Jay” Shehadeh, Corporate Secretary, no later than December 26, 2022.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23" w:gutter="0" w:footer="0" w:header="0"/>
        </w:sectPr>
      </w:pPr>
    </w:p>
    <w:bookmarkStart w:id="36" w:name="page37"/>
    <w:bookmarkEnd w:id="36"/>
    <w:p>
      <w:pPr>
        <w:ind w:firstLine="409"/>
        <w:spacing w:after="0" w:line="245" w:lineRule="auto"/>
        <w:rPr>
          <w:sz w:val="20"/>
          <w:szCs w:val="20"/>
          <w:color w:val="auto"/>
        </w:rPr>
      </w:pPr>
      <w:r>
        <w:rPr>
          <w:rFonts w:ascii="Times New Roman" w:cs="Times New Roman" w:eastAsia="Times New Roman" w:hAnsi="Times New Roman"/>
          <w:sz w:val="20"/>
          <w:szCs w:val="20"/>
          <w:b w:val="1"/>
          <w:bCs w:val="1"/>
          <w:color w:val="auto"/>
        </w:rPr>
        <w:t>Shareholder Nominations</w:t>
      </w:r>
      <w:r>
        <w:rPr>
          <w:rFonts w:ascii="Times New Roman" w:cs="Times New Roman" w:eastAsia="Times New Roman" w:hAnsi="Times New Roman"/>
          <w:sz w:val="20"/>
          <w:szCs w:val="20"/>
          <w:color w:val="auto"/>
        </w:rPr>
        <w:t>. Our Bylaws provide that nominations, other than those made by the Board of USCB Financial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made in writing and shall be 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Bylaws. We have not received any shareholder nominations with respect to this Annual Meeting.</w:t>
      </w:r>
    </w:p>
    <w:p>
      <w:pPr>
        <w:spacing w:after="0" w:line="193" w:lineRule="exact"/>
        <w:rPr>
          <w:sz w:val="20"/>
          <w:szCs w:val="20"/>
          <w:color w:val="auto"/>
        </w:rPr>
      </w:pPr>
    </w:p>
    <w:p>
      <w:pPr>
        <w:ind w:right="100" w:firstLine="40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Other Shareholder Communications. </w:t>
      </w:r>
      <w:r>
        <w:rPr>
          <w:rFonts w:ascii="Times New Roman" w:cs="Times New Roman" w:eastAsia="Times New Roman" w:hAnsi="Times New Roman"/>
          <w:sz w:val="20"/>
          <w:szCs w:val="20"/>
          <w:color w:val="auto"/>
        </w:rPr>
        <w:t>Our Board of Directors has adopted a formal process by which shareholders may communicate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Board. Shareholders who wish to communicate with our Board of Directors may do so by sending written communications addressed to the Board of Directors of USCB Financial Holdings, Inc., c/o Jalal “Jay” Shehadeh, Corporate Secretary, 2301 N.W. 87th Avenue, Doral, Florida 33172.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218" w:lineRule="exact"/>
        <w:rPr>
          <w:sz w:val="20"/>
          <w:szCs w:val="20"/>
          <w:color w:val="auto"/>
        </w:rPr>
      </w:pPr>
    </w:p>
    <w:p>
      <w:pPr>
        <w:ind w:right="320" w:firstLine="398"/>
        <w:spacing w:after="0" w:line="269" w:lineRule="auto"/>
        <w:rPr>
          <w:sz w:val="20"/>
          <w:szCs w:val="20"/>
          <w:color w:val="auto"/>
        </w:rPr>
      </w:pPr>
      <w:r>
        <w:rPr>
          <w:rFonts w:ascii="Times New Roman" w:cs="Times New Roman" w:eastAsia="Times New Roman" w:hAnsi="Times New Roman"/>
          <w:sz w:val="20"/>
          <w:szCs w:val="20"/>
          <w:color w:val="auto"/>
        </w:rPr>
        <w:t>A copy of our Annual Report to Shareholders for the year ended December 31, 2021 accompanies this proxy statement. Such annual report is not part of the proxy solicitation materials.</w:t>
      </w:r>
    </w:p>
    <w:p>
      <w:pPr>
        <w:spacing w:after="0" w:line="169" w:lineRule="exact"/>
        <w:rPr>
          <w:sz w:val="20"/>
          <w:szCs w:val="20"/>
          <w:color w:val="auto"/>
        </w:rPr>
      </w:pPr>
    </w:p>
    <w:p>
      <w:pPr>
        <w:ind w:firstLine="40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Upon receipt of a written request, we will furnish to any shareholder without charge a copy of our Annual Report on Form 10-K (without exhibits) for fiscal 2021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Jalal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Shehadeh, Corporate Secretary, USCB Financial Holdings, 2301 N.W. 87th Avenue, Doral, Florida 33172. The Form 10-K is not part of the proxy solicitation materials.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218" w:lineRule="exact"/>
        <w:rPr>
          <w:sz w:val="20"/>
          <w:szCs w:val="20"/>
          <w:color w:val="auto"/>
        </w:rPr>
      </w:pPr>
    </w:p>
    <w:p>
      <w:pPr>
        <w:jc w:val="both"/>
        <w:ind w:right="400" w:firstLine="409"/>
        <w:spacing w:after="0" w:line="254" w:lineRule="auto"/>
        <w:rPr>
          <w:sz w:val="20"/>
          <w:szCs w:val="20"/>
          <w:color w:val="auto"/>
        </w:rPr>
      </w:pPr>
      <w:r>
        <w:rPr>
          <w:rFonts w:ascii="Times New Roman" w:cs="Times New Roman" w:eastAsia="Times New Roman" w:hAnsi="Times New Roman"/>
          <w:sz w:val="20"/>
          <w:szCs w:val="20"/>
          <w:color w:val="auto"/>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spacing w:after="0" w:line="188" w:lineRule="exact"/>
        <w:rPr>
          <w:sz w:val="20"/>
          <w:szCs w:val="20"/>
          <w:color w:val="auto"/>
        </w:rPr>
      </w:pPr>
    </w:p>
    <w:p>
      <w:pPr>
        <w:ind w:right="40" w:firstLine="406"/>
        <w:spacing w:after="0" w:line="249" w:lineRule="auto"/>
        <w:rPr>
          <w:sz w:val="20"/>
          <w:szCs w:val="20"/>
          <w:color w:val="auto"/>
        </w:rPr>
      </w:pPr>
      <w:r>
        <w:rPr>
          <w:rFonts w:ascii="Times New Roman" w:cs="Times New Roman" w:eastAsia="Times New Roman" w:hAnsi="Times New Roman"/>
          <w:sz w:val="20"/>
          <w:szCs w:val="20"/>
          <w:color w:val="auto"/>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3865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38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243205</wp:posOffset>
            </wp:positionV>
            <wp:extent cx="7071995" cy="9146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071995" cy="9146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2022-04-25T17:49:19Z</dcterms:created>
  <dcterms:modified xsi:type="dcterms:W3CDTF">2022-04-25T17:49:19Z</dcterms:modified>
</cp:coreProperties>
</file>