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394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2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3"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6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02/05/2026</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7,500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1,863,786</w:t>
            </w:r>
          </w:p>
        </w:tc>
        <w:tc>
          <w:tcPr>
            <w:tcW w:w="980" w:type="dxa"/>
            <w:vAlign w:val="bottom"/>
            <w:tcBorders>
              <w:bottom w:val="single" w:sz="8" w:color="2C2C2C"/>
            </w:tcBorders>
            <w:gridSpan w:val="2"/>
          </w:tcPr>
          <w:p>
            <w:pPr>
              <w:ind w:left="6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(1)(2)(3)(4)(5)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left="47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12"/>
          </w:tcPr>
          <w:p>
            <w:pPr>
              <w:jc w:val="center"/>
              <w:ind w:right="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w:t>
            </w:r>
          </w:p>
        </w:tc>
        <w:tc>
          <w:tcPr>
            <w:tcW w:w="1160" w:type="dxa"/>
            <w:vAlign w:val="bottom"/>
            <w:gridSpan w:val="2"/>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02/05/2026</w:t>
            </w: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2"/>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6"/>
                <w:szCs w:val="6"/>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7,500</w:t>
            </w: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03/01/2016</w:t>
            </w: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Voting</w:t>
            </w:r>
          </w:p>
        </w:tc>
        <w:tc>
          <w:tcPr>
            <w:tcW w:w="7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vMerge w:val="restart"/>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11.35</w:t>
            </w: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09/23/2019</w:t>
            </w: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Voting</w:t>
            </w: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6"/>
          </w:tcPr>
          <w:p>
            <w:pPr>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-5387975</wp:posOffset>
            </wp:positionV>
            <wp:extent cx="29210" cy="3013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301371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0000EE"/>
            </w:tcBorders>
            <w:gridSpan w:val="2"/>
          </w:tcPr>
          <w:p>
            <w:pPr>
              <w:spacing w:after="0" w:line="222" w:lineRule="exact"/>
              <w:rPr>
                <w:rFonts w:ascii="Times New Roman" w:cs="Times New Roman" w:eastAsia="Times New Roman" w:hAnsi="Times New Roman"/>
                <w:sz w:val="21"/>
                <w:szCs w:val="21"/>
                <w:color w:val="0000EE"/>
                <w:w w:val="97"/>
              </w:rPr>
            </w:pPr>
            <w:hyperlink r:id="rId17">
              <w:r>
                <w:rPr>
                  <w:rFonts w:ascii="Times New Roman" w:cs="Times New Roman" w:eastAsia="Times New Roman" w:hAnsi="Times New Roman"/>
                  <w:sz w:val="21"/>
                  <w:szCs w:val="21"/>
                  <w:color w:val="0000EE"/>
                  <w:w w:val="97"/>
                </w:rPr>
                <w:t>Patriot Financial Partners II,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7335"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7335" cy="105251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Parallel II, L.P.</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Patriot Financial Partners GP II, LLC</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2"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2"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LUBERT IRA M</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FMC TOWER AT CIRA CENTRE SOUTH</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2929 WALNUT STREET, SUITE 1550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19104</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2"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9979"/>
          </w:cols>
          <w:pgMar w:left="480" w:top="257" w:right="1440" w:bottom="0" w:gutter="0" w:footer="0" w:header="0"/>
        </w:sectPr>
      </w:pPr>
    </w:p>
    <w:bookmarkStart w:id="2" w:name="page3"/>
    <w:bookmarkEnd w:id="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4"/>
          </w:tcPr>
          <w:p>
            <w:pPr>
              <w:spacing w:after="0" w:line="222"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Patriot Financial Manager,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4"/>
          </w:tcPr>
          <w:p>
            <w:pPr>
              <w:spacing w:after="0" w:line="222"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Patriot Financial Manager, LLC</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19087</w:t>
            </w:r>
          </w:p>
        </w:tc>
        <w:tc>
          <w:tcPr>
            <w:tcW w:w="100" w:type="dxa"/>
            <w:vAlign w:val="bottom"/>
          </w:tcPr>
          <w:p>
            <w:pPr>
              <w:spacing w:after="0"/>
              <w:rPr>
                <w:sz w:val="19"/>
                <w:szCs w:val="19"/>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-4029710</wp:posOffset>
            </wp:positionV>
            <wp:extent cx="2807335" cy="4107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7335" cy="410718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firstLine="3"/>
        <w:spacing w:after="0" w:line="244"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Patriot Financial Manager, LLC ("Manager LLC") and Patriot Financial Manager, L.P. ("Manager LP"), W. Kirk Wycoff, James J. Lynch, Ira M. Lubert and James F. Deutsch.</w:t>
      </w:r>
    </w:p>
    <w:p>
      <w:pPr>
        <w:spacing w:after="0" w:line="25" w:lineRule="exact"/>
        <w:rPr>
          <w:rFonts w:ascii="Times New Roman" w:cs="Times New Roman" w:eastAsia="Times New Roman" w:hAnsi="Times New Roman"/>
          <w:sz w:val="13"/>
          <w:szCs w:val="13"/>
          <w:color w:val="008000"/>
        </w:rPr>
      </w:pPr>
    </w:p>
    <w:p>
      <w:pPr>
        <w:jc w:val="both"/>
        <w:ind w:left="20" w:right="40" w:firstLine="3"/>
        <w:spacing w:after="0" w:line="244"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Patriot GP is a general partner of each of the Funds and Patriot LLC is a general partner of Patriot GP. In addition, each of W. Kirk Wycoff, Ira M. Lubert and James J. Lynch serve as general partners of the Funds and is a member of Patriot LLC. Manager LP, serves as investment manager to the Funds. Manager LLC serves as general partner of Manager LP and W. Kirk Wycoff, Ira M. Lubert and James J. Lynch are members of Manager LLC. James F. Deutsch is a member of the Patriot Funds Investment Committee.</w:t>
      </w:r>
    </w:p>
    <w:p>
      <w:pPr>
        <w:spacing w:after="0" w:line="25" w:lineRule="exact"/>
        <w:rPr>
          <w:rFonts w:ascii="Times New Roman" w:cs="Times New Roman" w:eastAsia="Times New Roman" w:hAnsi="Times New Roman"/>
          <w:sz w:val="13"/>
          <w:szCs w:val="13"/>
          <w:color w:val="008000"/>
        </w:rPr>
      </w:pPr>
    </w:p>
    <w:p>
      <w:pPr>
        <w:ind w:left="20" w:right="40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Manager LLC, Manager LP, W. Kirk Wycoff, James J. Lynch, Ira M. Lubert and James F. Deutsch.</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option exercise, Manager LP holds 7,500 shares of common stock, Patriot Fund II holds 1,662,420 shares of common stock and Patriot Parallel Fund II holds 193,866 shares of common stock.</w:t>
      </w:r>
    </w:p>
    <w:p>
      <w:pPr>
        <w:spacing w:after="0" w:line="45" w:lineRule="exact"/>
        <w:rPr>
          <w:rFonts w:ascii="Times New Roman" w:cs="Times New Roman" w:eastAsia="Times New Roman" w:hAnsi="Times New Roman"/>
          <w:sz w:val="13"/>
          <w:szCs w:val="13"/>
          <w:color w:val="008000"/>
        </w:rPr>
      </w:pPr>
    </w:p>
    <w:p>
      <w:pPr>
        <w:jc w:val="both"/>
        <w:ind w:left="20" w:right="40" w:firstLine="3"/>
        <w:spacing w:after="0" w:line="244"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or Manager LP, except to the extent of their respective pecuniary interest therein.</w:t>
      </w:r>
    </w:p>
    <w:p>
      <w:pPr>
        <w:spacing w:after="0" w:line="25" w:lineRule="exact"/>
        <w:rPr>
          <w:rFonts w:ascii="Times New Roman" w:cs="Times New Roman" w:eastAsia="Times New Roman" w:hAnsi="Times New Roman"/>
          <w:sz w:val="13"/>
          <w:szCs w:val="13"/>
          <w:color w:val="008000"/>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p>
      <w:pPr>
        <w:sectPr>
          <w:pgSz w:w="11900" w:h="16883" w:orient="portrait"/>
          <w:cols w:equalWidth="0" w:num="1">
            <w:col w:w="10880"/>
          </w:cols>
          <w:pgMar w:left="480" w:top="128" w:right="539" w:bottom="0" w:gutter="0" w:footer="0" w:header="0"/>
        </w:sectPr>
      </w:pP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-635</wp:posOffset>
            </wp:positionV>
            <wp:extent cx="134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64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Patriot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95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Patriot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54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33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318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31877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19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06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28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766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Patriot GP,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96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Patriot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74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19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96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28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766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Patriot GP,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96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Patriot Parallel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02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19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042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798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71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137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Manager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90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Manager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322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484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200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351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84" w:lineRule="exact"/>
        <w:rPr>
          <w:sz w:val="20"/>
          <w:szCs w:val="20"/>
          <w:color w:val="auto"/>
        </w:rPr>
      </w:pPr>
    </w:p>
    <w:p>
      <w:pPr>
        <w:sectPr>
          <w:pgSz w:w="11900" w:h="16883" w:orient="portrait"/>
          <w:cols w:equalWidth="0" w:num="2">
            <w:col w:w="8700" w:space="80"/>
            <w:col w:w="2100"/>
          </w:cols>
          <w:pgMar w:left="480" w:top="128" w:right="539" w:bottom="0" w:gutter="0" w:footer="0" w:header="0"/>
          <w:type w:val="continuous"/>
        </w:sectPr>
      </w:pPr>
    </w:p>
    <w:p>
      <w:pPr>
        <w:ind w:left="6580"/>
        <w:spacing w:after="0"/>
        <w:rPr>
          <w:sz w:val="20"/>
          <w:szCs w:val="20"/>
          <w:color w:val="auto"/>
        </w:rPr>
      </w:pPr>
      <w:r>
        <w:rPr>
          <w:rFonts w:ascii="Times New Roman" w:cs="Times New Roman" w:eastAsia="Times New Roman" w:hAnsi="Times New Roman"/>
          <w:sz w:val="17"/>
          <w:szCs w:val="17"/>
          <w:color w:val="0000FF"/>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815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873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James J. Murphy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-635</wp:posOffset>
            </wp:positionV>
            <wp:extent cx="13030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732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781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75" w:lineRule="exact"/>
        <w:rPr>
          <w:sz w:val="20"/>
          <w:szCs w:val="20"/>
          <w:color w:val="auto"/>
        </w:rPr>
      </w:pPr>
    </w:p>
    <w:p>
      <w:pPr>
        <w:sectPr>
          <w:pgSz w:w="11900" w:h="16883" w:orient="portrait"/>
          <w:cols w:equalWidth="0" w:num="2">
            <w:col w:w="8620" w:space="160"/>
            <w:col w:w="2100"/>
          </w:cols>
          <w:pgMar w:left="480" w:top="128" w:right="53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83" w:orient="portrait"/>
          <w:cols w:equalWidth="0" w:num="1">
            <w:col w:w="10880"/>
          </w:cols>
          <w:pgMar w:left="480" w:top="128" w:right="53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7" Type="http://schemas.openxmlformats.org/officeDocument/2006/relationships/hyperlink" Target="http://www.sec.gov/cgi-bin/browse-edgar?action=getcompany&amp;CIK=0001583223" TargetMode="External"/><Relationship Id="rId19" Type="http://schemas.openxmlformats.org/officeDocument/2006/relationships/hyperlink" Target="http://www.sec.gov/cgi-bin/browse-edgar?action=getcompany&amp;CIK=0001586224" TargetMode="External"/><Relationship Id="rId20" Type="http://schemas.openxmlformats.org/officeDocument/2006/relationships/hyperlink" Target="http://www.sec.gov/cgi-bin/browse-edgar?action=getcompany&amp;CIK=0002061814" TargetMode="External"/><Relationship Id="rId21" Type="http://schemas.openxmlformats.org/officeDocument/2006/relationships/hyperlink" Target="http://www.sec.gov/cgi-bin/browse-edgar?action=getcompany&amp;CIK=0001561111" TargetMode="External"/><Relationship Id="rId22" Type="http://schemas.openxmlformats.org/officeDocument/2006/relationships/hyperlink" Target="http://www.sec.gov/cgi-bin/browse-edgar?action=getcompany&amp;CIK=0001203115" TargetMode="External"/><Relationship Id="rId23" Type="http://schemas.openxmlformats.org/officeDocument/2006/relationships/hyperlink" Target="http://www.sec.gov/cgi-bin/browse-edgar?action=getcompany&amp;CIK=0001222379" TargetMode="External"/><Relationship Id="rId24" Type="http://schemas.openxmlformats.org/officeDocument/2006/relationships/hyperlink" Target="http://www.sec.gov/cgi-bin/browse-edgar?action=getcompany&amp;CIK=0002079600" TargetMode="External"/><Relationship Id="rId25" Type="http://schemas.openxmlformats.org/officeDocument/2006/relationships/hyperlink" Target="http://www.sec.gov/cgi-bin/browse-edgar?action=getcompany&amp;CIK=000207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2026-02-06T10:26:34Z</dcterms:created>
  <dcterms:modified xsi:type="dcterms:W3CDTF">2026-02-06T10:26:34Z</dcterms:modified>
</cp:coreProperties>
</file>