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4"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49"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9" w:right="1440" w:bottom="1440" w:gutter="0" w:footer="0" w:header="0"/>
        </w:sectPr>
      </w:pPr>
    </w:p>
    <w:p>
      <w:pPr>
        <w:spacing w:after="0" w:line="244"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6" w:lineRule="exact"/>
        <w:rPr>
          <w:sz w:val="24"/>
          <w:szCs w:val="24"/>
          <w:color w:val="auto"/>
        </w:rPr>
      </w:pPr>
    </w:p>
    <w:p>
      <w:pPr>
        <w:sectPr>
          <w:pgSz w:w="11900" w:h="16838" w:orient="portrait"/>
          <w:cols w:equalWidth="0" w:num="2">
            <w:col w:w="6020" w:space="720"/>
            <w:col w:w="2279"/>
          </w:cols>
          <w:pgMar w:left="1440" w:top="799"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1"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6" w:lineRule="exact"/>
        <w:rPr>
          <w:sz w:val="24"/>
          <w:szCs w:val="24"/>
          <w:color w:val="auto"/>
        </w:rPr>
      </w:pPr>
    </w:p>
    <w:p>
      <w:pPr>
        <w:sectPr>
          <w:pgSz w:w="11900" w:h="16838" w:orient="portrait"/>
          <w:cols w:equalWidth="0" w:num="2">
            <w:col w:w="5860" w:space="720"/>
            <w:col w:w="2439"/>
          </w:cols>
          <w:pgMar w:left="1440" w:top="7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Doral, FL 33172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0"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1"/>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9" w:lineRule="exact"/>
        <w:rPr>
          <w:sz w:val="24"/>
          <w:szCs w:val="24"/>
          <w:color w:val="auto"/>
        </w:rPr>
      </w:pPr>
    </w:p>
    <w:p>
      <w:pPr>
        <w:jc w:val="both"/>
        <w:ind w:left="660" w:right="659"/>
        <w:spacing w:after="0" w:line="159"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2" w:lineRule="exact"/>
        <w:rPr>
          <w:sz w:val="24"/>
          <w:szCs w:val="24"/>
          <w:color w:val="auto"/>
        </w:rPr>
      </w:pPr>
    </w:p>
    <w:p>
      <w:pPr>
        <w:jc w:val="both"/>
        <w:ind w:left="660" w:right="679"/>
        <w:spacing w:after="0" w:line="26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2" w:lineRule="exact"/>
        <w:rPr>
          <w:sz w:val="24"/>
          <w:szCs w:val="24"/>
          <w:color w:val="auto"/>
        </w:rPr>
      </w:pPr>
    </w:p>
    <w:p>
      <w:pPr>
        <w:jc w:val="both"/>
        <w:ind w:left="660" w:right="659"/>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11"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2" w:lineRule="exact"/>
        <w:rPr>
          <w:sz w:val="24"/>
          <w:szCs w:val="24"/>
          <w:color w:val="auto"/>
        </w:rPr>
      </w:pPr>
    </w:p>
    <w:p>
      <w:pPr>
        <w:jc w:val="both"/>
        <w:ind w:left="660" w:right="659"/>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July 31, 2024 the registrant had 19,620,632 shares of Class A common stock outstanding.</w:t>
      </w:r>
    </w:p>
    <w:p>
      <w:pPr>
        <w:sectPr>
          <w:pgSz w:w="11900" w:h="16838" w:orient="portrait"/>
          <w:cols w:equalWidth="0" w:num="1">
            <w:col w:w="9019"/>
          </w:cols>
          <w:pgMar w:left="1440" w:top="799" w:right="1440" w:bottom="1440" w:gutter="0" w:footer="0" w:header="0"/>
          <w:type w:val="continuous"/>
        </w:sectPr>
      </w:pPr>
    </w:p>
    <w:bookmarkStart w:id="1" w:name="page2"/>
    <w:bookmarkEnd w:id="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4"/>
          <w:szCs w:val="14"/>
          <w:b w:val="1"/>
          <w:bCs w:val="1"/>
          <w:color w:val="auto"/>
        </w:rPr>
        <w:t>FORM 10-Q</w:t>
      </w:r>
    </w:p>
    <w:p>
      <w:pPr>
        <w:spacing w:after="0" w:line="2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June 30, 2024</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320" w:type="dxa"/>
            <w:vAlign w:val="bottom"/>
            <w:gridSpan w:val="13"/>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Balance Sheets as of June 30, 2024 (Unaudited) and December 31, 2023</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60" w:type="dxa"/>
            <w:vAlign w:val="bottom"/>
            <w:tcBorders>
              <w:bottom w:val="single" w:sz="8" w:color="0000FF"/>
            </w:tcBorders>
            <w:gridSpan w:val="15"/>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and six months ended June 30, 2024 and 2023</w:t>
            </w:r>
          </w:p>
        </w:tc>
        <w:tc>
          <w:tcPr>
            <w:tcW w:w="540" w:type="dxa"/>
            <w:vAlign w:val="bottom"/>
            <w:gridSpan w:val="3"/>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(Unaudited)</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tcBorders>
              <w:bottom w:val="single" w:sz="8" w:color="0000FF"/>
            </w:tcBorders>
            <w:gridSpan w:val="18"/>
          </w:tcPr>
          <w:p>
            <w:pPr>
              <w:spacing w:after="0" w:line="129" w:lineRule="exact"/>
              <w:rPr>
                <w:sz w:val="20"/>
                <w:szCs w:val="20"/>
                <w:color w:val="auto"/>
              </w:rPr>
            </w:pPr>
            <w:r>
              <w:rPr>
                <w:rFonts w:ascii="Arial" w:cs="Arial" w:eastAsia="Arial" w:hAnsi="Arial"/>
                <w:sz w:val="13"/>
                <w:szCs w:val="13"/>
                <w:color w:val="0000FF"/>
                <w:w w:val="97"/>
              </w:rPr>
              <w:t>Consolidated Statements of Comprehensive Income (Loss) for the three and six months ended June 30, 2024</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8"/>
          </w:tcPr>
          <w:p>
            <w:pPr>
              <w:spacing w:after="0" w:line="119" w:lineRule="exact"/>
              <w:rPr>
                <w:sz w:val="20"/>
                <w:szCs w:val="20"/>
                <w:color w:val="auto"/>
              </w:rPr>
            </w:pPr>
            <w:r>
              <w:rPr>
                <w:rFonts w:ascii="Arial" w:cs="Arial" w:eastAsia="Arial" w:hAnsi="Arial"/>
                <w:sz w:val="13"/>
                <w:szCs w:val="13"/>
                <w:color w:val="0000FF"/>
                <w:w w:val="96"/>
              </w:rPr>
              <w:t>and 2023 (Unaudited)</w:t>
            </w:r>
          </w:p>
        </w:tc>
        <w:tc>
          <w:tcPr>
            <w:tcW w:w="4960" w:type="dxa"/>
            <w:vAlign w:val="bottom"/>
            <w:gridSpan w:val="10"/>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Changes in Stockholders’ Equity for the three and six months ended June 30,</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top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6"/>
              </w:rPr>
              <w:t>2024 and 2023 (Unaudited)</w:t>
            </w:r>
          </w:p>
        </w:tc>
        <w:tc>
          <w:tcPr>
            <w:tcW w:w="4420" w:type="dxa"/>
            <w:vAlign w:val="bottom"/>
            <w:tcBorders>
              <w:top w:val="single" w:sz="8" w:color="0000FF"/>
            </w:tcBorders>
            <w:gridSpan w:val="8"/>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Cash Flows for the six months ended June 30, 2024 and 2023 (Unaudited)</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160" w:type="dxa"/>
            <w:vAlign w:val="bottom"/>
            <w:gridSpan w:val="3"/>
            <w:vMerge w:val="restart"/>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20" w:type="dxa"/>
            <w:vAlign w:val="bottom"/>
            <w:gridSpan w:val="16"/>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380" w:type="dxa"/>
            <w:vAlign w:val="bottom"/>
            <w:gridSpan w:val="2"/>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w w:val="97"/>
              </w:rPr>
              <w:t>Results of Operations</w:t>
            </w:r>
          </w:p>
        </w:tc>
        <w:tc>
          <w:tcPr>
            <w:tcW w:w="1480" w:type="dxa"/>
            <w:vAlign w:val="bottom"/>
            <w:gridSpan w:val="5"/>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0000FF"/>
            </w:tcBorders>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Borders>
              <w:bottom w:val="single" w:sz="8" w:color="0000FF"/>
            </w:tcBorders>
            <w:gridSpan w:val="13"/>
          </w:tcPr>
          <w:p>
            <w:pPr>
              <w:spacing w:after="0" w:line="119" w:lineRule="exact"/>
              <w:rPr>
                <w:sz w:val="20"/>
                <w:szCs w:val="20"/>
                <w:color w:val="auto"/>
              </w:rPr>
            </w:pPr>
            <w:r>
              <w:rPr>
                <w:rFonts w:ascii="Arial" w:cs="Arial" w:eastAsia="Arial" w:hAnsi="Arial"/>
                <w:sz w:val="13"/>
                <w:szCs w:val="13"/>
                <w:color w:val="0000FF"/>
                <w:w w:val="96"/>
              </w:rPr>
              <w:t>Management's Discussion and Analysis of Financial Condition and</w:t>
            </w:r>
          </w:p>
        </w:tc>
        <w:tc>
          <w:tcPr>
            <w:tcW w:w="1320" w:type="dxa"/>
            <w:vAlign w:val="bottom"/>
            <w:tcBorders>
              <w:bottom w:val="single" w:sz="8" w:color="0000FF"/>
            </w:tcBorders>
            <w:vMerge w:val="continue"/>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160" w:type="dxa"/>
            <w:vAlign w:val="bottom"/>
            <w:gridSpan w:val="8"/>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00" w:type="dxa"/>
            <w:vAlign w:val="bottom"/>
            <w:gridSpan w:val="11"/>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6520" w:type="dxa"/>
            <w:vAlign w:val="bottom"/>
            <w:gridSpan w:val="19"/>
          </w:tcPr>
          <w:p>
            <w:pPr>
              <w:spacing w:after="0"/>
              <w:rPr>
                <w:sz w:val="20"/>
                <w:szCs w:val="20"/>
                <w:color w:val="auto"/>
              </w:rPr>
            </w:pPr>
            <w:r>
              <w:rPr>
                <w:rFonts w:ascii="Arial" w:cs="Arial" w:eastAsia="Arial" w:hAnsi="Arial"/>
                <w:sz w:val="13"/>
                <w:szCs w:val="13"/>
                <w:color w:val="0000FF"/>
              </w:rPr>
              <w:t>Legal Proceedings</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0000FF"/>
              </w:rPr>
              <w:t>54</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Risk Factors</w:t>
            </w:r>
          </w:p>
        </w:tc>
        <w:tc>
          <w:tcPr>
            <w:tcW w:w="5800" w:type="dxa"/>
            <w:vAlign w:val="bottom"/>
            <w:gridSpan w:val="17"/>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06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Borders>
              <w:bottom w:val="single" w:sz="8" w:color="0000FF"/>
            </w:tcBorders>
            <w:gridSpan w:val="10"/>
          </w:tcPr>
          <w:p>
            <w:pPr>
              <w:spacing w:after="0" w:line="129" w:lineRule="exact"/>
              <w:rPr>
                <w:sz w:val="20"/>
                <w:szCs w:val="20"/>
                <w:color w:val="auto"/>
              </w:rPr>
            </w:pPr>
            <w:r>
              <w:rPr>
                <w:rFonts w:ascii="Arial" w:cs="Arial" w:eastAsia="Arial" w:hAnsi="Arial"/>
                <w:sz w:val="13"/>
                <w:szCs w:val="13"/>
                <w:color w:val="0000FF"/>
                <w:w w:val="99"/>
              </w:rPr>
              <w:t>Defaults Upon Senior Securities</w:t>
            </w:r>
          </w:p>
        </w:tc>
        <w:tc>
          <w:tcPr>
            <w:tcW w:w="4640" w:type="dxa"/>
            <w:vAlign w:val="bottom"/>
            <w:gridSpan w:val="9"/>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40" w:type="dxa"/>
            <w:vAlign w:val="bottom"/>
            <w:gridSpan w:val="12"/>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0" w:type="dxa"/>
            <w:vAlign w:val="bottom"/>
            <w:gridSpan w:val="4"/>
          </w:tcPr>
          <w:p>
            <w:pPr>
              <w:spacing w:after="0" w:line="129" w:lineRule="exact"/>
              <w:rPr>
                <w:sz w:val="20"/>
                <w:szCs w:val="20"/>
                <w:color w:val="auto"/>
              </w:rPr>
            </w:pPr>
            <w:r>
              <w:rPr>
                <w:rFonts w:ascii="Arial" w:cs="Arial" w:eastAsia="Arial" w:hAnsi="Arial"/>
                <w:sz w:val="13"/>
                <w:szCs w:val="13"/>
                <w:color w:val="0000FF"/>
              </w:rPr>
              <w:t>Item 5.</w:t>
            </w:r>
          </w:p>
        </w:tc>
        <w:tc>
          <w:tcPr>
            <w:tcW w:w="6600" w:type="dxa"/>
            <w:vAlign w:val="bottom"/>
            <w:gridSpan w:val="20"/>
          </w:tcPr>
          <w:p>
            <w:pPr>
              <w:ind w:left="80"/>
              <w:spacing w:after="0" w:line="129" w:lineRule="exact"/>
              <w:rPr>
                <w:sz w:val="20"/>
                <w:szCs w:val="20"/>
                <w:color w:val="auto"/>
              </w:rPr>
            </w:pPr>
            <w:r>
              <w:rPr>
                <w:rFonts w:ascii="Arial" w:cs="Arial" w:eastAsia="Arial" w:hAnsi="Arial"/>
                <w:sz w:val="13"/>
                <w:szCs w:val="13"/>
                <w:color w:val="0000FF"/>
              </w:rPr>
              <w:t>Other Information</w:t>
            </w:r>
          </w:p>
        </w:tc>
        <w:tc>
          <w:tcPr>
            <w:tcW w:w="54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55</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0000FF"/>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6"/>
              </w:rPr>
              <w:t>Exhibit Index</w:t>
            </w:r>
          </w:p>
        </w:tc>
        <w:tc>
          <w:tcPr>
            <w:tcW w:w="320" w:type="dxa"/>
            <w:vAlign w:val="bottom"/>
            <w:tcBorders>
              <w:top w:val="single" w:sz="8" w:color="0000FF"/>
            </w:tcBorders>
            <w:gridSpan w:val="2"/>
          </w:tcPr>
          <w:p>
            <w:pPr>
              <w:spacing w:after="0"/>
              <w:rPr>
                <w:sz w:val="10"/>
                <w:szCs w:val="10"/>
                <w:color w:val="auto"/>
              </w:rPr>
            </w:pPr>
          </w:p>
        </w:tc>
        <w:tc>
          <w:tcPr>
            <w:tcW w:w="5460" w:type="dxa"/>
            <w:vAlign w:val="bottom"/>
            <w:gridSpan w:val="14"/>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40"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jc w:val="center"/>
        <w:ind w:right="19"/>
        <w:spacing w:after="0"/>
        <w:rPr>
          <w:sz w:val="20"/>
          <w:szCs w:val="20"/>
          <w:color w:val="auto"/>
        </w:rPr>
      </w:pPr>
      <w:r>
        <w:rPr>
          <w:rFonts w:ascii="Arial" w:cs="Arial" w:eastAsia="Arial" w:hAnsi="Arial"/>
          <w:sz w:val="14"/>
          <w:szCs w:val="14"/>
          <w:color w:val="auto"/>
        </w:rPr>
        <w:t>USCB FINANCIAL HOLDINGS,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auto"/>
              </w:rPr>
              <w:t>June 30, 2024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December 31, 2023</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5,179</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8,019</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72,082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33,043</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77,261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$9 and $8, respectively (fair value $149,573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and $155,510, respectively)</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169,606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174,974</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236,444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229,329</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10,153</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$22,230 and $21,084, respectively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1,847,019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1,759,743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10,688</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4,836</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52,607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34,030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37,282</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9,568</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7,822</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2,458,270</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579,243</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552,762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1,097,468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1,048,272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65,844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47,702</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314,147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288,403</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2,056,702</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1,937,139</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162,000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183,000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28,611</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15,563</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2,257,250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2,147,125</w:t>
            </w:r>
          </w:p>
        </w:tc>
        <w:tc>
          <w:tcPr>
            <w:tcW w:w="20" w:type="dxa"/>
            <w:vAlign w:val="bottom"/>
            <w:shd w:val="clear" w:color="auto" w:fill="CCEEFF"/>
          </w:tcPr>
          <w:p>
            <w:pPr>
              <w:spacing w:after="0"/>
              <w:rPr>
                <w:sz w:val="12"/>
                <w:szCs w:val="12"/>
                <w:color w:val="auto"/>
              </w:rPr>
            </w:pPr>
          </w:p>
        </w:tc>
      </w:tr>
      <w:tr>
        <w:trPr>
          <w:trHeight w:val="96"/>
        </w:trPr>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85"/>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June 30,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June 30, 2024 and December 31, 2023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June 30,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52"/>
        </w:trPr>
        <w:tc>
          <w:tcPr>
            <w:tcW w:w="5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19,630,632 issued and</w:t>
            </w: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June 30, 2024, 19,575,435 issued and outstanding as of December 31, 2023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19,575</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outstanding as of June 30,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305,835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(79,760)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1"/>
                <w:szCs w:val="11"/>
                <w:color w:val="auto"/>
              </w:rPr>
              <w:t>(88,548)</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(44,686)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(44,271)</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201,020</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191,968</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2,458,270</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6"/>
          </w:tcPr>
          <w:p>
            <w:pPr>
              <w:ind w:left="60"/>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jc w:val="right"/>
              <w:ind w:right="143"/>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28,017</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20,847</w:t>
            </w:r>
          </w:p>
        </w:tc>
        <w:tc>
          <w:tcPr>
            <w:tcW w:w="4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54,660</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40,558</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4,668</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1,433</w:t>
            </w: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32,617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63,504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46,659</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10,071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11,753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1,291</w:t>
            </w: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15,306</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10,107</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31,035</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16,489</w:t>
            </w: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17,311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14,173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32,469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30,170</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16,525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14,135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31,273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29,931</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3,628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2,378</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3,211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5,675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3,916</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7,353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5,882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13,663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12,259</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2,618</w:t>
            </w: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676</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986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3,741</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3,348</w:t>
            </w: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11,560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22,734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20,628</w:t>
            </w: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13,219</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3,214</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6,209</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10,821</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10,005</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basic</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0.32</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71"/>
        </w:trPr>
        <w:tc>
          <w:tcPr>
            <w:tcW w:w="3380" w:type="dxa"/>
            <w:vAlign w:val="bottom"/>
          </w:tcPr>
          <w:p>
            <w:pPr>
              <w:ind w:left="200"/>
              <w:spacing w:after="0"/>
              <w:rPr>
                <w:sz w:val="20"/>
                <w:szCs w:val="20"/>
                <w:color w:val="auto"/>
              </w:rPr>
            </w:pPr>
            <w:r>
              <w:rPr>
                <w:rFonts w:ascii="Arial" w:cs="Arial" w:eastAsia="Arial" w:hAnsi="Arial"/>
                <w:sz w:val="11"/>
                <w:szCs w:val="11"/>
                <w:color w:val="auto"/>
              </w:rPr>
              <w:t>Net income per share, diluted</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0.31</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0.21</w:t>
            </w:r>
          </w:p>
        </w:tc>
        <w:tc>
          <w:tcPr>
            <w:tcW w:w="4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0.55</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dividend declared</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6"/>
          </w:tcPr>
          <w:p>
            <w:pPr>
              <w:jc w:val="right"/>
              <w:ind w:right="83"/>
              <w:spacing w:after="0"/>
              <w:rPr>
                <w:sz w:val="20"/>
                <w:szCs w:val="20"/>
                <w:color w:val="auto"/>
              </w:rPr>
            </w:pPr>
            <w:r>
              <w:rPr>
                <w:rFonts w:ascii="Arial" w:cs="Arial" w:eastAsia="Arial" w:hAnsi="Arial"/>
                <w:sz w:val="11"/>
                <w:szCs w:val="11"/>
                <w:b w:val="1"/>
                <w:bCs w:val="1"/>
                <w:color w:val="auto"/>
              </w:rPr>
              <w:t>Three Months Ended 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June 30,</w:t>
            </w:r>
          </w:p>
        </w:tc>
      </w:tr>
      <w:tr>
        <w:trPr>
          <w:trHeight w:val="140"/>
        </w:trPr>
        <w:tc>
          <w:tcPr>
            <w:tcW w:w="38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2"/>
                <w:szCs w:val="12"/>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10,005</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(3,287)</w:t>
            </w:r>
          </w:p>
        </w:tc>
      </w:tr>
      <w:tr>
        <w:trPr>
          <w:trHeight w:val="121"/>
        </w:trPr>
        <w:tc>
          <w:tcPr>
            <w:tcW w:w="3800" w:type="dxa"/>
            <w:vAlign w:val="bottom"/>
          </w:tcPr>
          <w:p>
            <w:pPr>
              <w:ind w:left="100"/>
              <w:spacing w:after="0" w:line="121" w:lineRule="exact"/>
              <w:rPr>
                <w:sz w:val="20"/>
                <w:szCs w:val="20"/>
                <w:color w:val="auto"/>
              </w:rPr>
            </w:pPr>
            <w:r>
              <w:rPr>
                <w:rFonts w:ascii="Arial" w:cs="Arial" w:eastAsia="Arial" w:hAnsi="Arial"/>
                <w:sz w:val="11"/>
                <w:szCs w:val="11"/>
                <w:color w:val="auto"/>
              </w:rPr>
              <w:t>Amortization of net unrealized gain (loss) on securitiestransferred from</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3800" w:type="dxa"/>
            <w:vAlign w:val="bottom"/>
          </w:tcPr>
          <w:p>
            <w:pPr>
              <w:ind w:left="100"/>
              <w:spacing w:after="0"/>
              <w:rPr>
                <w:sz w:val="20"/>
                <w:szCs w:val="20"/>
                <w:color w:val="auto"/>
              </w:rPr>
            </w:pPr>
            <w:r>
              <w:rPr>
                <w:rFonts w:ascii="Arial" w:cs="Arial" w:eastAsia="Arial" w:hAnsi="Arial"/>
                <w:sz w:val="11"/>
                <w:szCs w:val="11"/>
                <w:color w:val="auto"/>
              </w:rPr>
              <w:t>available-for-sale to held-to-maturity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w:t>
            </w:r>
          </w:p>
        </w:tc>
        <w:tc>
          <w:tcPr>
            <w:tcW w:w="20" w:type="dxa"/>
            <w:vAlign w:val="bottom"/>
          </w:tcPr>
          <w:p>
            <w:pPr>
              <w:spacing w:after="0"/>
              <w:rPr>
                <w:sz w:val="11"/>
                <w:szCs w:val="1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loss included in 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tcPr>
          <w:p>
            <w:pPr>
              <w:ind w:left="100"/>
              <w:spacing w:after="0"/>
              <w:rPr>
                <w:sz w:val="20"/>
                <w:szCs w:val="20"/>
                <w:color w:val="auto"/>
              </w:rPr>
            </w:pPr>
            <w:r>
              <w:rPr>
                <w:rFonts w:ascii="Arial" w:cs="Arial" w:eastAsia="Arial" w:hAnsi="Arial"/>
                <w:sz w:val="11"/>
                <w:szCs w:val="11"/>
                <w:color w:val="auto"/>
              </w:rPr>
              <w:t>Unrealized gain on cash flow hedge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549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1,046</w:t>
            </w:r>
          </w:p>
        </w:tc>
        <w:tc>
          <w:tcPr>
            <w:tcW w:w="20" w:type="dxa"/>
            <w:vAlign w:val="bottom"/>
          </w:tcPr>
          <w:p>
            <w:pPr>
              <w:spacing w:after="0"/>
              <w:rPr>
                <w:sz w:val="14"/>
                <w:szCs w:val="14"/>
                <w:color w:val="auto"/>
              </w:rPr>
            </w:pPr>
          </w:p>
        </w:tc>
      </w:tr>
      <w:tr>
        <w:trPr>
          <w:trHeight w:val="149"/>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1,444</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3800" w:type="dxa"/>
            <w:vAlign w:val="bottom"/>
          </w:tcPr>
          <w:p>
            <w:pPr>
              <w:spacing w:after="0"/>
              <w:rPr>
                <w:sz w:val="20"/>
                <w:szCs w:val="20"/>
                <w:color w:val="auto"/>
              </w:rPr>
            </w:pPr>
            <w:r>
              <w:rPr>
                <w:rFonts w:ascii="Arial" w:cs="Arial" w:eastAsia="Arial" w:hAnsi="Arial"/>
                <w:sz w:val="11"/>
                <w:szCs w:val="11"/>
                <w:color w:val="auto"/>
              </w:rPr>
              <w:t>Total other comprehensive income (loss), net of tax</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741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(4,254)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(1,568)</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Total comprehensive income (loss)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6,950</w:t>
            </w:r>
          </w:p>
        </w:tc>
        <w:tc>
          <w:tcPr>
            <w:tcW w:w="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10,406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8,437</w:t>
            </w:r>
          </w:p>
        </w:tc>
        <w:tc>
          <w:tcPr>
            <w:tcW w:w="20" w:type="dxa"/>
            <w:vAlign w:val="bottom"/>
            <w:shd w:val="clear" w:color="auto" w:fill="CCEEFF"/>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Additional Paid-in</w:t>
            </w:r>
          </w:p>
        </w:tc>
        <w:tc>
          <w:tcPr>
            <w:tcW w:w="12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6"/>
              </w:rPr>
              <w:t>Accumulated Other</w:t>
            </w:r>
          </w:p>
        </w:tc>
        <w:tc>
          <w:tcPr>
            <w:tcW w:w="120" w:type="dxa"/>
            <w:vAlign w:val="bottom"/>
          </w:tcPr>
          <w:p>
            <w:pPr>
              <w:spacing w:after="0"/>
              <w:rPr>
                <w:sz w:val="13"/>
                <w:szCs w:val="13"/>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8"/>
              </w:rPr>
              <w:t>Capital on Common</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11"/>
                <w:szCs w:val="11"/>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94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26"/>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1"/>
                <w:szCs w:val="11"/>
                <w:color w:val="auto"/>
              </w:rPr>
            </w:pPr>
          </w:p>
        </w:tc>
        <w:tc>
          <w:tcPr>
            <w:tcW w:w="920" w:type="dxa"/>
            <w:vAlign w:val="bottom"/>
          </w:tcPr>
          <w:p>
            <w:pPr>
              <w:jc w:val="center"/>
              <w:ind w:right="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Borders>
              <w:top w:val="single" w:sz="8" w:color="CCEEFF"/>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March 31, 2024</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19,650,463</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19,650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305,740</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(84,952)</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(45,427)</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195,011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6,209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6,209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Repurchase of Class A common stock</w:t>
            </w: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(25,000)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issued</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Dividend payment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7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Balance at June 30, 2024</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19,630,632</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19,631</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305,835</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(79,760)</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(44,686)</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201,020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40" w:type="dxa"/>
            <w:vAlign w:val="bottom"/>
            <w:tcBorders>
              <w:top w:val="single" w:sz="8" w:color="CCEEFF"/>
            </w:tcBorders>
            <w:gridSpan w:val="2"/>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3860" w:type="dxa"/>
            <w:vAlign w:val="bottom"/>
            <w:gridSpan w:val="3"/>
          </w:tcPr>
          <w:p>
            <w:pPr>
              <w:spacing w:after="0"/>
              <w:rPr>
                <w:sz w:val="20"/>
                <w:szCs w:val="20"/>
                <w:color w:val="auto"/>
              </w:rPr>
            </w:pPr>
            <w:r>
              <w:rPr>
                <w:rFonts w:ascii="Arial" w:cs="Arial" w:eastAsia="Arial" w:hAnsi="Arial"/>
                <w:sz w:val="11"/>
                <w:szCs w:val="11"/>
                <w:color w:val="auto"/>
              </w:rPr>
              <w:t>Balance at March 31, 2023</w:t>
            </w:r>
          </w:p>
        </w:tc>
        <w:tc>
          <w:tcPr>
            <w:tcW w:w="920" w:type="dxa"/>
            <w:vAlign w:val="bottom"/>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Pr>
          <w:p>
            <w:pPr>
              <w:spacing w:after="0"/>
              <w:rPr>
                <w:sz w:val="12"/>
                <w:szCs w:val="12"/>
                <w:color w:val="auto"/>
              </w:rPr>
            </w:pPr>
          </w:p>
        </w:tc>
        <w:tc>
          <w:tcPr>
            <w:tcW w:w="160" w:type="dxa"/>
            <w:vAlign w:val="bottom"/>
            <w:gridSpan w:val="2"/>
          </w:tcPr>
          <w:p>
            <w:pPr>
              <w:jc w:val="center"/>
              <w:ind w:right="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19,622</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305,921</w:t>
            </w:r>
          </w:p>
        </w:tc>
        <w:tc>
          <w:tcPr>
            <w:tcW w:w="6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1"/>
                <w:szCs w:val="11"/>
                <w:color w:val="auto"/>
              </w:rPr>
              <w:t>(99,620)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(42,065)</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183,858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Cumulative effect of adoption of accounting principlerelated to ASC 326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Adjusted beginning balance after cumulativeeffect adjustment</w:t>
            </w:r>
          </w:p>
        </w:tc>
        <w:tc>
          <w:tcPr>
            <w:tcW w:w="920" w:type="dxa"/>
            <w:vAlign w:val="bottom"/>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19,622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305,921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1"/>
                <w:szCs w:val="11"/>
                <w:color w:val="auto"/>
              </w:rPr>
              <w:t>(99,284)</w:t>
            </w: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(42,065)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184,194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(4,254)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(4,254)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(77,603)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2"/>
          </w:tcPr>
          <w:p>
            <w:pPr>
              <w:ind w:left="80"/>
              <w:spacing w:after="0"/>
              <w:rPr>
                <w:sz w:val="20"/>
                <w:szCs w:val="20"/>
                <w:color w:val="auto"/>
              </w:rPr>
            </w:pPr>
            <w:r>
              <w:rPr>
                <w:rFonts w:ascii="Arial" w:cs="Arial" w:eastAsia="Arial" w:hAnsi="Arial"/>
                <w:sz w:val="11"/>
                <w:szCs w:val="11"/>
                <w:color w:val="auto"/>
              </w:rPr>
              <w:t>Restricted stock issued</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Pr>
          <w:p>
            <w:pPr>
              <w:spacing w:after="0" w:line="119" w:lineRule="exact"/>
              <w:rPr>
                <w:sz w:val="20"/>
                <w:szCs w:val="20"/>
                <w:color w:val="auto"/>
              </w:rPr>
            </w:pPr>
            <w:r>
              <w:rPr>
                <w:rFonts w:ascii="Arial" w:cs="Arial" w:eastAsia="Arial" w:hAnsi="Arial"/>
                <w:sz w:val="11"/>
                <w:szCs w:val="11"/>
                <w:color w:val="auto"/>
              </w:rPr>
              <w:t>Balance at June 30, 2023</w:t>
            </w:r>
          </w:p>
        </w:tc>
        <w:tc>
          <w:tcPr>
            <w:tcW w:w="920" w:type="dxa"/>
            <w:vAlign w:val="bottom"/>
          </w:tcPr>
          <w:p>
            <w:pPr>
              <w:jc w:val="right"/>
              <w:spacing w:after="0" w:line="119" w:lineRule="exact"/>
              <w:rPr>
                <w:sz w:val="20"/>
                <w:szCs w:val="20"/>
                <w:color w:val="auto"/>
              </w:rPr>
            </w:pPr>
            <w:r>
              <w:rPr>
                <w:rFonts w:ascii="Arial" w:cs="Arial" w:eastAsia="Arial" w:hAnsi="Arial"/>
                <w:sz w:val="11"/>
                <w:szCs w:val="11"/>
                <w:color w:val="auto"/>
              </w:rPr>
              <w:t>19,544,777</w:t>
            </w:r>
          </w:p>
        </w:tc>
        <w:tc>
          <w:tcPr>
            <w:tcW w:w="20" w:type="dxa"/>
            <w:vAlign w:val="bottom"/>
          </w:tcPr>
          <w:p>
            <w:pPr>
              <w:spacing w:after="0"/>
              <w:rPr>
                <w:sz w:val="10"/>
                <w:szCs w:val="10"/>
                <w:color w:val="auto"/>
              </w:rPr>
            </w:pPr>
          </w:p>
        </w:tc>
        <w:tc>
          <w:tcPr>
            <w:tcW w:w="160" w:type="dxa"/>
            <w:vAlign w:val="bottom"/>
            <w:gridSpan w:val="2"/>
          </w:tcPr>
          <w:p>
            <w:pPr>
              <w:jc w:val="center"/>
              <w:ind w:right="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19,545</w:t>
            </w:r>
          </w:p>
        </w:tc>
        <w:tc>
          <w:tcPr>
            <w:tcW w:w="1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960" w:type="dxa"/>
            <w:vAlign w:val="bottom"/>
          </w:tcPr>
          <w:p>
            <w:pPr>
              <w:jc w:val="right"/>
              <w:spacing w:after="0" w:line="119" w:lineRule="exact"/>
              <w:rPr>
                <w:sz w:val="20"/>
                <w:szCs w:val="20"/>
                <w:color w:val="auto"/>
              </w:rPr>
            </w:pPr>
            <w:r>
              <w:rPr>
                <w:rFonts w:ascii="Arial" w:cs="Arial" w:eastAsia="Arial" w:hAnsi="Arial"/>
                <w:sz w:val="11"/>
                <w:szCs w:val="11"/>
                <w:color w:val="auto"/>
              </w:rPr>
              <w:t>305,547</w:t>
            </w:r>
          </w:p>
        </w:tc>
        <w:tc>
          <w:tcPr>
            <w:tcW w:w="6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(95,088)</w:t>
            </w:r>
          </w:p>
        </w:tc>
        <w:tc>
          <w:tcPr>
            <w:tcW w:w="4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19" w:lineRule="exact"/>
              <w:rPr>
                <w:sz w:val="20"/>
                <w:szCs w:val="20"/>
                <w:color w:val="auto"/>
              </w:rPr>
            </w:pPr>
            <w:r>
              <w:rPr>
                <w:rFonts w:ascii="Arial" w:cs="Arial" w:eastAsia="Arial" w:hAnsi="Arial"/>
                <w:sz w:val="11"/>
                <w:szCs w:val="11"/>
                <w:color w:val="auto"/>
              </w:rPr>
              <w:t>(46,319)</w:t>
            </w:r>
          </w:p>
        </w:tc>
        <w:tc>
          <w:tcPr>
            <w:tcW w:w="6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19" w:lineRule="exact"/>
              <w:rPr>
                <w:sz w:val="20"/>
                <w:szCs w:val="20"/>
                <w:color w:val="auto"/>
              </w:rPr>
            </w:pPr>
            <w:r>
              <w:rPr>
                <w:rFonts w:ascii="Arial" w:cs="Arial" w:eastAsia="Arial" w:hAnsi="Arial"/>
                <w:sz w:val="11"/>
                <w:szCs w:val="11"/>
                <w:color w:val="auto"/>
              </w:rPr>
              <w:t>183,685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10200"/>
          </w:cols>
          <w:pgMar w:left="900" w:top="477" w:right="7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8"/>
              </w:rPr>
              <w:t>Additional Paid-in</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w w:val="96"/>
              </w:rPr>
              <w:t>Accumulated Other</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0"/>
                <w:szCs w:val="10"/>
                <w:color w:val="auto"/>
              </w:rPr>
            </w:pPr>
          </w:p>
        </w:tc>
        <w:tc>
          <w:tcPr>
            <w:tcW w:w="1160" w:type="dxa"/>
            <w:vAlign w:val="bottom"/>
            <w:gridSpan w:val="7"/>
          </w:tcPr>
          <w:p>
            <w:pPr>
              <w:jc w:val="center"/>
              <w:ind w:right="80"/>
              <w:spacing w:after="0" w:line="117" w:lineRule="exact"/>
              <w:rPr>
                <w:sz w:val="20"/>
                <w:szCs w:val="20"/>
                <w:color w:val="auto"/>
              </w:rPr>
            </w:pPr>
            <w:r>
              <w:rPr>
                <w:rFonts w:ascii="Arial" w:cs="Arial" w:eastAsia="Arial" w:hAnsi="Arial"/>
                <w:sz w:val="11"/>
                <w:szCs w:val="11"/>
                <w:b w:val="1"/>
                <w:bCs w:val="1"/>
                <w:color w:val="auto"/>
                <w:w w:val="96"/>
              </w:rPr>
              <w:t>Capital on Common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80"/>
              <w:spacing w:after="0" w:line="117" w:lineRule="exact"/>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tcPr>
          <w:p>
            <w:pPr>
              <w:jc w:val="center"/>
              <w:ind w:right="160"/>
              <w:spacing w:after="0" w:line="117" w:lineRule="exact"/>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60"/>
              <w:spacing w:after="0" w:line="117"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7"/>
        </w:trPr>
        <w:tc>
          <w:tcPr>
            <w:tcW w:w="40" w:type="dxa"/>
            <w:vAlign w:val="bottom"/>
            <w:tcBorders>
              <w:top w:val="single" w:sz="8" w:color="CCEEFF"/>
            </w:tcBorders>
            <w:shd w:val="clear" w:color="auto" w:fill="CCEEFF"/>
          </w:tcPr>
          <w:p>
            <w:pPr>
              <w:spacing w:after="0"/>
              <w:rPr>
                <w:sz w:val="10"/>
                <w:szCs w:val="10"/>
                <w:color w:val="auto"/>
              </w:rPr>
            </w:pPr>
          </w:p>
        </w:tc>
        <w:tc>
          <w:tcPr>
            <w:tcW w:w="3720" w:type="dxa"/>
            <w:vAlign w:val="bottom"/>
            <w:tcBorders>
              <w:top w:val="single" w:sz="8" w:color="CCEEFF"/>
              <w:bottom w:val="single" w:sz="8" w:color="CCEEFF"/>
            </w:tcBorders>
            <w:gridSpan w:val="2"/>
            <w:shd w:val="clear" w:color="auto" w:fill="CCEEFF"/>
          </w:tcPr>
          <w:p>
            <w:pPr>
              <w:spacing w:after="0" w:line="117" w:lineRule="exact"/>
              <w:rPr>
                <w:sz w:val="20"/>
                <w:szCs w:val="20"/>
                <w:color w:val="auto"/>
              </w:rPr>
            </w:pPr>
            <w:r>
              <w:rPr>
                <w:rFonts w:ascii="Arial" w:cs="Arial" w:eastAsia="Arial" w:hAnsi="Arial"/>
                <w:sz w:val="11"/>
                <w:szCs w:val="11"/>
                <w:color w:val="auto"/>
              </w:rPr>
              <w:t>Balance at December 31, 2023</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19,575,435</w:t>
            </w: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19,575</w:t>
            </w: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305,212</w:t>
            </w: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(88,548)</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(44,271)</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191,968</w:t>
            </w:r>
          </w:p>
        </w:tc>
        <w:tc>
          <w:tcPr>
            <w:tcW w:w="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720" w:type="dxa"/>
            <w:vAlign w:val="bottom"/>
            <w:gridSpan w:val="2"/>
          </w:tcPr>
          <w:p>
            <w:pPr>
              <w:ind w:left="100"/>
              <w:spacing w:after="0" w:line="119" w:lineRule="exact"/>
              <w:rPr>
                <w:sz w:val="20"/>
                <w:szCs w:val="20"/>
                <w:color w:val="auto"/>
              </w:rPr>
            </w:pPr>
            <w:r>
              <w:rPr>
                <w:rFonts w:ascii="Arial" w:cs="Arial" w:eastAsia="Arial" w:hAnsi="Arial"/>
                <w:sz w:val="11"/>
                <w:szCs w:val="11"/>
                <w:color w:val="auto"/>
              </w:rPr>
              <w:t>Net income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10,821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10,821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(415)</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Repurchase of Class A common stock</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(32,100)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issued</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Restricted stock forfeiture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(8,625)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760" w:type="dxa"/>
            <w:vAlign w:val="bottom"/>
            <w:gridSpan w:val="3"/>
          </w:tcPr>
          <w:p>
            <w:pPr>
              <w:ind w:left="100"/>
              <w:spacing w:after="0"/>
              <w:rPr>
                <w:sz w:val="20"/>
                <w:szCs w:val="20"/>
                <w:color w:val="auto"/>
              </w:rPr>
            </w:pPr>
            <w:r>
              <w:rPr>
                <w:rFonts w:ascii="Arial" w:cs="Arial" w:eastAsia="Arial" w:hAnsi="Arial"/>
                <w:sz w:val="11"/>
                <w:szCs w:val="11"/>
                <w:color w:val="auto"/>
              </w:rPr>
              <w:t>Dividend payment</w:t>
            </w:r>
          </w:p>
        </w:tc>
        <w:tc>
          <w:tcPr>
            <w:tcW w:w="9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color w:val="auto"/>
              </w:rPr>
              <w:t>(2,033)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tcBorders>
              <w:bottom w:val="single" w:sz="8" w:color="CCEEFF"/>
            </w:tcBorders>
            <w:gridSpan w:val="4"/>
          </w:tcPr>
          <w:p>
            <w:pPr>
              <w:ind w:left="40"/>
              <w:spacing w:after="0"/>
              <w:rPr>
                <w:sz w:val="20"/>
                <w:szCs w:val="20"/>
                <w:color w:val="auto"/>
              </w:rPr>
            </w:pPr>
            <w:r>
              <w:rPr>
                <w:rFonts w:ascii="Arial" w:cs="Arial" w:eastAsia="Arial" w:hAnsi="Arial"/>
                <w:sz w:val="11"/>
                <w:szCs w:val="11"/>
                <w:color w:val="auto"/>
              </w:rPr>
              <w:t>Balance at June 30, 2024</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19,630,632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19,631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305,835</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(79,760)</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(44,686)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201,020</w:t>
            </w:r>
          </w:p>
        </w:tc>
        <w:tc>
          <w:tcPr>
            <w:tcW w:w="0" w:type="dxa"/>
            <w:vAlign w:val="bottom"/>
          </w:tcPr>
          <w:p>
            <w:pPr>
              <w:spacing w:after="0"/>
              <w:rPr>
                <w:sz w:val="1"/>
                <w:szCs w:val="1"/>
                <w:color w:val="auto"/>
              </w:rPr>
            </w:pPr>
          </w:p>
        </w:tc>
      </w:tr>
      <w:tr>
        <w:trPr>
          <w:trHeight w:val="79"/>
        </w:trPr>
        <w:tc>
          <w:tcPr>
            <w:tcW w:w="3800" w:type="dxa"/>
            <w:vAlign w:val="bottom"/>
            <w:tcBorders>
              <w:top w:val="single" w:sz="8" w:color="CCEEFF"/>
            </w:tcBorders>
            <w:gridSpan w:val="4"/>
            <w:shd w:val="clear" w:color="auto" w:fill="CCEEFF"/>
          </w:tcPr>
          <w:p>
            <w:pPr>
              <w:spacing w:after="0"/>
              <w:rPr>
                <w:sz w:val="6"/>
                <w:szCs w:val="6"/>
                <w:color w:val="auto"/>
              </w:rPr>
            </w:pPr>
          </w:p>
        </w:tc>
        <w:tc>
          <w:tcPr>
            <w:tcW w:w="900" w:type="dxa"/>
            <w:vAlign w:val="bottom"/>
            <w:tcBorders>
              <w:top w:val="single" w:sz="8" w:color="auto"/>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gridSpan w:val="3"/>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800" w:type="dxa"/>
            <w:vAlign w:val="bottom"/>
            <w:gridSpan w:val="4"/>
          </w:tcPr>
          <w:p>
            <w:pPr>
              <w:ind w:left="40"/>
              <w:spacing w:after="0"/>
              <w:rPr>
                <w:sz w:val="20"/>
                <w:szCs w:val="20"/>
                <w:color w:val="auto"/>
              </w:rPr>
            </w:pPr>
            <w:r>
              <w:rPr>
                <w:rFonts w:ascii="Arial" w:cs="Arial" w:eastAsia="Arial" w:hAnsi="Arial"/>
                <w:sz w:val="11"/>
                <w:szCs w:val="11"/>
                <w:color w:val="auto"/>
              </w:rPr>
              <w:t>Balance at December 31, 2022</w:t>
            </w:r>
          </w:p>
        </w:tc>
        <w:tc>
          <w:tcPr>
            <w:tcW w:w="900" w:type="dxa"/>
            <w:vAlign w:val="bottom"/>
            <w:gridSpan w:val="3"/>
          </w:tcPr>
          <w:p>
            <w:pPr>
              <w:jc w:val="right"/>
              <w:ind w:right="60"/>
              <w:spacing w:after="0"/>
              <w:rPr>
                <w:sz w:val="20"/>
                <w:szCs w:val="20"/>
                <w:color w:val="auto"/>
              </w:rPr>
            </w:pPr>
            <w:r>
              <w:rPr>
                <w:rFonts w:ascii="Arial" w:cs="Arial" w:eastAsia="Arial" w:hAnsi="Arial"/>
                <w:sz w:val="11"/>
                <w:szCs w:val="11"/>
                <w:color w:val="auto"/>
              </w:rPr>
              <w:t>20,000,753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20,001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311,282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color w:val="auto"/>
              </w:rPr>
              <w:t>(104,104)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w w:val="97"/>
              </w:rPr>
              <w:t>After tax cumulative effect of adoption of accountingprinciple related to ASC</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326</w:t>
            </w: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Adjusted beginning balance after cumulativeeffect adjustment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20,001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311,282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(105,093)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(44,751)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181,439</w:t>
            </w:r>
          </w:p>
        </w:tc>
        <w:tc>
          <w:tcPr>
            <w:tcW w:w="0" w:type="dxa"/>
            <w:vAlign w:val="bottom"/>
          </w:tcPr>
          <w:p>
            <w:pPr>
              <w:spacing w:after="0"/>
              <w:rPr>
                <w:sz w:val="1"/>
                <w:szCs w:val="1"/>
                <w:color w:val="auto"/>
              </w:rPr>
            </w:pPr>
          </w:p>
        </w:tc>
      </w:tr>
      <w:tr>
        <w:trPr>
          <w:trHeight w:val="128"/>
        </w:trPr>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760" w:type="dxa"/>
            <w:vAlign w:val="bottom"/>
            <w:gridSpan w:val="3"/>
          </w:tcPr>
          <w:p>
            <w:pPr>
              <w:ind w:left="100"/>
              <w:spacing w:after="0"/>
              <w:rPr>
                <w:sz w:val="20"/>
                <w:szCs w:val="20"/>
                <w:color w:val="auto"/>
              </w:rPr>
            </w:pPr>
            <w:r>
              <w:rPr>
                <w:rFonts w:ascii="Arial" w:cs="Arial" w:eastAsia="Arial" w:hAnsi="Arial"/>
                <w:sz w:val="11"/>
                <w:szCs w:val="11"/>
                <w:color w:val="auto"/>
              </w:rPr>
              <w:t>Other comprehensive loss</w:t>
            </w:r>
          </w:p>
        </w:tc>
        <w:tc>
          <w:tcPr>
            <w:tcW w:w="90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color w:val="auto"/>
              </w:rPr>
              <w:t>(1,568)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(1,568)</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(577,603)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(6,036)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(6,613)</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Restricted stock issued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121,627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(121)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800" w:type="dxa"/>
            <w:vAlign w:val="bottom"/>
            <w:gridSpan w:val="4"/>
          </w:tcPr>
          <w:p>
            <w:pPr>
              <w:ind w:left="40"/>
              <w:spacing w:after="0" w:line="119" w:lineRule="exact"/>
              <w:rPr>
                <w:sz w:val="20"/>
                <w:szCs w:val="20"/>
                <w:color w:val="auto"/>
              </w:rPr>
            </w:pPr>
            <w:r>
              <w:rPr>
                <w:rFonts w:ascii="Arial" w:cs="Arial" w:eastAsia="Arial" w:hAnsi="Arial"/>
                <w:sz w:val="11"/>
                <w:szCs w:val="11"/>
                <w:color w:val="auto"/>
              </w:rPr>
              <w:t>Balance at June 30, 2023</w:t>
            </w:r>
          </w:p>
        </w:tc>
        <w:tc>
          <w:tcPr>
            <w:tcW w:w="900" w:type="dxa"/>
            <w:vAlign w:val="bottom"/>
            <w:tcBorders>
              <w:bottom w:val="single" w:sz="8" w:color="auto"/>
            </w:tcBorders>
            <w:gridSpan w:val="3"/>
          </w:tcPr>
          <w:p>
            <w:pPr>
              <w:jc w:val="right"/>
              <w:ind w:right="60"/>
              <w:spacing w:after="0" w:line="119" w:lineRule="exact"/>
              <w:rPr>
                <w:sz w:val="20"/>
                <w:szCs w:val="20"/>
                <w:color w:val="auto"/>
              </w:rPr>
            </w:pPr>
            <w:r>
              <w:rPr>
                <w:rFonts w:ascii="Arial" w:cs="Arial" w:eastAsia="Arial" w:hAnsi="Arial"/>
                <w:sz w:val="11"/>
                <w:szCs w:val="11"/>
                <w:color w:val="auto"/>
              </w:rPr>
              <w:t>19,544,777</w:t>
            </w:r>
          </w:p>
        </w:tc>
        <w:tc>
          <w:tcPr>
            <w:tcW w:w="60" w:type="dxa"/>
            <w:vAlign w:val="bottom"/>
          </w:tcPr>
          <w:p>
            <w:pPr>
              <w:spacing w:after="0"/>
              <w:rPr>
                <w:sz w:val="10"/>
                <w:szCs w:val="10"/>
                <w:color w:val="auto"/>
              </w:rPr>
            </w:pPr>
          </w:p>
        </w:tc>
        <w:tc>
          <w:tcPr>
            <w:tcW w:w="8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gridSpan w:val="3"/>
          </w:tcPr>
          <w:p>
            <w:pPr>
              <w:jc w:val="right"/>
              <w:ind w:right="40"/>
              <w:spacing w:after="0" w:line="119" w:lineRule="exact"/>
              <w:rPr>
                <w:sz w:val="20"/>
                <w:szCs w:val="20"/>
                <w:color w:val="auto"/>
              </w:rPr>
            </w:pPr>
            <w:r>
              <w:rPr>
                <w:rFonts w:ascii="Arial" w:cs="Arial" w:eastAsia="Arial" w:hAnsi="Arial"/>
                <w:sz w:val="11"/>
                <w:szCs w:val="11"/>
                <w:color w:val="auto"/>
              </w:rPr>
              <w:t>19,545</w:t>
            </w:r>
          </w:p>
        </w:tc>
        <w:tc>
          <w:tcPr>
            <w:tcW w:w="60" w:type="dxa"/>
            <w:vAlign w:val="bottom"/>
          </w:tcPr>
          <w:p>
            <w:pPr>
              <w:spacing w:after="0"/>
              <w:rPr>
                <w:sz w:val="10"/>
                <w:szCs w:val="10"/>
                <w:color w:val="auto"/>
              </w:rPr>
            </w:pPr>
          </w:p>
        </w:tc>
        <w:tc>
          <w:tcPr>
            <w:tcW w:w="10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gridSpan w:val="3"/>
          </w:tcPr>
          <w:p>
            <w:pPr>
              <w:jc w:val="right"/>
              <w:ind w:right="60"/>
              <w:spacing w:after="0" w:line="119" w:lineRule="exact"/>
              <w:rPr>
                <w:sz w:val="20"/>
                <w:szCs w:val="20"/>
                <w:color w:val="auto"/>
              </w:rPr>
            </w:pPr>
            <w:r>
              <w:rPr>
                <w:rFonts w:ascii="Arial" w:cs="Arial" w:eastAsia="Arial" w:hAnsi="Arial"/>
                <w:sz w:val="11"/>
                <w:szCs w:val="11"/>
                <w:color w:val="auto"/>
              </w:rPr>
              <w:t>305,547</w:t>
            </w: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3"/>
          </w:tcPr>
          <w:p>
            <w:pPr>
              <w:jc w:val="right"/>
              <w:ind w:right="20"/>
              <w:spacing w:after="0" w:line="119" w:lineRule="exact"/>
              <w:rPr>
                <w:sz w:val="20"/>
                <w:szCs w:val="20"/>
                <w:color w:val="auto"/>
              </w:rPr>
            </w:pPr>
            <w:r>
              <w:rPr>
                <w:rFonts w:ascii="Arial" w:cs="Arial" w:eastAsia="Arial" w:hAnsi="Arial"/>
                <w:sz w:val="11"/>
                <w:szCs w:val="11"/>
                <w:color w:val="auto"/>
              </w:rPr>
              <w:t>(95,088)</w:t>
            </w:r>
          </w:p>
        </w:tc>
        <w:tc>
          <w:tcPr>
            <w:tcW w:w="60" w:type="dxa"/>
            <w:vAlign w:val="bottom"/>
          </w:tcPr>
          <w:p>
            <w:pPr>
              <w:spacing w:after="0"/>
              <w:rPr>
                <w:sz w:val="10"/>
                <w:szCs w:val="10"/>
                <w:color w:val="auto"/>
              </w:rPr>
            </w:pPr>
          </w:p>
        </w:tc>
        <w:tc>
          <w:tcPr>
            <w:tcW w:w="10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gridSpan w:val="3"/>
          </w:tcPr>
          <w:p>
            <w:pPr>
              <w:jc w:val="right"/>
              <w:ind w:right="20"/>
              <w:spacing w:after="0" w:line="119" w:lineRule="exact"/>
              <w:rPr>
                <w:sz w:val="20"/>
                <w:szCs w:val="20"/>
                <w:color w:val="auto"/>
              </w:rPr>
            </w:pPr>
            <w:r>
              <w:rPr>
                <w:rFonts w:ascii="Arial" w:cs="Arial" w:eastAsia="Arial" w:hAnsi="Arial"/>
                <w:sz w:val="11"/>
                <w:szCs w:val="11"/>
                <w:color w:val="auto"/>
              </w:rPr>
              <w:t>(46,319)</w:t>
            </w: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3"/>
          </w:tcPr>
          <w:p>
            <w:pPr>
              <w:jc w:val="right"/>
              <w:ind w:right="60"/>
              <w:spacing w:after="0" w:line="119" w:lineRule="exact"/>
              <w:rPr>
                <w:sz w:val="20"/>
                <w:szCs w:val="20"/>
                <w:color w:val="auto"/>
              </w:rPr>
            </w:pPr>
            <w:r>
              <w:rPr>
                <w:rFonts w:ascii="Arial" w:cs="Arial" w:eastAsia="Arial" w:hAnsi="Arial"/>
                <w:sz w:val="11"/>
                <w:szCs w:val="11"/>
                <w:color w:val="auto"/>
              </w:rPr>
              <w:t>183,685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10200"/>
          </w:cols>
          <w:pgMar w:left="900" w:top="477" w:right="799"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1"/>
                <w:szCs w:val="11"/>
                <w:b w:val="1"/>
                <w:bCs w:val="1"/>
                <w:color w:val="auto"/>
              </w:rPr>
              <w:t>Six Months Ended June 30,</w:t>
            </w: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9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10,821</w:t>
            </w:r>
          </w:p>
        </w:tc>
        <w:tc>
          <w:tcPr>
            <w:tcW w:w="40" w:type="dxa"/>
            <w:vAlign w:val="bottom"/>
          </w:tcPr>
          <w:p>
            <w:pPr>
              <w:spacing w:after="0"/>
              <w:rPr>
                <w:sz w:val="12"/>
                <w:szCs w:val="12"/>
                <w:color w:val="auto"/>
              </w:rPr>
            </w:pPr>
          </w:p>
        </w:tc>
        <w:tc>
          <w:tcPr>
            <w:tcW w:w="740" w:type="dxa"/>
            <w:vAlign w:val="bottom"/>
            <w:gridSpan w:val="2"/>
          </w:tcPr>
          <w:p>
            <w:pPr>
              <w:jc w:val="right"/>
              <w:ind w:right="653"/>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1,196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(Accretion) amortization of premiums on securities,net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(228)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Accretion of deferred loan fees, net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Stock-based compensation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 (gain) on sale of available for sale securities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Gain on sale of loans held 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(484)</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Increase in cash surrender value of bank ownedlife insurance</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(826)</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Decrease in deferred tax assets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3,393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change in operating assets and liabilities: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Accrued interest receivable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Accrued interest and other liabilities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940" w:type="dxa"/>
            <w:vAlign w:val="bottom"/>
            <w:shd w:val="clear" w:color="auto" w:fill="CCEEFF"/>
          </w:tcPr>
          <w:p>
            <w:pPr>
              <w:ind w:left="8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25,923</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20,186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80" w:type="dxa"/>
            <w:vAlign w:val="bottom"/>
            <w:gridSpan w:val="2"/>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investment securities heldto maturity</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(86,788)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54,873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Purchase of investment securities availablefor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(52,449)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(7,667)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9,630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Proceeds from sales of investment securitiesavailable 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34,753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increase in loans held for investment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(49,386)</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(93,737)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loans held for investment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(44,691)</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 to premises and equipment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(178)</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Proceeds from the sale of loans held for sale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6,049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the redemption of FederalHome Loan Bank stock</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Federal Home Loan Bank 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(177)</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(8,164)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94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rPr>
              <w:t>Net cash used in investment activities</w:t>
            </w: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(86,196)</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3"/>
              </w:rPr>
              <w:t>(113,481)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2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Proceeds from issuance of Class A commonstock, net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dividends paid</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Repurchase of Class A common 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(6,613)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increase in deposits</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119,562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92,020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Proceeds from Federal Home Loan Bank advancesand other borrowings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80,000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Repayments on Federal Home Loan Bank advances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(101,000)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3"/>
              </w:rPr>
              <w:t>(198,350)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40" w:type="dxa"/>
            <w:vAlign w:val="bottom"/>
            <w:tcBorders>
              <w:top w:val="single" w:sz="8" w:color="CCEEFF"/>
            </w:tcBorders>
            <w:gridSpan w:val="2"/>
          </w:tcPr>
          <w:p>
            <w:pPr>
              <w:ind w:left="200"/>
              <w:spacing w:after="0" w:line="119" w:lineRule="exact"/>
              <w:rPr>
                <w:sz w:val="20"/>
                <w:szCs w:val="20"/>
                <w:color w:val="auto"/>
              </w:rPr>
            </w:pPr>
            <w:r>
              <w:rPr>
                <w:rFonts w:ascii="Arial" w:cs="Arial" w:eastAsia="Arial" w:hAnsi="Arial"/>
                <w:sz w:val="11"/>
                <w:szCs w:val="11"/>
                <w:color w:val="auto"/>
              </w:rPr>
              <w:t>Net cash provided by financing activities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96,472</w:t>
            </w: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126,407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gridSpan w:val="4"/>
          </w:tcPr>
          <w:p>
            <w:pPr>
              <w:spacing w:after="0"/>
              <w:rPr>
                <w:sz w:val="20"/>
                <w:szCs w:val="20"/>
                <w:color w:val="auto"/>
              </w:rPr>
            </w:pPr>
            <w:r>
              <w:rPr>
                <w:rFonts w:ascii="Arial" w:cs="Arial" w:eastAsia="Arial" w:hAnsi="Arial"/>
                <w:sz w:val="11"/>
                <w:szCs w:val="11"/>
                <w:color w:val="auto"/>
              </w:rPr>
              <w:t>Net increase in cash and cash equivalents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36,199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beginningof period</w:t>
            </w: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41,062</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20" w:type="dxa"/>
            <w:vAlign w:val="bottom"/>
            <w:gridSpan w:val="3"/>
          </w:tcPr>
          <w:p>
            <w:pPr>
              <w:spacing w:after="0"/>
              <w:rPr>
                <w:sz w:val="20"/>
                <w:szCs w:val="20"/>
                <w:color w:val="auto"/>
              </w:rPr>
            </w:pPr>
            <w:r>
              <w:rPr>
                <w:rFonts w:ascii="Arial" w:cs="Arial" w:eastAsia="Arial" w:hAnsi="Arial"/>
                <w:sz w:val="11"/>
                <w:szCs w:val="11"/>
                <w:color w:val="auto"/>
              </w:rPr>
              <w:t>Cash and cash equivalents at end of period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77,261</w:t>
            </w:r>
          </w:p>
        </w:tc>
        <w:tc>
          <w:tcPr>
            <w:tcW w:w="40" w:type="dxa"/>
            <w:vAlign w:val="bottom"/>
          </w:tcPr>
          <w:p>
            <w:pPr>
              <w:spacing w:after="0"/>
              <w:rPr>
                <w:sz w:val="11"/>
                <w:szCs w:val="11"/>
                <w:color w:val="auto"/>
              </w:rPr>
            </w:pPr>
          </w:p>
        </w:tc>
        <w:tc>
          <w:tcPr>
            <w:tcW w:w="740" w:type="dxa"/>
            <w:vAlign w:val="bottom"/>
            <w:gridSpan w:val="2"/>
          </w:tcPr>
          <w:p>
            <w:pPr>
              <w:jc w:val="right"/>
              <w:ind w:right="653"/>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87,280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20" w:type="dxa"/>
            <w:vAlign w:val="bottom"/>
            <w:tcBorders>
              <w:top w:val="single" w:sz="8" w:color="CCEEFF"/>
            </w:tcBorders>
            <w:gridSpan w:val="3"/>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5240" w:type="dxa"/>
            <w:vAlign w:val="bottom"/>
            <w:gridSpan w:val="4"/>
          </w:tcPr>
          <w:p>
            <w:pPr>
              <w:spacing w:after="0"/>
              <w:rPr>
                <w:sz w:val="20"/>
                <w:szCs w:val="20"/>
                <w:color w:val="auto"/>
              </w:rPr>
            </w:pPr>
            <w:r>
              <w:rPr>
                <w:rFonts w:ascii="Arial" w:cs="Arial" w:eastAsia="Arial" w:hAnsi="Arial"/>
                <w:sz w:val="11"/>
                <w:szCs w:val="11"/>
                <w:b w:val="1"/>
                <w:bCs w:val="1"/>
                <w:color w:val="auto"/>
              </w:rPr>
              <w:t>Supplemental disclosure of cash flowinformation: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paid</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28,538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15,535</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restart"/>
          </w:tcPr>
          <w:p>
            <w:pPr>
              <w:spacing w:after="0"/>
              <w:rPr>
                <w:sz w:val="6"/>
                <w:szCs w:val="6"/>
                <w:color w:val="auto"/>
              </w:rPr>
            </w:pPr>
          </w:p>
        </w:tc>
        <w:tc>
          <w:tcPr>
            <w:tcW w:w="5220" w:type="dxa"/>
            <w:vAlign w:val="bottom"/>
            <w:gridSpan w:val="3"/>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Supplemental schedule of non-cash investingand financing activities: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Transfer of loans held for investment to loans heldfor sale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5,565</w:t>
            </w:r>
          </w:p>
        </w:tc>
        <w:tc>
          <w:tcPr>
            <w:tcW w:w="40" w:type="dxa"/>
            <w:vAlign w:val="bottom"/>
          </w:tcPr>
          <w:p>
            <w:pPr>
              <w:spacing w:after="0"/>
              <w:rPr>
                <w:sz w:val="12"/>
                <w:szCs w:val="12"/>
                <w:color w:val="auto"/>
              </w:rPr>
            </w:pPr>
          </w:p>
        </w:tc>
        <w:tc>
          <w:tcPr>
            <w:tcW w:w="740" w:type="dxa"/>
            <w:vAlign w:val="bottom"/>
            <w:gridSpan w:val="2"/>
          </w:tcPr>
          <w:p>
            <w:pPr>
              <w:jc w:val="right"/>
              <w:ind w:right="653"/>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1. 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audited financial statements and related notes appearing in the Company’s Annual Report on Form 10-K for the year ended December 31, 2023.</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(“ACL”) and income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Reclassifications had no impact on the net income or stockholders’ equity of the Company.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Adoption of New Accounting Standards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March 2020, the Financial Accounting Standards Board (“FASB”) issued Accounting Standard Update (“ASU”) 2020-04, Reference Rate Reform (Topic 848), aiming to facilitate the impacts of reference rate reform on financial reporting. This initiative was subsequently clarified in January 2021 through ASU 2021-01, providing optional directives for a designated timeframe to alleviate challenges associated with accounting for, or acknowledging the effects of, reference rate reform on financial reporting. These amendments offer discretionary guidance for a defined period to alleviate potential accounting complexities associated with reference rate reform in financial reporting. The expedients and exceptions provided by these amendments are not applicable to contract modifications executed and hedging relationships initiated or reviewed after December 31, 2022, except for pre-existing hedging relationships as of December 31, 2022, for which an entity has opted for specific optional expedients, and which are retained until the conclusion of the hedging relationship. Additionally, the amendments permit entities to make a one-time choice to divest, transfer, or both divest and transfer debt securities categorized as held to maturity, referencing a rate impacted by reference rate reform, and classified as held to maturity prior to January 1, 2020. In December 2022, the FASB issued new guidance extending the expiration date of this guidance from December 31, 2022 to December 31, 2024, after which entities will no longer be authorized to apply the relief provided</w:t>
      </w:r>
    </w:p>
    <w:p>
      <w:pPr>
        <w:spacing w:after="0" w:line="17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39"/>
        <w:spacing w:after="0" w:line="252" w:lineRule="auto"/>
        <w:rPr>
          <w:sz w:val="20"/>
          <w:szCs w:val="20"/>
          <w:color w:val="auto"/>
        </w:rPr>
      </w:pPr>
      <w:r>
        <w:rPr>
          <w:rFonts w:ascii="Arial" w:cs="Arial" w:eastAsia="Arial" w:hAnsi="Arial"/>
          <w:sz w:val="14"/>
          <w:szCs w:val="14"/>
          <w:color w:val="auto"/>
        </w:rPr>
        <w:t>under this guidance. Before this recent guidance, these amendments were effective for all entities from March 12, 2020, to December 31, 2022. The Company executed its transition strategy in preparation for the cessation of the London Intrabank Offered Rate (“LIBOR”) and the adjustment of its existing financial instruments affected by LIBOR, whether directly or indirectly. LIBOR-based originations were ceased as of June 30, 2023, and for existing LIBOR-based transactions, the Company substituted the Secured Overnight Financing Rate (“SOFR”) for LIBOR. The Company has completed its transition away from LIBOR for its loan and other financial instruments.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Issued and Not Yet Adopted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Improvements to Income Tax Disclosures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December 2023, the FASB issued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 15, 2024. The Company is currently assessing the potential impact of this ASU on its financial reporting and has not yet concluded whether the changes will materially affect its business operations or consolidated financial statements.</w:t>
      </w:r>
    </w:p>
    <w:p>
      <w:pPr>
        <w:spacing w:after="0" w:line="139" w:lineRule="exact"/>
        <w:rPr>
          <w:sz w:val="20"/>
          <w:szCs w:val="20"/>
          <w:color w:val="auto"/>
        </w:rPr>
      </w:pPr>
    </w:p>
    <w:p>
      <w:pPr>
        <w:ind w:left="1040" w:hanging="377"/>
        <w:spacing w:after="0"/>
        <w:tabs>
          <w:tab w:leader="none" w:pos="1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measurement of expected credit losses under the current expected credit loss (“CECL”) methodology is applicable to financial assets measured at amortized cost, including loan receivables and held-to-maturity debt securities. The accounting for available-for-sale debt securities credit losses is presented as an allowance rather than as a write-down. Management does not intend to sell or believes that it is more likely they will not be required to sell AFS securities.</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CECL requires a loss reserve for securities classified as held-to-maturity (“HTM”). The reserve should reflect historical credit performance as well as the impact of projected economic forecasts. For U.S. Government bonds and U.S. Agency issued bonds classified as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June 30, 2024 and December 31, 2023, all HTM securities held by the Company were rated investment grade.</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quarter end, HTM securities included $160.3 million of U.S. Government and U.S. Agency issued bonds and mortgage-backed securities. Because of the explicit and/or implicit guarantee on these bonds, the Company holds no reserves on these holdings. The remaining portion of the HTM portfolio is made up of $ 9.3 million in investment grade corporate bonds. The required reserve for these holdings is determined each quarter using the model described above. For the portion of the HTM exposed to non-government credit risk, the Company utilized the PD/LGD methodology to estimate a $9 thousand ACL as of June 30, 2024. The book value for debt securities classified as HTM represents amortized cost less the ACL related to these securities.</w:t>
      </w:r>
    </w:p>
    <w:p>
      <w:pPr>
        <w:spacing w:after="0" w:line="13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Company determined that an ACL on its debt securities available for sale as of June 30, 2024 and December 31, 2023 was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June 30, 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50" w:type="dxa"/>
            <w:vAlign w:val="bottom"/>
            <w:tcBorders>
              <w:bottom w:val="single" w:sz="8" w:color="auto"/>
            </w:tcBorders>
          </w:tcPr>
          <w:p>
            <w:pPr>
              <w:spacing w:after="0"/>
              <w:rPr>
                <w:sz w:val="12"/>
                <w:szCs w:val="12"/>
                <w:color w:val="auto"/>
              </w:rPr>
            </w:pPr>
          </w:p>
        </w:tc>
        <w:tc>
          <w:tcPr>
            <w:tcW w:w="79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12,420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10,856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106,663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(23,671)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82,992</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61,566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49,778</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57,936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50,926</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24,965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19,410</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24,230</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79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22,482</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287,780</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(51,420)</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236,444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43,106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(5,520)</w:t>
            </w:r>
          </w:p>
        </w:tc>
        <w:tc>
          <w:tcPr>
            <w:tcW w:w="80" w:type="dxa"/>
            <w:vAlign w:val="bottom"/>
            <w:gridSpan w:val="2"/>
            <w:shd w:val="clear" w:color="auto" w:fill="CCEEFF"/>
          </w:tcPr>
          <w:p>
            <w:pPr>
              <w:spacing w:after="0"/>
              <w:rPr>
                <w:sz w:val="14"/>
                <w:szCs w:val="14"/>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37,586</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59,933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51,789</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41,896</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(4,658)</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37,523</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15,370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13,989</w:t>
            </w: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9,310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5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8,686</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169,615</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(20,331)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149,573</w:t>
            </w:r>
          </w:p>
        </w:tc>
        <w:tc>
          <w:tcPr>
            <w:tcW w:w="0" w:type="dxa"/>
            <w:vAlign w:val="bottom"/>
          </w:tcPr>
          <w:p>
            <w:pPr>
              <w:spacing w:after="0"/>
              <w:rPr>
                <w:sz w:val="1"/>
                <w:szCs w:val="1"/>
                <w:color w:val="auto"/>
              </w:rPr>
            </w:pPr>
          </w:p>
        </w:tc>
      </w:tr>
      <w:tr>
        <w:trPr>
          <w:trHeight w:val="132"/>
        </w:trPr>
        <w:tc>
          <w:tcPr>
            <w:tcW w:w="380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79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1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169,606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79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9"/>
              </w:rPr>
              <w:t>December 31, 2023</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1"/>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(23,039)</w:t>
            </w: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80,606</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52,187</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42,764</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19,338</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(2,033)</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26,261</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279,427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(50,342)</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43,626</w:t>
            </w:r>
          </w:p>
        </w:tc>
        <w:tc>
          <w:tcPr>
            <w:tcW w:w="4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(5,322)</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60"/>
              <w:spacing w:after="0"/>
              <w:rPr>
                <w:sz w:val="20"/>
                <w:szCs w:val="20"/>
                <w:color w:val="auto"/>
              </w:rPr>
            </w:pPr>
            <w:r>
              <w:rPr>
                <w:rFonts w:ascii="Arial" w:cs="Arial" w:eastAsia="Arial" w:hAnsi="Arial"/>
                <w:sz w:val="13"/>
                <w:szCs w:val="13"/>
                <w:color w:val="auto"/>
              </w:rPr>
              <w:t>38,306</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(7,983)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54,752</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43,784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(4,533)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39,599</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14,182</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(727)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8,671</w:t>
            </w:r>
          </w:p>
        </w:tc>
        <w:tc>
          <w:tcPr>
            <w:tcW w:w="0" w:type="dxa"/>
            <w:vAlign w:val="bottom"/>
          </w:tcPr>
          <w:p>
            <w:pPr>
              <w:spacing w:after="0"/>
              <w:rPr>
                <w:sz w:val="1"/>
                <w:szCs w:val="1"/>
                <w:color w:val="auto"/>
              </w:rPr>
            </w:pPr>
          </w:p>
        </w:tc>
      </w:tr>
      <w:tr>
        <w:trPr>
          <w:trHeight w:val="172"/>
        </w:trPr>
        <w:tc>
          <w:tcPr>
            <w:tcW w:w="38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174,982</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(19,822)</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155,510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line="132"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8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174,974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During the quarter ended June 30, 2024 there were no investment securities that were transferred from available-for-sale (“AFS”) to HTM. For the three months ended June 30, 2024, total amortization out of Additional Other Comprehensive Income (“AOCI”) for net unrealized losses on securities transferred in 2022 from AFS to HTM was $66 thousand. The unamortized net unrealized loss as of June 30, 2024, was $ 9.4 million. For the six months ended June 30, 2024, total amortization out of Additional Other Comprehensive Income (“AOCI”) for net unrealized losses on securities transferred in 2022 from AFS to HTM was $133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and six months ended June 30, 2024 and 2023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3"/>
                <w:szCs w:val="13"/>
                <w:b w:val="1"/>
                <w:bCs w:val="1"/>
                <w:color w:val="auto"/>
              </w:rPr>
              <w:t>Six Months Ended June 30,</w:t>
            </w:r>
          </w:p>
        </w:tc>
      </w:tr>
      <w:tr>
        <w:trPr>
          <w:trHeight w:val="161"/>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440" w:type="dxa"/>
            <w:vAlign w:val="bottom"/>
          </w:tcPr>
          <w:p>
            <w:pPr>
              <w:spacing w:after="0"/>
              <w:rPr>
                <w:sz w:val="14"/>
                <w:szCs w:val="14"/>
                <w:color w:val="auto"/>
              </w:rPr>
            </w:pPr>
          </w:p>
        </w:tc>
        <w:tc>
          <w:tcPr>
            <w:tcW w:w="1060" w:type="dxa"/>
            <w:vAlign w:val="bottom"/>
            <w:gridSpan w:val="3"/>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274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Proceeds from sale and call of securities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34,753</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34,753</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8,617</w:t>
            </w:r>
          </w:p>
        </w:tc>
      </w:tr>
      <w:tr>
        <w:trPr>
          <w:trHeight w:val="171"/>
        </w:trPr>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6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274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(181)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61"/>
        </w:trPr>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realized gain (loss)</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w:t>
            </w: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jc w:val="right"/>
              <w:ind w:right="856"/>
              <w:spacing w:after="0" w:line="140"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w:t>
            </w: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4"/>
        </w:trPr>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June 30, 2024: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8,686</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37,586</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106,663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82,992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59,933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51,789</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37,523</w:t>
            </w: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50,926</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13,989</w:t>
            </w:r>
          </w:p>
        </w:tc>
      </w:tr>
      <w:tr>
        <w:trPr>
          <w:trHeight w:val="161"/>
        </w:trPr>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287,780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236,444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169,615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149,573</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At June 30, 2024, there were no securities held in the portfolio from any one issuer in an amount greater than 10% of total stockholders’ equity other than the U.S. Government and Government Agency securities. All the collateralized mortgage obligations and mortgage-backed securities at June 30, 2024 and December 31, 2023 were issued by U.S. sponsored entities.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June 30, 2024</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0"/>
        </w:trPr>
        <w:tc>
          <w:tcPr>
            <w:tcW w:w="24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2,171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45,377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47,548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(8,286)</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6,614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w w:val="97"/>
              </w:rPr>
              <w:t>128,167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(36,205)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134,781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(36,274)</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5,543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81,758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(18,657)</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87,301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(18,714)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25,223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38,214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(9,344)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63,437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(9,890)</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19,410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(5,555)</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5,278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13,821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19,099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(1,770)</w:t>
            </w: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8,686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8,686</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ind w:right="1"/>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44,829</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(834)</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6"/>
              <w:spacing w:after="0"/>
              <w:rPr>
                <w:sz w:val="20"/>
                <w:szCs w:val="20"/>
                <w:color w:val="auto"/>
              </w:rPr>
            </w:pPr>
            <w:r>
              <w:rPr>
                <w:rFonts w:ascii="Arial" w:cs="Arial" w:eastAsia="Arial" w:hAnsi="Arial"/>
                <w:sz w:val="13"/>
                <w:szCs w:val="13"/>
                <w:color w:val="auto"/>
                <w:w w:val="97"/>
              </w:rPr>
              <w:t>335,433</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(80,029)</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380,262</w:t>
            </w:r>
          </w:p>
        </w:tc>
        <w:tc>
          <w:tcPr>
            <w:tcW w:w="38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(80,863)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Total</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7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5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46,479</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(8,043)</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46,479</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(8,043)</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135,358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(35,566)</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135,358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(35,566)</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83,484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(18,412)</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20,292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33,083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53,375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(9,234)</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19,338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(331)</w:t>
            </w: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12,287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20,887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34,182</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(989)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338,700</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(78,373)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372,882</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(79,362)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unrealized losses associated with $123.5 million of outstanding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1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 over its holding period as it moves to maturity and the Company has the intent and ability to hold these securities to maturity if necessary. As a result of this evaluation, the Company concluded that no allowance was required on AFS securities as of June 30, 2024.</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At June 30, 2024, the Company had $56.7 million of unrealized losses on mortgage-backed securities and collateralized mortgage obligations of U.S. government sponsored entities having a fair value of $287.0 million that were attributable to a combination of factors, including relative changes in interest rates since the time of purchase.</w:t>
      </w:r>
    </w:p>
    <w:p>
      <w:pPr>
        <w:spacing w:after="0" w:line="134"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At December 31, 2023, the Company had $ 54.9 million of unrealized losses on mortgage-backed securities and collateralized mortgage obligations of U.S. government sponsored entities having a fair value of $284.1 million that were attributable to a combination of factors, including relative changes in interest rates since the time of purchase.</w:t>
      </w:r>
    </w:p>
    <w:p>
      <w:pPr>
        <w:spacing w:after="0" w:line="11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believed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26"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At June 30, 2024, the Company did not intend to sell debt securities that are in an unrealized loss position and it is more than likely not required to sell these securities before recovery of the amortized cost basis.</w:t>
      </w:r>
    </w:p>
    <w:p>
      <w:pPr>
        <w:spacing w:after="0" w:line="9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Bank is a Qualified Public Depository (“QPD”) with the State of Florida. As a QPD, the Bank has the legal authority to maintain public deposits from cities, municipalities, and the State of Florida. These public deposits are secured by securities pledged to the State of Florida at a ratio of 50% of the outstanding uninsured deposits for June 30, 2024 and 25% for December 31, 2023. The Bank must also maintain a minimum amount of pledged securities to be in the public funds program.</w:t>
      </w:r>
    </w:p>
    <w:p>
      <w:pPr>
        <w:spacing w:after="0" w:line="126"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As of June 30, 2024, the Bank had a total of $ 145.4 million in deposits under the public funds program and pledged to the State of Florida for these public funds were fifty-one bonds with an aggregate fair value of $135.2 million.</w:t>
      </w:r>
    </w:p>
    <w:p>
      <w:pPr>
        <w:spacing w:after="0" w:line="99"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As of December 31, 2023, the Bank had a total of $268.4 million in deposits under the public funds program and pledged to the State of Florida for these public funds were twenty-eight bonds with an aggregate fair value of $86.9 million.</w:t>
      </w:r>
    </w:p>
    <w:p>
      <w:pPr>
        <w:spacing w:after="0" w:line="9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These pledged assets were valued at par. The BTFP program ceased making new loans as of March 2024.</w:t>
      </w:r>
    </w:p>
    <w:p>
      <w:pPr>
        <w:spacing w:after="0" w:line="23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had $ 80 million in borrowings under the BTFP program as of June 30, 2024, and had pledged $ 127.4 million in securities measured at par to the Federal Reserve Bank of Atlanta for the BTFP program maturing in January 2025.</w:t>
      </w:r>
    </w:p>
    <w:p>
      <w:pPr>
        <w:spacing w:after="0" w:line="118"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676"/>
              <w:spacing w:after="0"/>
              <w:rPr>
                <w:sz w:val="20"/>
                <w:szCs w:val="20"/>
                <w:color w:val="auto"/>
              </w:rPr>
            </w:pPr>
            <w:r>
              <w:rPr>
                <w:rFonts w:ascii="Arial" w:cs="Arial" w:eastAsia="Arial" w:hAnsi="Arial"/>
                <w:sz w:val="13"/>
                <w:szCs w:val="13"/>
                <w:b w:val="1"/>
                <w:bCs w:val="1"/>
                <w:color w:val="auto"/>
              </w:rPr>
              <w:t>June 30, 2024</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Borders>
              <w:bottom w:val="single" w:sz="8" w:color="auto"/>
            </w:tcBorders>
          </w:tcPr>
          <w:p>
            <w:pPr>
              <w:spacing w:after="0"/>
              <w:rPr>
                <w:sz w:val="13"/>
                <w:szCs w:val="13"/>
                <w:color w:val="auto"/>
              </w:rPr>
            </w:pPr>
          </w:p>
        </w:tc>
      </w:tr>
      <w:tr>
        <w:trPr>
          <w:trHeight w:val="183"/>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r>
      <w:tr>
        <w:trPr>
          <w:trHeight w:val="151"/>
        </w:trPr>
        <w:tc>
          <w:tcPr>
            <w:tcW w:w="33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256,807</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1,053,030</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56.4 %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1,047,593</w:t>
            </w:r>
          </w:p>
        </w:tc>
        <w:tc>
          <w:tcPr>
            <w:tcW w:w="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58.8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112,510</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6.0 %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6.5 %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1,865,516</w:t>
            </w:r>
          </w:p>
        </w:tc>
        <w:tc>
          <w:tcPr>
            <w:tcW w:w="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1,778,644</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Plus: Deferred fees/costs</w:t>
            </w: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3,733</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2,183</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fees/costs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1,869,249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1,780,827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22,230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1,847,019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At June 30, 2024 and December 31, 2023, the Company had $547.9 million and $534.2 million, respectively, of commercial real estate and residential mortgage loans pledged as collateral for lines of credit with the FHLB and the Federal Reserve Bank of Atlanta.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Management engaged advisors and consultants with expertise in CECL model development to assist in development of a LDA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or the House Price Index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63" w:lineRule="exact"/>
        <w:rPr>
          <w:sz w:val="20"/>
          <w:szCs w:val="20"/>
          <w:color w:val="auto"/>
        </w:rPr>
      </w:pP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lending policies, procedures, and strategies</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international, national, regional, and local conditions</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nature and volume of portfolio</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the volume and severity of past due loans and other similar conditions</w:t>
      </w:r>
    </w:p>
    <w:p>
      <w:pPr>
        <w:ind w:left="1180" w:hanging="261"/>
        <w:spacing w:after="0" w:line="222" w:lineRule="auto"/>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Concentration risk</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the value of underlying collateral</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 of other external factors: e.g., competition, legal, and regulatory requirements</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lending management,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three and six months ended June 30, 2024 and 2023 were as follows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9"/>
        </w:trPr>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2"/>
                <w:szCs w:val="12"/>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Foreign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Real Estate</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Banks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Three Months Ended June 30, 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2,930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10,302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4,272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794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3,156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21,454</w:t>
            </w:r>
          </w:p>
        </w:tc>
      </w:tr>
      <w:tr>
        <w:trPr>
          <w:trHeight w:val="192"/>
        </w:trPr>
        <w:tc>
          <w:tcPr>
            <w:tcW w:w="2580" w:type="dxa"/>
            <w:vAlign w:val="bottom"/>
            <w:shd w:val="clear" w:color="auto" w:fill="CCEEFF"/>
          </w:tcPr>
          <w:p>
            <w:pPr>
              <w:ind w:left="2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774</w:t>
            </w: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7</w:t>
            </w: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1"/>
        </w:trPr>
        <w:tc>
          <w:tcPr>
            <w:tcW w:w="25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3,193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10,272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4,747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892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3,126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22,230</w:t>
            </w: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Six Months Ended June 30, 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2,695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10,366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3,974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911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3,138</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21,084</w:t>
            </w:r>
          </w:p>
        </w:tc>
      </w:tr>
      <w:tr>
        <w:trPr>
          <w:trHeight w:val="192"/>
        </w:trPr>
        <w:tc>
          <w:tcPr>
            <w:tcW w:w="2580" w:type="dxa"/>
            <w:vAlign w:val="bottom"/>
            <w:shd w:val="clear" w:color="auto" w:fill="CCEEFF"/>
          </w:tcPr>
          <w:p>
            <w:pPr>
              <w:ind w:left="2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762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1,137</w:t>
            </w: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19</w:t>
            </w: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1"/>
        </w:trPr>
        <w:tc>
          <w:tcPr>
            <w:tcW w:w="25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3,193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10,272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4,747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892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3,126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22,230</w:t>
            </w: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680" w:right="999" w:firstLine="4"/>
        <w:spacing w:after="0" w:line="269" w:lineRule="auto"/>
        <w:tabs>
          <w:tab w:leader="none" w:pos="87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$15 thousand charge due to unfunded commitments included in other liabilities and a $3 thousand charge related to investment securities held to maturity.</w:t>
      </w:r>
    </w:p>
    <w:p>
      <w:pPr>
        <w:spacing w:after="0" w:line="6" w:lineRule="exact"/>
        <w:rPr>
          <w:rFonts w:ascii="Arial" w:cs="Arial" w:eastAsia="Arial" w:hAnsi="Arial"/>
          <w:sz w:val="13"/>
          <w:szCs w:val="13"/>
          <w:color w:val="auto"/>
        </w:rPr>
      </w:pPr>
    </w:p>
    <w:p>
      <w:pPr>
        <w:ind w:left="680" w:right="999" w:firstLine="4"/>
        <w:spacing w:after="0" w:line="269" w:lineRule="auto"/>
        <w:tabs>
          <w:tab w:leader="none" w:pos="87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$58 thousand charge due to unfunded commitments included in other liabilities and a $1 thousand charge related to investment securities held to maturity.</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590" w:type="dxa"/>
            <w:vAlign w:val="bottom"/>
          </w:tcPr>
          <w:p>
            <w:pPr>
              <w:spacing w:after="0"/>
              <w:rPr>
                <w:sz w:val="13"/>
                <w:szCs w:val="13"/>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2"/>
                <w:szCs w:val="12"/>
                <w:color w:val="auto"/>
              </w:rPr>
            </w:pPr>
          </w:p>
        </w:tc>
        <w:tc>
          <w:tcPr>
            <w:tcW w:w="8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70" w:type="dxa"/>
            <w:vAlign w:val="bottom"/>
          </w:tcPr>
          <w:p>
            <w:pPr>
              <w:jc w:val="center"/>
              <w:ind w:right="66"/>
              <w:spacing w:after="0"/>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Foreign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590" w:type="dxa"/>
            <w:vAlign w:val="bottom"/>
          </w:tcPr>
          <w:p>
            <w:pPr>
              <w:spacing w:after="0"/>
              <w:rPr>
                <w:sz w:val="12"/>
                <w:szCs w:val="12"/>
                <w:color w:val="auto"/>
              </w:rPr>
            </w:pPr>
          </w:p>
        </w:tc>
      </w:tr>
      <w:tr>
        <w:trPr>
          <w:trHeight w:val="149"/>
        </w:trPr>
        <w:tc>
          <w:tcPr>
            <w:tcW w:w="2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Real Estate</w:t>
            </w:r>
          </w:p>
        </w:tc>
        <w:tc>
          <w:tcPr>
            <w:tcW w:w="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77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Borders>
              <w:bottom w:val="single" w:sz="8" w:color="CCEEFF"/>
            </w:tcBorders>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59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Three Months Ended June 30, 2023</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2,819</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10,453</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2,367</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772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2,476</w:t>
            </w:r>
          </w:p>
        </w:tc>
        <w:tc>
          <w:tcPr>
            <w:tcW w:w="170" w:type="dxa"/>
            <w:vAlign w:val="bottom"/>
            <w:gridSpan w:val="2"/>
          </w:tcPr>
          <w:p>
            <w:pPr>
              <w:jc w:val="right"/>
              <w:ind w:right="30"/>
              <w:spacing w:after="0"/>
              <w:rPr>
                <w:sz w:val="20"/>
                <w:szCs w:val="20"/>
                <w:color w:val="auto"/>
              </w:rPr>
            </w:pPr>
            <w:r>
              <w:rPr>
                <w:rFonts w:ascii="Arial" w:cs="Arial" w:eastAsia="Arial" w:hAnsi="Arial"/>
                <w:sz w:val="13"/>
                <w:szCs w:val="13"/>
                <w:color w:val="auto"/>
              </w:rPr>
              <w:t>$</w:t>
            </w:r>
          </w:p>
        </w:tc>
        <w:tc>
          <w:tcPr>
            <w:tcW w:w="590" w:type="dxa"/>
            <w:vAlign w:val="bottom"/>
          </w:tcPr>
          <w:p>
            <w:pPr>
              <w:jc w:val="right"/>
              <w:ind w:right="36"/>
              <w:spacing w:after="0"/>
              <w:rPr>
                <w:sz w:val="20"/>
                <w:szCs w:val="20"/>
                <w:color w:val="auto"/>
              </w:rPr>
            </w:pPr>
            <w:r>
              <w:rPr>
                <w:rFonts w:ascii="Arial" w:cs="Arial" w:eastAsia="Arial" w:hAnsi="Arial"/>
                <w:sz w:val="13"/>
                <w:szCs w:val="13"/>
                <w:color w:val="auto"/>
              </w:rPr>
              <w:t>18,887</w:t>
            </w:r>
          </w:p>
        </w:tc>
      </w:tr>
      <w:tr>
        <w:trPr>
          <w:trHeight w:val="192"/>
        </w:trPr>
        <w:tc>
          <w:tcPr>
            <w:tcW w:w="2500" w:type="dxa"/>
            <w:vAlign w:val="bottom"/>
            <w:shd w:val="clear" w:color="auto" w:fill="CCEEFF"/>
          </w:tcPr>
          <w:p>
            <w:pPr>
              <w:ind w:left="2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4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7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345</w:t>
            </w:r>
          </w:p>
        </w:tc>
        <w:tc>
          <w:tcPr>
            <w:tcW w:w="4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90" w:type="dxa"/>
            <w:vAlign w:val="bottom"/>
          </w:tcPr>
          <w:p>
            <w:pPr>
              <w:jc w:val="right"/>
              <w:ind w:right="36"/>
              <w:spacing w:after="0"/>
              <w:rPr>
                <w:sz w:val="20"/>
                <w:szCs w:val="20"/>
                <w:color w:val="auto"/>
              </w:rPr>
            </w:pPr>
            <w:r>
              <w:rPr>
                <w:rFonts w:ascii="Arial" w:cs="Arial" w:eastAsia="Arial" w:hAnsi="Arial"/>
                <w:sz w:val="13"/>
                <w:szCs w:val="13"/>
                <w:color w:val="auto"/>
              </w:rPr>
              <w:t>11</w:t>
            </w:r>
          </w:p>
        </w:tc>
      </w:tr>
      <w:tr>
        <w:trPr>
          <w:trHeight w:val="171"/>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7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5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01"/>
        </w:trPr>
        <w:tc>
          <w:tcPr>
            <w:tcW w:w="250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2,673</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10,183</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2,500</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677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2,782</w:t>
            </w:r>
          </w:p>
        </w:tc>
        <w:tc>
          <w:tcPr>
            <w:tcW w:w="170" w:type="dxa"/>
            <w:vAlign w:val="bottom"/>
            <w:gridSpan w:val="2"/>
          </w:tcPr>
          <w:p>
            <w:pPr>
              <w:jc w:val="right"/>
              <w:ind w:right="30"/>
              <w:spacing w:after="0"/>
              <w:rPr>
                <w:sz w:val="20"/>
                <w:szCs w:val="20"/>
                <w:color w:val="auto"/>
              </w:rPr>
            </w:pPr>
            <w:r>
              <w:rPr>
                <w:rFonts w:ascii="Arial" w:cs="Arial" w:eastAsia="Arial" w:hAnsi="Arial"/>
                <w:sz w:val="13"/>
                <w:szCs w:val="13"/>
                <w:color w:val="auto"/>
              </w:rPr>
              <w:t>$</w:t>
            </w:r>
          </w:p>
        </w:tc>
        <w:tc>
          <w:tcPr>
            <w:tcW w:w="590" w:type="dxa"/>
            <w:vAlign w:val="bottom"/>
          </w:tcPr>
          <w:p>
            <w:pPr>
              <w:jc w:val="right"/>
              <w:ind w:right="36"/>
              <w:spacing w:after="0"/>
              <w:rPr>
                <w:sz w:val="20"/>
                <w:szCs w:val="20"/>
                <w:color w:val="auto"/>
              </w:rPr>
            </w:pPr>
            <w:r>
              <w:rPr>
                <w:rFonts w:ascii="Arial" w:cs="Arial" w:eastAsia="Arial" w:hAnsi="Arial"/>
                <w:sz w:val="13"/>
                <w:szCs w:val="13"/>
                <w:color w:val="auto"/>
              </w:rPr>
              <w:t>18,815</w:t>
            </w: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3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3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spacing w:after="0"/>
              <w:rPr>
                <w:sz w:val="10"/>
                <w:szCs w:val="10"/>
                <w:color w:val="auto"/>
              </w:rPr>
            </w:pPr>
          </w:p>
        </w:tc>
        <w:tc>
          <w:tcPr>
            <w:tcW w:w="77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590" w:type="dxa"/>
            <w:vAlign w:val="bottom"/>
            <w:tcBorders>
              <w:top w:val="single" w:sz="8" w:color="auto"/>
            </w:tcBorders>
            <w:shd w:val="clear" w:color="auto" w:fill="CCEEFF"/>
          </w:tcPr>
          <w:p>
            <w:pPr>
              <w:spacing w:after="0"/>
              <w:rPr>
                <w:sz w:val="10"/>
                <w:szCs w:val="10"/>
                <w:color w:val="auto"/>
              </w:rPr>
            </w:pPr>
          </w:p>
        </w:tc>
      </w:tr>
    </w:tbl>
    <w:p>
      <w:pPr>
        <w:spacing w:after="0" w:line="1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80" w:right="480"/>
        <w:spacing w:after="0" w:line="291" w:lineRule="auto"/>
        <w:rPr>
          <w:sz w:val="20"/>
          <w:szCs w:val="20"/>
          <w:color w:val="auto"/>
        </w:rPr>
      </w:pPr>
      <w:r>
        <w:rPr>
          <w:rFonts w:ascii="Arial" w:cs="Arial" w:eastAsia="Arial" w:hAnsi="Arial"/>
          <w:sz w:val="13"/>
          <w:szCs w:val="13"/>
          <w:b w:val="1"/>
          <w:bCs w:val="1"/>
          <w:color w:val="auto"/>
        </w:rPr>
        <w:t xml:space="preserve">Six Months Ended June 30, 2023 </w:t>
      </w:r>
      <w:r>
        <w:rPr>
          <w:rFonts w:ascii="Arial" w:cs="Arial" w:eastAsia="Arial" w:hAnsi="Arial"/>
          <w:sz w:val="13"/>
          <w:szCs w:val="13"/>
          <w:color w:val="auto"/>
        </w:rPr>
        <w:t>Beginning balance</w:t>
      </w:r>
    </w:p>
    <w:p>
      <w:pPr>
        <w:ind w:left="680"/>
        <w:spacing w:after="0" w:line="243" w:lineRule="auto"/>
        <w:rPr>
          <w:sz w:val="20"/>
          <w:szCs w:val="20"/>
          <w:color w:val="auto"/>
        </w:rPr>
      </w:pPr>
      <w:r>
        <w:rPr>
          <w:rFonts w:ascii="Arial" w:cs="Arial" w:eastAsia="Arial" w:hAnsi="Arial"/>
          <w:sz w:val="13"/>
          <w:szCs w:val="13"/>
          <w:color w:val="auto"/>
        </w:rPr>
        <w:t xml:space="preserve">Cumulative effect of adoption of accounting principle </w:t>
      </w:r>
      <w:r>
        <w:rPr>
          <w:rFonts w:ascii="Arial" w:cs="Arial" w:eastAsia="Arial" w:hAnsi="Arial"/>
          <w:sz w:val="17"/>
          <w:szCs w:val="17"/>
          <w:color w:val="auto"/>
          <w:vertAlign w:val="superscript"/>
        </w:rPr>
        <w:t>(2)</w:t>
      </w:r>
    </w:p>
    <w:p>
      <w:pPr>
        <w:ind w:left="680"/>
        <w:spacing w:after="0"/>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Recoveries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Charge-offs</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Ending Balance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88"/>
        </w:trPr>
        <w:tc>
          <w:tcPr>
            <w:tcW w:w="640" w:type="dxa"/>
            <w:vAlign w:val="bottom"/>
          </w:tcPr>
          <w:p>
            <w:pPr>
              <w:jc w:val="right"/>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4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right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bottom w:val="single" w:sz="8" w:color="auto"/>
              <w:right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 w:type="dxa"/>
            <w:vAlign w:val="bottom"/>
            <w:tcBorders>
              <w:bottom w:val="single" w:sz="8" w:color="auto"/>
            </w:tcBorders>
          </w:tcPr>
          <w:p>
            <w:pPr>
              <w:spacing w:after="0"/>
              <w:rPr>
                <w:sz w:val="13"/>
                <w:szCs w:val="13"/>
                <w:color w:val="auto"/>
              </w:rPr>
            </w:pPr>
          </w:p>
        </w:tc>
      </w:tr>
      <w:tr>
        <w:trPr>
          <w:trHeight w:val="161"/>
        </w:trPr>
        <w:tc>
          <w:tcPr>
            <w:tcW w:w="640" w:type="dxa"/>
            <w:vAlign w:val="bottom"/>
          </w:tcPr>
          <w:p>
            <w:pPr>
              <w:jc w:val="right"/>
              <w:spacing w:after="0"/>
              <w:rPr>
                <w:sz w:val="20"/>
                <w:szCs w:val="20"/>
                <w:color w:val="auto"/>
              </w:rPr>
            </w:pPr>
            <w:r>
              <w:rPr>
                <w:rFonts w:ascii="Arial" w:cs="Arial" w:eastAsia="Arial" w:hAnsi="Arial"/>
                <w:sz w:val="13"/>
                <w:szCs w:val="13"/>
                <w:color w:val="auto"/>
              </w:rPr>
              <w:t>2,673</w:t>
            </w:r>
          </w:p>
        </w:tc>
        <w:tc>
          <w:tcPr>
            <w:tcW w:w="260" w:type="dxa"/>
            <w:vAlign w:val="bottom"/>
            <w:gridSpan w:val="4"/>
          </w:tcPr>
          <w:p>
            <w:pPr>
              <w:ind w:lef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10,183</w:t>
            </w:r>
          </w:p>
        </w:tc>
        <w:tc>
          <w:tcPr>
            <w:tcW w:w="22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18,815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3">
            <w:col w:w="3140" w:space="80"/>
            <w:col w:w="60" w:space="60"/>
            <w:col w:w="5679"/>
          </w:cols>
          <w:pgMar w:left="1440" w:top="477" w:right="1440" w:bottom="1440" w:gutter="0" w:footer="0" w:header="0"/>
          <w:type w:val="continuous"/>
        </w:sectPr>
      </w:pPr>
    </w:p>
    <w:p>
      <w:pPr>
        <w:ind w:left="680" w:right="1019" w:firstLine="4"/>
        <w:spacing w:after="0" w:line="256" w:lineRule="auto"/>
        <w:tabs>
          <w:tab w:leader="none" w:pos="87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$62 thousand release due to unfunded commitments included in other liabilities and $19 thousand expense related to investment securities held to maturity.</w:t>
      </w:r>
    </w:p>
    <w:p>
      <w:pPr>
        <w:spacing w:after="0" w:line="1" w:lineRule="exact"/>
        <w:rPr>
          <w:rFonts w:ascii="Arial" w:cs="Arial" w:eastAsia="Arial" w:hAnsi="Arial"/>
          <w:sz w:val="13"/>
          <w:szCs w:val="13"/>
          <w:color w:val="auto"/>
        </w:rPr>
      </w:pPr>
    </w:p>
    <w:p>
      <w:pPr>
        <w:ind w:left="880" w:hanging="196"/>
        <w:spacing w:after="0"/>
        <w:tabs>
          <w:tab w:leader="none" w:pos="8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53" w:lineRule="exact"/>
        <w:rPr>
          <w:rFonts w:ascii="Arial" w:cs="Arial" w:eastAsia="Arial" w:hAnsi="Arial"/>
          <w:sz w:val="13"/>
          <w:szCs w:val="13"/>
          <w:color w:val="auto"/>
        </w:rPr>
      </w:pPr>
    </w:p>
    <w:p>
      <w:pPr>
        <w:ind w:left="680" w:right="1019" w:firstLine="4"/>
        <w:spacing w:after="0" w:line="269" w:lineRule="auto"/>
        <w:tabs>
          <w:tab w:leader="none" w:pos="87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$22 thousand release due to unfunded commitments included in other liabilities and $19 thousand expense related to investment securities held to maturity.</w:t>
      </w:r>
    </w:p>
    <w:p>
      <w:pPr>
        <w:spacing w:after="0" w:line="28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At June 30, 2024, the ACL was $22.2 million compared to $ 21.1 million at December 31, 2023. The increase of $1.1 million in the ACL was due to loan growth.</w:t>
      </w:r>
    </w:p>
    <w:p>
      <w:pPr>
        <w:spacing w:after="0" w:line="12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Charge offs for the three months ended June 30, 2024 totaled $5 thousand and were all originated in 2024. Charge offs for the six months ended June 30, 2024 totaled $10 thousand and were all originated in 2024.</w:t>
      </w: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had charge offs totaling $40 thousand for the quarter ended June 30 2023 on loans. $21 thousand of charge offs related to loans were originated in 2015 and $19 thousand related to loans were originated in 2023. For the six months ended June 30, 2023, the Company had a total of $ 45 thousand in charge offs, $24 thousand originated in 2023 and $21 originated in 2015.</w:t>
      </w:r>
    </w:p>
    <w:p>
      <w:pPr>
        <w:spacing w:after="0" w:line="13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Federal Open Market Committee (“FOMC”) economic forecasts as of June 30, 2024, showed minimal improvements in unemployment and aslight slower growth forecast for real GDP. Fannie Mae HPI forecast reflected minimal improvement in national housing prices over the next four quarters. The Company continued to adjust the HPI index effect on 1-4 Family loan portfolio with a qualitative factor because Florida housing prices are performing better than national levels. The Q-factor scorecard was updated based on the latest portfolio stress test and the resulting maximum loss calculation.</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June 30, 2024, for every 100 basis points increase in the HPI index, the forecast reduces reserves by approximately $218 thousand and about 1 basis point to the reserve coverage ratio, everything else being constant. This sensitivity analysis provides a hypothetical result to assess the sensitivity of the ACL and does not represent a change in management’s judgement.</w:t>
      </w:r>
    </w:p>
    <w:p>
      <w:pPr>
        <w:spacing w:after="0" w:line="12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of June 30, 2024,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from no risk to high risk resulted in a $5.9 million or 29.5% increase in ACL. This sensitivity analysis provides a hypothetical result to assess the sensitivity of the ACL and does not represent a change in management’s judgement.</w:t>
      </w:r>
    </w:p>
    <w:p>
      <w:pPr>
        <w:spacing w:after="0" w:line="126"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ACL and the outstanding balances in the specified loan categories as of June 30, 2024 and December 31, 2023 are as follows (in thousands):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June 30, 2024: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3,148</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10,272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22,135</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10,272</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4,747</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3,126</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22,230</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7,209</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747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7,956</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249,598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1,053,030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247,778</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112,510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1,857,560</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256,807</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1,053,030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248,525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112,510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194,644</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1,865,516</w:t>
            </w:r>
          </w:p>
        </w:tc>
        <w:tc>
          <w:tcPr>
            <w:tcW w:w="0" w:type="dxa"/>
            <w:vAlign w:val="bottom"/>
          </w:tcPr>
          <w:p>
            <w:pPr>
              <w:spacing w:after="0"/>
              <w:rPr>
                <w:sz w:val="1"/>
                <w:szCs w:val="1"/>
                <w:color w:val="auto"/>
              </w:rPr>
            </w:pPr>
          </w:p>
        </w:tc>
      </w:tr>
      <w:tr>
        <w:trPr>
          <w:trHeight w:val="111"/>
        </w:trPr>
        <w:tc>
          <w:tcPr>
            <w:tcW w:w="228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2,550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3,846</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20,811</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2,695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10,366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3,974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911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3,138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21,084</w:t>
            </w:r>
          </w:p>
        </w:tc>
        <w:tc>
          <w:tcPr>
            <w:tcW w:w="0" w:type="dxa"/>
            <w:vAlign w:val="bottom"/>
          </w:tcPr>
          <w:p>
            <w:pPr>
              <w:spacing w:after="0"/>
              <w:rPr>
                <w:sz w:val="1"/>
                <w:szCs w:val="1"/>
                <w:color w:val="auto"/>
              </w:rPr>
            </w:pPr>
          </w:p>
        </w:tc>
      </w:tr>
      <w:tr>
        <w:trPr>
          <w:trHeight w:val="111"/>
        </w:trPr>
        <w:tc>
          <w:tcPr>
            <w:tcW w:w="228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6,994</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8,662</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197,425</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218,089</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1,769,982</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22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June 30, 2024</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Revolving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63,233</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40,811</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36,206</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24,077</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5,855</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77,144</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8,894</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256,220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63,233</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40,811</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36,206</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24,077</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5,855</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77,731</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8,894</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256,807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47,957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141,375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326,081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178,623</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100,704</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247,850</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1,046,877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5,463</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141,375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326,081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184,086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101,394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1,053,030</w:t>
            </w:r>
          </w:p>
        </w:tc>
        <w:tc>
          <w:tcPr>
            <w:tcW w:w="0" w:type="dxa"/>
            <w:vAlign w:val="bottom"/>
          </w:tcPr>
          <w:p>
            <w:pPr>
              <w:spacing w:after="0"/>
              <w:rPr>
                <w:sz w:val="1"/>
                <w:szCs w:val="1"/>
                <w:color w:val="auto"/>
              </w:rPr>
            </w:pP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42,342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93,995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36,074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31,401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5,038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22,869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246,774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42,342</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93,995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36,074</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31,953</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5,038</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16,254</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22,869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248,525</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3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85,759</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26,751</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112,510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85,759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26,751</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112,510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00" w:type="dxa"/>
            <w:vAlign w:val="bottom"/>
            <w:gridSpan w:val="3"/>
          </w:tcPr>
          <w:p>
            <w:pPr>
              <w:spacing w:after="0"/>
              <w:rPr>
                <w:sz w:val="20"/>
                <w:szCs w:val="20"/>
                <w:color w:val="auto"/>
              </w:rPr>
            </w:pPr>
            <w:r>
              <w:rPr>
                <w:rFonts w:ascii="Arial" w:cs="Arial" w:eastAsia="Arial" w:hAnsi="Arial"/>
                <w:sz w:val="13"/>
                <w:szCs w:val="13"/>
                <w:color w:val="auto"/>
              </w:rPr>
              <w:t>Consumer and other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gridSpan w:val="3"/>
          </w:tcPr>
          <w:p>
            <w:pPr>
              <w:spacing w:after="0"/>
              <w:rPr>
                <w:sz w:val="20"/>
                <w:szCs w:val="20"/>
                <w:color w:val="auto"/>
              </w:rPr>
            </w:pPr>
            <w:r>
              <w:rPr>
                <w:rFonts w:ascii="Arial" w:cs="Arial" w:eastAsia="Arial" w:hAnsi="Arial"/>
                <w:sz w:val="13"/>
                <w:szCs w:val="13"/>
                <w:color w:val="auto"/>
              </w:rPr>
              <w:t>loans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25,731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57,722</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68,818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38,250</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57,722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68,818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38,250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3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265,022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360,654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467,179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272,351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112,095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341,757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37,967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1,857,025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Special Mention</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6,015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8,491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265,022</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360,654</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467,179</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278,366</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112,785</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343,543</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37,967</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1,865,516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3"/>
                <w:szCs w:val="13"/>
                <w:b w:val="1"/>
                <w:bCs w:val="1"/>
                <w:color w:val="auto"/>
                <w:w w:val="97"/>
              </w:rPr>
              <w:t>As of December 31, 2023</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5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425"/>
        </w:trPr>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65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6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44,365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36,325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26,180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6,080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9,325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75,654</w:t>
            </w:r>
          </w:p>
        </w:tc>
        <w:tc>
          <w:tcPr>
            <w:tcW w:w="13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204,127</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292</w:t>
            </w:r>
          </w:p>
        </w:tc>
      </w:tr>
      <w:tr>
        <w:trPr>
          <w:trHeight w:val="151"/>
        </w:trPr>
        <w:tc>
          <w:tcPr>
            <w:tcW w:w="10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44,365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36,325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6,080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9,617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75,654</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204,419</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53"/>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88"/>
        </w:trPr>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 w:type="dxa"/>
            <w:vAlign w:val="bottom"/>
          </w:tcPr>
          <w:p>
            <w:pPr>
              <w:spacing w:after="0"/>
              <w:rPr>
                <w:sz w:val="7"/>
                <w:szCs w:val="7"/>
                <w:color w:val="auto"/>
              </w:rPr>
            </w:pPr>
          </w:p>
        </w:tc>
        <w:tc>
          <w:tcPr>
            <w:tcW w:w="65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184,024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104,182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1,040,032</w:t>
            </w:r>
          </w:p>
        </w:tc>
      </w:tr>
      <w:tr>
        <w:trPr>
          <w:trHeight w:val="171"/>
        </w:trPr>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6,867</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7,561</w:t>
            </w:r>
          </w:p>
        </w:tc>
      </w:tr>
      <w:tr>
        <w:trPr>
          <w:trHeight w:val="151"/>
        </w:trPr>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190,891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104,876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1,047,593</w:t>
            </w:r>
          </w:p>
        </w:tc>
      </w:tr>
      <w:tr>
        <w:trPr>
          <w:trHeight w:val="171"/>
        </w:trPr>
        <w:tc>
          <w:tcPr>
            <w:tcW w:w="14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1"/>
        </w:trPr>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industrial</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65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34,090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13,706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218,129</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330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1,298</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1,628</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34,420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15,004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219,757</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114,945</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0"/>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Consumer and other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5"/>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loans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41,966</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shd w:val="clear" w:color="auto" w:fill="CCEEFF"/>
          </w:tcPr>
          <w:p>
            <w:pPr>
              <w:spacing w:after="0"/>
              <w:rPr>
                <w:sz w:val="15"/>
                <w:szCs w:val="15"/>
                <w:color w:val="auto"/>
              </w:rPr>
            </w:pPr>
          </w:p>
        </w:tc>
        <w:tc>
          <w:tcPr>
            <w:tcW w:w="110" w:type="dxa"/>
            <w:vAlign w:val="bottom"/>
            <w:tcBorders>
              <w:bottom w:val="single" w:sz="8" w:color="auto"/>
            </w:tcBorders>
            <w:shd w:val="clear" w:color="auto" w:fill="CCEEFF"/>
          </w:tcPr>
          <w:p>
            <w:pPr>
              <w:spacing w:after="0"/>
              <w:rPr>
                <w:sz w:val="15"/>
                <w:szCs w:val="15"/>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41,966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191,930</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Total Loans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286,260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117,376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101,744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1,769,163</w:t>
            </w: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Special Mention</w:t>
            </w: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7,197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9,481</w:t>
            </w:r>
          </w:p>
        </w:tc>
      </w:tr>
      <w:tr>
        <w:trPr>
          <w:trHeight w:val="171"/>
        </w:trPr>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51"/>
        </w:trPr>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293,457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118,070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103,334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1,778,644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June 30, 2024 and December 31, 2023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19"/>
        </w:trPr>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Past Due 90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As of June 30, 2024</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89 Days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547</w:t>
            </w:r>
          </w:p>
        </w:tc>
        <w:tc>
          <w:tcPr>
            <w:tcW w:w="18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547</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203,294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203,294</w:t>
            </w:r>
          </w:p>
        </w:tc>
      </w:tr>
      <w:tr>
        <w:trPr>
          <w:trHeight w:val="171"/>
        </w:trPr>
        <w:tc>
          <w:tcPr>
            <w:tcW w:w="2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52,646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52,646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52,966</w:t>
            </w:r>
          </w:p>
        </w:tc>
      </w:tr>
      <w:tr>
        <w:trPr>
          <w:trHeight w:val="151"/>
        </w:trPr>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250,730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256,487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256,807</w:t>
            </w:r>
          </w:p>
        </w:tc>
      </w:tr>
      <w:tr>
        <w:trPr>
          <w:trHeight w:val="169"/>
        </w:trPr>
        <w:tc>
          <w:tcPr>
            <w:tcW w:w="2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40,049</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204,811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204,811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204,811</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58,292</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749,868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749,868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749,868</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1,053,030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1,053,030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1,053,030</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229,428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229,428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229,866</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18,659</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18,659</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248,087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248,087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248,525</w:t>
            </w:r>
          </w:p>
        </w:tc>
      </w:tr>
      <w:tr>
        <w:trPr>
          <w:trHeight w:val="171"/>
        </w:trPr>
        <w:tc>
          <w:tcPr>
            <w:tcW w:w="23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112,510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112,510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112,510</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194,644</w:t>
            </w:r>
          </w:p>
        </w:tc>
      </w:tr>
      <w:tr>
        <w:trPr>
          <w:trHeight w:val="171"/>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1,859,001</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5,757</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1,864,758</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1,865,516</w:t>
            </w:r>
          </w:p>
        </w:tc>
      </w:tr>
      <w:tr>
        <w:trPr>
          <w:trHeight w:val="20"/>
        </w:trPr>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19"/>
        </w:trPr>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69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Home equity line of credit and other</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559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559</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559</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155,842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156,553</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156,553</w:t>
            </w:r>
          </w:p>
        </w:tc>
      </w:tr>
      <w:tr>
        <w:trPr>
          <w:trHeight w:val="171"/>
        </w:trPr>
        <w:tc>
          <w:tcPr>
            <w:tcW w:w="2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43,572</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47,307</w:t>
            </w: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47,307</w:t>
            </w: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199,973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204,419</w:t>
            </w:r>
          </w:p>
        </w:tc>
      </w:tr>
      <w:tr>
        <w:trPr>
          <w:trHeight w:val="17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181,287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181,287</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181,287</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58,106</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772,569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774,459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774,459</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r>
      <w:tr>
        <w:trPr>
          <w:trHeight w:val="151"/>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1,045,703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1,047,593</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1,047,593</w:t>
            </w: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200,235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200,264</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200,732</w:t>
            </w:r>
          </w:p>
        </w:tc>
      </w:tr>
      <w:tr>
        <w:trPr>
          <w:trHeight w:val="165"/>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r>
      <w:tr>
        <w:trPr>
          <w:trHeight w:val="156"/>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219,260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219,289</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219,757</w:t>
            </w:r>
          </w:p>
        </w:tc>
      </w:tr>
      <w:tr>
        <w:trPr>
          <w:trHeight w:val="171"/>
        </w:trPr>
        <w:tc>
          <w:tcPr>
            <w:tcW w:w="238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114,945</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114,945</w:t>
            </w: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1,771,811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6,365</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1,778,176</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1,778,644</w:t>
            </w: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6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June 30, 2024 and as of December 31, 2023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3"/>
                <w:szCs w:val="13"/>
                <w:b w:val="1"/>
                <w:bCs w:val="1"/>
                <w:color w:val="auto"/>
              </w:rPr>
              <w:t>June 30, 2024</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Loans Past</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39" w:lineRule="exact"/>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96"/>
              </w:rPr>
              <w:t>Total Non-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7"/>
              </w:rPr>
              <w:t>Due Over 90</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No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and Still</w:t>
            </w: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accruals</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Accruing</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320</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320</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gridSpan w:val="4"/>
          </w:tcPr>
          <w:p>
            <w:pPr>
              <w:ind w:left="12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5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320</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438</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758</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Loans Past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Due Over 90</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w w:val="97"/>
              </w:rPr>
              <w:t>No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39" w:lineRule="exact"/>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6"/>
              <w:spacing w:after="0" w:line="139" w:lineRule="exact"/>
              <w:rPr>
                <w:sz w:val="20"/>
                <w:szCs w:val="20"/>
                <w:color w:val="auto"/>
              </w:rPr>
            </w:pPr>
            <w:r>
              <w:rPr>
                <w:rFonts w:ascii="Arial" w:cs="Arial" w:eastAsia="Arial" w:hAnsi="Arial"/>
                <w:sz w:val="13"/>
                <w:szCs w:val="13"/>
                <w:b w:val="1"/>
                <w:bCs w:val="1"/>
                <w:color w:val="auto"/>
                <w:w w:val="96"/>
              </w:rPr>
              <w:t>Total Non-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8"/>
              </w:rPr>
              <w:t>Days and Still</w:t>
            </w: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accruals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Accruing</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80" w:type="dxa"/>
            <w:vAlign w:val="bottom"/>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3680" w:type="dxa"/>
            <w:vAlign w:val="bottom"/>
            <w:gridSpan w:val="3"/>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June 30, 2024 and 2023. Interest income on these loans for the three months ended June 30, 2024 and 2023, would have been approximately $11 thousand and $13 thousand, respectively, had these loans performed in accordance with their original terms.</w:t>
      </w:r>
    </w:p>
    <w:p>
      <w:pPr>
        <w:spacing w:after="0" w:line="200" w:lineRule="exact"/>
        <w:rPr>
          <w:sz w:val="20"/>
          <w:szCs w:val="20"/>
          <w:color w:val="auto"/>
        </w:rPr>
      </w:pPr>
    </w:p>
    <w:p>
      <w:pPr>
        <w:spacing w:after="0" w:line="2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June 30, 2024, or as of December 31, 2023.</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following table presents newly restructured loans, by type of modification, which occurred during the six months ended June 30, 2024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3000" w:type="dxa"/>
            <w:vAlign w:val="bottom"/>
            <w:tcBorders>
              <w:bottom w:val="single" w:sz="8" w:color="auto"/>
            </w:tcBorders>
            <w:gridSpan w:val="10"/>
          </w:tcPr>
          <w:p>
            <w:pPr>
              <w:ind w:left="200"/>
              <w:spacing w:after="0"/>
              <w:rPr>
                <w:sz w:val="20"/>
                <w:szCs w:val="20"/>
                <w:color w:val="auto"/>
              </w:rPr>
            </w:pPr>
            <w:r>
              <w:rPr>
                <w:rFonts w:ascii="Arial" w:cs="Arial" w:eastAsia="Arial" w:hAnsi="Arial"/>
                <w:sz w:val="13"/>
                <w:szCs w:val="13"/>
                <w:b w:val="1"/>
                <w:bCs w:val="1"/>
                <w:color w:val="auto"/>
              </w:rPr>
              <w:t>Recorded Investment Prior to Modification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bottom w:val="single" w:sz="8" w:color="auto"/>
            </w:tcBorders>
            <w:gridSpan w:val="9"/>
          </w:tcPr>
          <w:p>
            <w:pPr>
              <w:jc w:val="right"/>
              <w:ind w:right="236"/>
              <w:spacing w:after="0"/>
              <w:rPr>
                <w:sz w:val="20"/>
                <w:szCs w:val="20"/>
                <w:color w:val="auto"/>
              </w:rPr>
            </w:pPr>
            <w:r>
              <w:rPr>
                <w:rFonts w:ascii="Arial" w:cs="Arial" w:eastAsia="Arial" w:hAnsi="Arial"/>
                <w:sz w:val="13"/>
                <w:szCs w:val="13"/>
                <w:b w:val="1"/>
                <w:bCs w:val="1"/>
                <w:color w:val="auto"/>
              </w:rPr>
              <w:t>Recorded Investment After Modification</w:t>
            </w:r>
          </w:p>
        </w:tc>
      </w:tr>
      <w:tr>
        <w:trPr>
          <w:trHeight w:val="183"/>
        </w:trPr>
        <w:tc>
          <w:tcPr>
            <w:tcW w:w="16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r>
      <w:tr>
        <w:trPr>
          <w:trHeight w:val="149"/>
        </w:trPr>
        <w:tc>
          <w:tcPr>
            <w:tcW w:w="164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Loans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r>
      <w:tr>
        <w:trPr>
          <w:trHeight w:val="151"/>
        </w:trPr>
        <w:tc>
          <w:tcPr>
            <w:tcW w:w="1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7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161"/>
        </w:trPr>
        <w:tc>
          <w:tcPr>
            <w:tcW w:w="1640" w:type="dxa"/>
            <w:vAlign w:val="bottom"/>
          </w:tcPr>
          <w:p>
            <w:pPr>
              <w:ind w:left="200"/>
              <w:spacing w:after="0"/>
              <w:rPr>
                <w:sz w:val="20"/>
                <w:szCs w:val="20"/>
                <w:color w:val="auto"/>
              </w:rPr>
            </w:pPr>
            <w:r>
              <w:rPr>
                <w:rFonts w:ascii="Arial" w:cs="Arial" w:eastAsia="Arial" w:hAnsi="Arial"/>
                <w:sz w:val="13"/>
                <w:szCs w:val="13"/>
                <w:color w:val="auto"/>
              </w:rPr>
              <w:t>Total</w:t>
            </w:r>
          </w:p>
        </w:tc>
        <w:tc>
          <w:tcPr>
            <w:tcW w:w="760" w:type="dxa"/>
            <w:vAlign w:val="bottom"/>
          </w:tcPr>
          <w:p>
            <w:pPr>
              <w:ind w:left="660"/>
              <w:spacing w:after="0"/>
              <w:rPr>
                <w:sz w:val="20"/>
                <w:szCs w:val="20"/>
                <w:color w:val="auto"/>
              </w:rPr>
            </w:pPr>
            <w:r>
              <w:rPr>
                <w:rFonts w:ascii="Arial" w:cs="Arial" w:eastAsia="Arial" w:hAnsi="Arial"/>
                <w:sz w:val="13"/>
                <w:szCs w:val="13"/>
                <w:color w:val="auto"/>
              </w:rPr>
              <w:t>1</w:t>
            </w:r>
          </w:p>
        </w:tc>
        <w:tc>
          <w:tcPr>
            <w:tcW w:w="20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468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468</w:t>
            </w: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had no new modifications to borrowers experiencing financial difficulties for the three months ended June 30, 2024 and one new modification for the six months ended June 30, 2024. There were no existing loan modifications that subsequently defaulted during the three months and six months ended June 30, 2024. The Company had one new modification to borrowers experiencing financial difficulties for the three and six months ended June 30, 2023. There were no existing loan modifications that subsequently defaulted for the three and six months ended June 30, 2023.</w:t>
      </w:r>
    </w:p>
    <w:p>
      <w:pPr>
        <w:spacing w:after="0" w:line="140" w:lineRule="exact"/>
        <w:rPr>
          <w:sz w:val="20"/>
          <w:szCs w:val="20"/>
          <w:color w:val="auto"/>
        </w:rPr>
      </w:pPr>
    </w:p>
    <w:p>
      <w:pPr>
        <w:ind w:left="1040" w:hanging="377"/>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provision for income taxes is presented in the following table for the periods indicated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20" w:type="dxa"/>
            <w:vAlign w:val="bottom"/>
            <w:tcBorders>
              <w:bottom w:val="single" w:sz="8" w:color="auto"/>
            </w:tcBorders>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4"/>
                <w:szCs w:val="14"/>
                <w:color w:val="auto"/>
              </w:rPr>
            </w:pPr>
          </w:p>
        </w:tc>
      </w:tr>
      <w:tr>
        <w:trPr>
          <w:trHeight w:val="151"/>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96"/>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0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120" w:type="dxa"/>
            <w:vAlign w:val="bottom"/>
            <w:gridSpan w:val="2"/>
          </w:tcPr>
          <w:p>
            <w:pPr>
              <w:spacing w:after="0" w:line="148" w:lineRule="exact"/>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2,653</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2,513</w:t>
            </w:r>
          </w:p>
        </w:tc>
      </w:tr>
      <w:tr>
        <w:trPr>
          <w:trHeight w:val="171"/>
        </w:trPr>
        <w:tc>
          <w:tcPr>
            <w:tcW w:w="10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r>
      <w:tr>
        <w:trPr>
          <w:trHeight w:val="151"/>
        </w:trPr>
        <w:tc>
          <w:tcPr>
            <w:tcW w:w="512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3,393</w:t>
            </w:r>
          </w:p>
        </w:tc>
        <w:tc>
          <w:tcPr>
            <w:tcW w:w="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3,214</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3,393</w:t>
            </w: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96"/>
              <w:spacing w:after="0" w:line="140"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3,214</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actual income tax expense for the six months ended June 30, 2024 and 2023 differs from the statutory tax expense for the periods (computed by applying the U.S. federal corporate tax rate of 21% for both 2024 and 2023 to income before provision for income taxes) as follows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20" w:type="dxa"/>
            <w:vAlign w:val="bottom"/>
            <w:tcBorders>
              <w:bottom w:val="single" w:sz="8" w:color="auto"/>
            </w:tcBorders>
          </w:tcPr>
          <w:p>
            <w:pPr>
              <w:spacing w:after="0"/>
              <w:rPr>
                <w:sz w:val="12"/>
                <w:szCs w:val="12"/>
                <w:color w:val="auto"/>
              </w:rPr>
            </w:pPr>
          </w:p>
        </w:tc>
      </w:tr>
      <w:tr>
        <w:trPr>
          <w:trHeight w:val="161"/>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4"/>
                <w:szCs w:val="14"/>
                <w:color w:val="auto"/>
              </w:rPr>
            </w:pPr>
          </w:p>
        </w:tc>
      </w:tr>
      <w:tr>
        <w:trPr>
          <w:trHeight w:val="151"/>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2,776</w:t>
            </w:r>
          </w:p>
        </w:tc>
      </w:tr>
      <w:tr>
        <w:trPr>
          <w:trHeight w:val="171"/>
        </w:trPr>
        <w:tc>
          <w:tcPr>
            <w:tcW w:w="512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618</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574</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r>
      <w:tr>
        <w:trPr>
          <w:trHeight w:val="171"/>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3,214</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June 30, 2024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13,098</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16,430</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2,895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losses on available for sale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15,114</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Accruals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382</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1"/>
        </w:trPr>
        <w:tc>
          <w:tcPr>
            <w:tcW w:w="5040" w:type="dxa"/>
            <w:vAlign w:val="bottom"/>
          </w:tcPr>
          <w:p>
            <w:pPr>
              <w:spacing w:after="0"/>
              <w:rPr>
                <w:sz w:val="20"/>
                <w:szCs w:val="20"/>
                <w:color w:val="auto"/>
              </w:rPr>
            </w:pPr>
            <w:r>
              <w:rPr>
                <w:rFonts w:ascii="Arial" w:cs="Arial" w:eastAsia="Arial" w:hAnsi="Arial"/>
                <w:sz w:val="13"/>
                <w:szCs w:val="13"/>
                <w:color w:val="auto"/>
              </w:rPr>
              <w:t>Deferred tax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38,009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41,074</w:t>
            </w:r>
          </w:p>
        </w:tc>
      </w:tr>
      <w:tr>
        <w:trPr>
          <w:trHeight w:val="171"/>
        </w:trPr>
        <w:tc>
          <w:tcPr>
            <w:tcW w:w="5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loan cost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Lease right of use asset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(2,895)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Cash flow hedge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51"/>
        </w:trPr>
        <w:tc>
          <w:tcPr>
            <w:tcW w:w="504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(3,792)</w:t>
            </w:r>
          </w:p>
        </w:tc>
      </w:tr>
      <w:tr>
        <w:trPr>
          <w:trHeight w:val="171"/>
        </w:trPr>
        <w:tc>
          <w:tcPr>
            <w:tcW w:w="5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r>
        <w:trPr>
          <w:trHeight w:val="161"/>
        </w:trPr>
        <w:tc>
          <w:tcPr>
            <w:tcW w:w="504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34,030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37,282</w:t>
            </w: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has approximately $47.8 million of federal and $ 70.5 million of state net operating loss carryforwards expiring in various amounts between 2031 and 2036 and which are limited to offset, to the extent permitted, future taxable earnings of the Company.</w:t>
      </w:r>
    </w:p>
    <w:p>
      <w:pPr>
        <w:spacing w:after="0" w:line="11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2020.</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For the three months and six months ended June 30, 2024 and 2023, the Company did not have any unrecognized tax benefits as a result of tax positions taken during a prior period or during the current period. Additionally, no interest or penalties were recorded as a result of tax uncertainties.</w:t>
      </w:r>
    </w:p>
    <w:p>
      <w:pPr>
        <w:spacing w:after="0" w:line="134"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2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June 30, 2024 and December 31, 2023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4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June 30, 2024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2023</w:t>
            </w:r>
          </w:p>
        </w:tc>
      </w:tr>
      <w:tr>
        <w:trPr>
          <w:trHeight w:val="151"/>
        </w:trPr>
        <w:tc>
          <w:tcPr>
            <w:tcW w:w="4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85,117</w:t>
            </w: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93,992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89,104</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a Cash Flow Hedge</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June 30, 2024, the Company had two interest rate swap agreements with a notional aggregate amount of $50 million that were designated as cash flow hedges of certificates of deposit. The interest rate swap agreements have an average maturity of 1.88 years, the weighted average fixed-rate paid of 3.59%, and with the weighted average 3-month compound SOFR being received.</w:t>
      </w:r>
    </w:p>
    <w:p>
      <w:pPr>
        <w:spacing w:after="0" w:line="135"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2023, the Company had two interest rate swap agreements with a notional aggregate amount of $50 million that were designated as cash flow hedges of certificates of deposit. The interest rate swap agreements have an average maturity of 2.38 years, the weighted average fixed-rate paid of 3.59%, with the weighted average 3-month compound SOFR being received.</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June 30, 2024, the Company had four interest rate swap agreements with a notional aggregate amount of $ 200 million that were designated as fair value hedges on loans. The interest rate swap agreements have an average maturity of 1.73 years, the weighted average fixed-rate paid is 4.74%, with the weighted average 3-month compound SOFR being received.</w:t>
      </w:r>
    </w:p>
    <w:p>
      <w:pPr>
        <w:spacing w:after="0" w:line="12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2023, the Company had four interest rate swap agreements with a notional aggregate amount of $200 million that were designated as fair value hedges on loans. The interest rate swap agreements have an average maturity of 2.23 years, the weighted average fixed-rate paid is 4.74%, with the weighted average 3-month compound SOFR being received.</w:t>
      </w:r>
    </w:p>
    <w:p>
      <w:pPr>
        <w:spacing w:after="0" w:line="135"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enters into interest rate swaps with its loan customers. The Company had 28 and 20 interest rate swaps with loan customers with an aggregate notional amount of $82.8 million and $46.5 million at June 30, 2024 and December 31, 2023,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ind w:right="150"/>
              <w:spacing w:after="0"/>
              <w:rPr>
                <w:sz w:val="20"/>
                <w:szCs w:val="20"/>
                <w:color w:val="auto"/>
              </w:rPr>
            </w:pPr>
            <w:r>
              <w:rPr>
                <w:rFonts w:ascii="Arial" w:cs="Arial" w:eastAsia="Arial" w:hAnsi="Arial"/>
                <w:sz w:val="10"/>
                <w:szCs w:val="10"/>
                <w:b w:val="1"/>
                <w:bCs w:val="1"/>
                <w:color w:val="auto"/>
                <w:w w:val="99"/>
              </w:rPr>
              <w:t>Notional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Collateral</w:t>
            </w: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83"/>
        </w:trPr>
        <w:tc>
          <w:tcPr>
            <w:tcW w:w="3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17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1"/>
                <w:szCs w:val="11"/>
                <w:color w:val="auto"/>
              </w:rPr>
            </w:pPr>
          </w:p>
        </w:tc>
        <w:tc>
          <w:tcPr>
            <w:tcW w:w="1660" w:type="dxa"/>
            <w:vAlign w:val="bottom"/>
            <w:gridSpan w:val="2"/>
          </w:tcPr>
          <w:p>
            <w:pPr>
              <w:ind w:left="240"/>
              <w:spacing w:after="0"/>
              <w:rPr>
                <w:sz w:val="20"/>
                <w:szCs w:val="20"/>
                <w:color w:val="auto"/>
              </w:rPr>
            </w:pPr>
            <w:r>
              <w:rPr>
                <w:rFonts w:ascii="Arial" w:cs="Arial" w:eastAsia="Arial" w:hAnsi="Arial"/>
                <w:sz w:val="10"/>
                <w:szCs w:val="10"/>
                <w:b w:val="1"/>
                <w:bCs w:val="1"/>
                <w:color w:val="auto"/>
              </w:rPr>
              <w:t>Balance Sheet Location</w:t>
            </w:r>
          </w:p>
        </w:tc>
        <w:tc>
          <w:tcPr>
            <w:tcW w:w="100" w:type="dxa"/>
            <w:vAlign w:val="bottom"/>
          </w:tcPr>
          <w:p>
            <w:pPr>
              <w:spacing w:after="0"/>
              <w:rPr>
                <w:sz w:val="11"/>
                <w:szCs w:val="11"/>
                <w:color w:val="auto"/>
              </w:rPr>
            </w:pPr>
          </w:p>
        </w:tc>
        <w:tc>
          <w:tcPr>
            <w:tcW w:w="560" w:type="dxa"/>
            <w:vAlign w:val="bottom"/>
          </w:tcPr>
          <w:p>
            <w:pPr>
              <w:jc w:val="right"/>
              <w:ind w:right="150"/>
              <w:spacing w:after="0"/>
              <w:rPr>
                <w:sz w:val="20"/>
                <w:szCs w:val="20"/>
                <w:color w:val="auto"/>
              </w:rPr>
            </w:pPr>
            <w:r>
              <w:rPr>
                <w:rFonts w:ascii="Arial" w:cs="Arial" w:eastAsia="Arial" w:hAnsi="Arial"/>
                <w:sz w:val="10"/>
                <w:szCs w:val="10"/>
                <w:b w:val="1"/>
                <w:bCs w:val="1"/>
                <w:color w:val="auto"/>
              </w:rPr>
              <w:t>Asset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108"/>
        </w:trPr>
        <w:tc>
          <w:tcPr>
            <w:tcW w:w="3080" w:type="dxa"/>
            <w:vAlign w:val="bottom"/>
            <w:tcBorders>
              <w:top w:val="single" w:sz="8" w:color="CCEEFF"/>
            </w:tcBorders>
            <w:shd w:val="clear" w:color="auto" w:fill="CCEEFF"/>
          </w:tcPr>
          <w:p>
            <w:pPr>
              <w:ind w:left="20"/>
              <w:spacing w:after="0" w:line="98" w:lineRule="exact"/>
              <w:rPr>
                <w:sz w:val="20"/>
                <w:szCs w:val="20"/>
                <w:color w:val="auto"/>
              </w:rPr>
            </w:pPr>
            <w:r>
              <w:rPr>
                <w:rFonts w:ascii="Arial" w:cs="Arial" w:eastAsia="Arial" w:hAnsi="Arial"/>
                <w:sz w:val="10"/>
                <w:szCs w:val="10"/>
                <w:b w:val="1"/>
                <w:bCs w:val="1"/>
                <w:color w:val="auto"/>
              </w:rPr>
              <w:t>June 30, 2024:</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120"/>
              <w:spacing w:after="0"/>
              <w:rPr>
                <w:sz w:val="20"/>
                <w:szCs w:val="20"/>
                <w:color w:val="auto"/>
              </w:rPr>
            </w:pPr>
            <w:r>
              <w:rPr>
                <w:rFonts w:ascii="Arial" w:cs="Arial" w:eastAsia="Arial" w:hAnsi="Arial"/>
                <w:sz w:val="10"/>
                <w:szCs w:val="10"/>
                <w:color w:val="auto"/>
              </w:rPr>
              <w:t>Derivatives designated as cash flow hedges: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Derivatives designated as hedging instruments: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20"/>
              <w:spacing w:after="0"/>
              <w:rPr>
                <w:sz w:val="20"/>
                <w:szCs w:val="20"/>
                <w:color w:val="auto"/>
              </w:rPr>
            </w:pPr>
            <w:r>
              <w:rPr>
                <w:rFonts w:ascii="Arial" w:cs="Arial" w:eastAsia="Arial" w:hAnsi="Arial"/>
                <w:sz w:val="10"/>
                <w:szCs w:val="10"/>
                <w:color w:val="auto"/>
              </w:rPr>
              <w:t>Interest rate swaps</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0"/>
                <w:szCs w:val="10"/>
                <w:color w:val="auto"/>
              </w:rPr>
              <w:t>200,000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15</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408</w:t>
            </w: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120"/>
              <w:spacing w:after="0"/>
              <w:rPr>
                <w:sz w:val="20"/>
                <w:szCs w:val="20"/>
                <w:color w:val="auto"/>
              </w:rPr>
            </w:pPr>
            <w:r>
              <w:rPr>
                <w:rFonts w:ascii="Arial" w:cs="Arial" w:eastAsia="Arial" w:hAnsi="Arial"/>
                <w:sz w:val="10"/>
                <w:szCs w:val="10"/>
                <w:color w:val="auto"/>
              </w:rPr>
              <w:t>Derivatives not designated as hedging instruments: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 related to customer loans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82,849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1,363</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assets/Other liabilities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5,568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5,568</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2023: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120"/>
              <w:spacing w:after="0"/>
              <w:rPr>
                <w:sz w:val="20"/>
                <w:szCs w:val="20"/>
                <w:color w:val="auto"/>
              </w:rPr>
            </w:pPr>
            <w:r>
              <w:rPr>
                <w:rFonts w:ascii="Arial" w:cs="Arial" w:eastAsia="Arial" w:hAnsi="Arial"/>
                <w:sz w:val="10"/>
                <w:szCs w:val="10"/>
                <w:color w:val="auto"/>
              </w:rPr>
              <w:t>Derivatives designated as cash flow hedges: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Derivatives designated as fair value hedges: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220"/>
              <w:spacing w:after="0"/>
              <w:rPr>
                <w:sz w:val="20"/>
                <w:szCs w:val="20"/>
                <w:color w:val="auto"/>
              </w:rPr>
            </w:pPr>
            <w:r>
              <w:rPr>
                <w:rFonts w:ascii="Arial" w:cs="Arial" w:eastAsia="Arial" w:hAnsi="Arial"/>
                <w:sz w:val="10"/>
                <w:szCs w:val="10"/>
                <w:color w:val="auto"/>
              </w:rPr>
              <w:t>Interest rate swaps</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0"/>
                <w:szCs w:val="10"/>
                <w:color w:val="auto"/>
              </w:rPr>
              <w:t>200,000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3,430</w:t>
            </w: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Pr>
          <w:p>
            <w:pPr>
              <w:ind w:left="120"/>
              <w:spacing w:after="0"/>
              <w:rPr>
                <w:sz w:val="20"/>
                <w:szCs w:val="20"/>
                <w:color w:val="auto"/>
              </w:rPr>
            </w:pPr>
            <w:r>
              <w:rPr>
                <w:rFonts w:ascii="Arial" w:cs="Arial" w:eastAsia="Arial" w:hAnsi="Arial"/>
                <w:sz w:val="10"/>
                <w:szCs w:val="10"/>
                <w:color w:val="auto"/>
              </w:rPr>
              <w:t>Derivatives not designated as hedging instruments: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 related to customer loans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46,463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1,326</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assets/Other liabilities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4,558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4,558</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ind w:left="1180" w:right="699"/>
        <w:spacing w:after="0" w:line="292"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w:t>
      </w:r>
    </w:p>
    <w:p>
      <w:pPr>
        <w:spacing w:after="0" w:line="13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1180" w:right="679"/>
        <w:spacing w:after="0" w:line="276" w:lineRule="auto"/>
        <w:rPr>
          <w:sz w:val="20"/>
          <w:szCs w:val="20"/>
          <w:color w:val="auto"/>
        </w:rPr>
      </w:pPr>
      <w:r>
        <w:rPr>
          <w:rFonts w:ascii="Arial" w:cs="Arial" w:eastAsia="Arial" w:hAnsi="Arial"/>
          <w:sz w:val="14"/>
          <w:szCs w:val="14"/>
          <w:color w:val="auto"/>
        </w:rPr>
        <w:t>equity securities that are traded in an active exchange market. Valuations are obtained from readily available pricing sources for market transactions involving identical assets or liabilities.</w:t>
      </w:r>
    </w:p>
    <w:p>
      <w:pPr>
        <w:spacing w:after="0" w:line="120"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jc w:val="both"/>
        <w:ind w:left="1180" w:right="699"/>
        <w:spacing w:after="0" w:line="25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24"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June 30, 2024 and December 31, 2023 for each of the fair value hierarchy levels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3"/>
                <w:szCs w:val="13"/>
                <w:b w:val="1"/>
                <w:bCs w:val="1"/>
                <w:color w:val="auto"/>
              </w:rPr>
              <w:t>December 31, 2023</w:t>
            </w:r>
          </w:p>
        </w:tc>
        <w:tc>
          <w:tcPr>
            <w:tcW w:w="640" w:type="dxa"/>
            <w:vAlign w:val="bottom"/>
            <w:tcBorders>
              <w:bottom w:val="single" w:sz="8" w:color="auto"/>
            </w:tcBorders>
          </w:tcPr>
          <w:p>
            <w:pPr>
              <w:spacing w:after="0"/>
              <w:rPr>
                <w:sz w:val="13"/>
                <w:szCs w:val="13"/>
                <w:color w:val="auto"/>
              </w:rPr>
            </w:pPr>
          </w:p>
        </w:tc>
      </w:tr>
      <w:tr>
        <w:trPr>
          <w:trHeight w:val="16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10,856</w:t>
            </w:r>
          </w:p>
        </w:tc>
        <w:tc>
          <w:tcPr>
            <w:tcW w:w="44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10,856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r>
      <w:tr>
        <w:trPr>
          <w:trHeight w:val="15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82,992</w:t>
            </w: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82,992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80,606</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80,606</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49,778</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49,778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r>
      <w:tr>
        <w:trPr>
          <w:trHeight w:val="15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50,926</w:t>
            </w: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50,926</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42,764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42,764</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19,410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r>
      <w:tr>
        <w:trPr>
          <w:trHeight w:val="17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22,482</w:t>
            </w:r>
          </w:p>
        </w:tc>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22,482</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26,261</w:t>
            </w:r>
          </w:p>
        </w:tc>
      </w:tr>
      <w:tr>
        <w:trPr>
          <w:trHeight w:val="151"/>
        </w:trPr>
        <w:tc>
          <w:tcPr>
            <w:tcW w:w="254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236,444</w:t>
            </w: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236,444</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229,329</w:t>
            </w:r>
          </w:p>
        </w:tc>
      </w:tr>
      <w:tr>
        <w:trPr>
          <w:trHeight w:val="17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6,465</w:t>
            </w: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6,465</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4,892</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4,892</w:t>
            </w:r>
          </w:p>
        </w:tc>
      </w:tr>
      <w:tr>
        <w:trPr>
          <w:trHeight w:val="20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242,909</w:t>
            </w:r>
          </w:p>
        </w:tc>
        <w:tc>
          <w:tcPr>
            <w:tcW w:w="44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242,909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234,221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234,221</w:t>
            </w:r>
          </w:p>
        </w:tc>
      </w:tr>
      <w:tr>
        <w:trPr>
          <w:trHeight w:val="121"/>
        </w:trPr>
        <w:tc>
          <w:tcPr>
            <w:tcW w:w="25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Derivative liabilities</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5,976</w:t>
            </w:r>
          </w:p>
        </w:tc>
        <w:tc>
          <w:tcPr>
            <w:tcW w:w="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ind w:right="276"/>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100" w:type="dxa"/>
            <w:vAlign w:val="bottom"/>
            <w:tcBorders>
              <w:top w:val="single" w:sz="8" w:color="auto"/>
              <w:bottom w:val="single" w:sz="8" w:color="auto"/>
            </w:tcBorders>
            <w:shd w:val="clear" w:color="auto" w:fill="CCEEFF"/>
          </w:tcPr>
          <w:p>
            <w:pPr>
              <w:ind w:left="2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5,976</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7,988</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7,988</w:t>
            </w:r>
          </w:p>
        </w:tc>
      </w:tr>
      <w:tr>
        <w:trPr>
          <w:trHeight w:val="16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5,976</w:t>
            </w:r>
          </w:p>
        </w:tc>
        <w:tc>
          <w:tcPr>
            <w:tcW w:w="44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5,976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7,988</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7,988</w:t>
            </w:r>
          </w:p>
        </w:tc>
      </w:tr>
      <w:tr>
        <w:trPr>
          <w:trHeight w:val="20"/>
        </w:trPr>
        <w:tc>
          <w:tcPr>
            <w:tcW w:w="2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June 30, 2024 and December 31, 2023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Hierarchy</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4"/>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r>
      <w:tr>
        <w:trPr>
          <w:trHeight w:val="149"/>
        </w:trPr>
        <w:tc>
          <w:tcPr>
            <w:tcW w:w="26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30, 2024: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72,082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72,082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72,082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169,606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149,573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149,573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1,847,019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1,821,431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1,821,431</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11,538</w:t>
            </w: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579,243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1,097,468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1,097,468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1,097,468</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65,844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65,844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65,844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314,147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312,428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312,428</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 and other borrowings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160,087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160,087</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3,869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2,256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1,613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3,869</w:t>
            </w:r>
          </w:p>
        </w:tc>
      </w:tr>
      <w:tr>
        <w:trPr>
          <w:trHeight w:val="171"/>
        </w:trPr>
        <w:tc>
          <w:tcPr>
            <w:tcW w:w="2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Cash and due from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174,974</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1,759,743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1,723,210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1,723,210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1,448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9,240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10,688</w:t>
            </w: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Demand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288,403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FHLB advances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183,000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182,282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182,282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r>
    </w:tbl>
    <w:p>
      <w:pPr>
        <w:spacing w:after="0" w:line="317"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$10.00 per share. The Bank received total net proceeds of $40.0 million after deducting underwriting discounts and expenses.</w:t>
      </w:r>
    </w:p>
    <w:p>
      <w:pPr>
        <w:spacing w:after="0" w:line="134"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December 2021, the Company acquired all the issued and outstanding shares of the Class A common stock of the Bank, which at the time were the only issued and outstanding shares of the Bank’s capital stock, in a share exchange (the “Reorganization”) effected under the Florida Business Corporation Act. Each outstanding share of the Bank’s Class A 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2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w:t>
      </w:r>
    </w:p>
    <w:p>
      <w:pPr>
        <w:spacing w:after="0" w:line="38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held in the Bank, and the Company’s then current shareholders owned the same percentages of the Company’s common stock as they previously owned of the Bank’s common stock.</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first quarter 2024, the Company issued 52,753 shares of Class A common stock to employees as restricted stock awards pursuant to the Company’s 2015 equity incentive plan . During the first quarter 2023, the Company issued 121,627 shares of Class A common stock to employees and directors as restricted stock awards pursuant to the Company’s 2015 equity incentive plan.</w:t>
      </w:r>
    </w:p>
    <w:p>
      <w:pPr>
        <w:spacing w:after="0" w:line="13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As previously announced, on April 22, 2024, the Board of Directors approved a new share repurchase program of up to 500,000 shares of Class A common stock or approximately 2.5% of the Company’s issued and outstanding shares of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The new repurchase program will commence upon completion of the Company’s current repurchase program. Repurchases under this new program will be funded from the Company’s existing cash and cash equivalents or future cash flow.</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During the three months ended June 30, 2024, the Company repurchased 25,000 shares of Class A common stock at a weighted average price per share of $ 12.00. The aggregate purchase price for these transactions was approximately $301 thousand, including transaction costs. These repurchases were made pursuant to the Company’s publicly announced repurchase programs. As of June 30, 2024, 547,980 shares remained authorized for repurchase under the Company’s two stock repurchase programs. During the three months ended June 30, 2023, the Company repurchased 77,603 shares of Class Acommon stock at a weighted average price per share of $9.58. The aggregate purchase price for these transactions was approximately $747 thousand, including transaction costs.</w:t>
      </w:r>
    </w:p>
    <w:p>
      <w:pPr>
        <w:spacing w:after="0" w:line="13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Shares of the Company’s Class A common stock issued and outstanding as of June 30, 2024 and December 31, 2023 were 19,630,632 and 19,575,435,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and bank holding companies from paying dividends if they deem such payment to be an unsafe or unsound practice.</w:t>
      </w:r>
    </w:p>
    <w:p>
      <w:pPr>
        <w:spacing w:after="0" w:line="14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January 29, 2024, the Company announced that its Board of Directors approved a quarterly cash dividend program. The quarterly dividend for the first quarter of 2024 was $ 0.05 per share of Class A common stock, paid on March 5, 2024, to stockholders of record as of the close of business on February 15, 2024. The aggregate distribution in connection with the first quarter dividend was $ 1.0 million. The quarterly dividend for the second quarter was $0.05 per share of Class A common stock, paid on June 5, 2024, to stockholders of record as of the close of business on May 15, 2024. The aggregate distribution on connection with the second quarter dividend was $1.0 million.</w:t>
      </w:r>
    </w:p>
    <w:p>
      <w:pPr>
        <w:spacing w:after="0" w:line="29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No dividends were declared by the Board for the stockholders for the three months and six months ended June 30, 2023.</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11, Subsequent Events, for information regarding dividends declared in July 2024.</w:t>
      </w:r>
    </w:p>
    <w:p>
      <w:pPr>
        <w:spacing w:after="0" w:line="170" w:lineRule="exact"/>
        <w:rPr>
          <w:sz w:val="20"/>
          <w:szCs w:val="20"/>
          <w:color w:val="auto"/>
        </w:rPr>
      </w:pPr>
    </w:p>
    <w:p>
      <w:pPr>
        <w:ind w:left="660" w:right="1079"/>
        <w:spacing w:after="0" w:line="276" w:lineRule="auto"/>
        <w:rPr>
          <w:sz w:val="20"/>
          <w:szCs w:val="20"/>
          <w:color w:val="auto"/>
        </w:rPr>
      </w:pPr>
      <w:r>
        <w:rPr>
          <w:rFonts w:ascii="Arial" w:cs="Arial" w:eastAsia="Arial" w:hAnsi="Arial"/>
          <w:sz w:val="14"/>
          <w:szCs w:val="14"/>
          <w:color w:val="auto"/>
        </w:rPr>
        <w:t>The following table details the dividends declared and paid by the Company during the three months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7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Declaration Date</w:t>
            </w:r>
          </w:p>
        </w:tc>
        <w:tc>
          <w:tcPr>
            <w:tcW w:w="6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Record Date</w:t>
            </w:r>
          </w:p>
        </w:tc>
        <w:tc>
          <w:tcPr>
            <w:tcW w:w="6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Dividend Amount</w:t>
            </w:r>
          </w:p>
        </w:tc>
      </w:tr>
      <w:tr>
        <w:trPr>
          <w:trHeight w:val="15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22, 2024</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February 15, 2024</w:t>
            </w: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March 5, 2024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 million</w:t>
            </w:r>
          </w:p>
        </w:tc>
      </w:tr>
      <w:tr>
        <w:trPr>
          <w:trHeight w:val="179"/>
        </w:trPr>
        <w:tc>
          <w:tcPr>
            <w:tcW w:w="1440" w:type="dxa"/>
            <w:vAlign w:val="bottom"/>
          </w:tcPr>
          <w:p>
            <w:pPr>
              <w:ind w:left="20"/>
              <w:spacing w:after="0"/>
              <w:rPr>
                <w:sz w:val="20"/>
                <w:szCs w:val="20"/>
                <w:color w:val="auto"/>
              </w:rPr>
            </w:pPr>
            <w:r>
              <w:rPr>
                <w:rFonts w:ascii="Arial" w:cs="Arial" w:eastAsia="Arial" w:hAnsi="Arial"/>
                <w:sz w:val="13"/>
                <w:szCs w:val="13"/>
                <w:color w:val="auto"/>
              </w:rPr>
              <w:t>April 22, 2024</w:t>
            </w:r>
          </w:p>
        </w:tc>
        <w:tc>
          <w:tcPr>
            <w:tcW w:w="6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3"/>
                <w:szCs w:val="13"/>
                <w:color w:val="auto"/>
              </w:rPr>
              <w:t>May 15, 2024</w:t>
            </w:r>
          </w:p>
        </w:tc>
        <w:tc>
          <w:tcPr>
            <w:tcW w:w="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June 5, 2024</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6"/>
              <w:spacing w:after="0"/>
              <w:rPr>
                <w:sz w:val="20"/>
                <w:szCs w:val="20"/>
                <w:color w:val="auto"/>
              </w:rPr>
            </w:pPr>
            <w:r>
              <w:rPr>
                <w:rFonts w:ascii="Arial" w:cs="Arial" w:eastAsia="Arial" w:hAnsi="Arial"/>
                <w:sz w:val="13"/>
                <w:szCs w:val="13"/>
                <w:color w:val="auto"/>
              </w:rPr>
              <w:t>0.05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ind w:left="400"/>
              <w:spacing w:after="0"/>
              <w:rPr>
                <w:sz w:val="20"/>
                <w:szCs w:val="20"/>
                <w:color w:val="auto"/>
              </w:rPr>
            </w:pPr>
            <w:r>
              <w:rPr>
                <w:rFonts w:ascii="Arial" w:cs="Arial" w:eastAsia="Arial" w:hAnsi="Arial"/>
                <w:sz w:val="13"/>
                <w:szCs w:val="13"/>
                <w:color w:val="auto"/>
              </w:rPr>
              <w:t>1.0 million</w:t>
            </w:r>
          </w:p>
        </w:tc>
      </w:tr>
    </w:tbl>
    <w:p>
      <w:pPr>
        <w:spacing w:after="0" w:line="30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June 30, 2024 and December 31, 2023. At June 30, 2024, the total risk-based capital ratios for the Company and the Bank were 13.12% and 13.01%, respectively.</w:t>
      </w:r>
    </w:p>
    <w:p>
      <w:pPr>
        <w:spacing w:after="0" w:line="118"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Earnings per share (“EPS”) for common stock is calculated using the two-class method required for participating securities. Basic EPS is calculated by dividing net income (loss) available to common shareholders by the weighted-average number of common shares outstanding for the period, without consideration for common stock equivalents. Diluted EPS is computed by dividing net income (loss) available to common shareholders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2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reflects the calculation of net income available to common shareholders for the three and six months ended June 30, 2024 and 2023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3"/>
                <w:szCs w:val="13"/>
                <w:b w:val="1"/>
                <w:bCs w:val="1"/>
                <w:color w:val="auto"/>
                <w:w w:val="98"/>
              </w:rPr>
              <w:t>Three Months Ended June 30,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33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2023</w:t>
            </w:r>
          </w:p>
        </w:tc>
      </w:tr>
      <w:tr>
        <w:trPr>
          <w:trHeight w:val="151"/>
        </w:trPr>
        <w:tc>
          <w:tcPr>
            <w:tcW w:w="33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6,209</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4,196</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10,821</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10,005</w:t>
            </w:r>
          </w:p>
        </w:tc>
      </w:tr>
      <w:tr>
        <w:trPr>
          <w:trHeight w:val="161"/>
        </w:trPr>
        <w:tc>
          <w:tcPr>
            <w:tcW w:w="3380" w:type="dxa"/>
            <w:vAlign w:val="bottom"/>
          </w:tcPr>
          <w:p>
            <w:pPr>
              <w:ind w:left="100"/>
              <w:spacing w:after="0"/>
              <w:rPr>
                <w:sz w:val="20"/>
                <w:szCs w:val="20"/>
                <w:color w:val="auto"/>
              </w:rPr>
            </w:pPr>
            <w:r>
              <w:rPr>
                <w:rFonts w:ascii="Arial" w:cs="Arial" w:eastAsia="Arial" w:hAnsi="Arial"/>
                <w:sz w:val="13"/>
                <w:szCs w:val="13"/>
                <w:color w:val="auto"/>
              </w:rPr>
              <w:t>Net income available to common shareholders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6,209</w:t>
            </w: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4,196</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10,821</w:t>
            </w: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10,005</w:t>
            </w: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six months ended June 30, 2024 and 2023 (in thousands, except per share amounts):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Three Months Ended June 30,</w:t>
            </w:r>
          </w:p>
        </w:tc>
      </w:tr>
      <w:tr>
        <w:trPr>
          <w:trHeight w:val="16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5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Class A</w:t>
            </w:r>
          </w:p>
        </w:tc>
      </w:tr>
      <w:tr>
        <w:trPr>
          <w:trHeight w:val="16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w:t>
            </w:r>
          </w:p>
        </w:tc>
      </w:tr>
      <w:tr>
        <w:trPr>
          <w:trHeight w:val="171"/>
        </w:trPr>
        <w:tc>
          <w:tcPr>
            <w:tcW w:w="524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19,650,681</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19,590,359</w:t>
            </w:r>
          </w:p>
        </w:tc>
      </w:tr>
      <w:tr>
        <w:trPr>
          <w:trHeight w:val="201"/>
        </w:trPr>
        <w:tc>
          <w:tcPr>
            <w:tcW w:w="524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0.32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0.21</w:t>
            </w:r>
          </w:p>
        </w:tc>
      </w:tr>
      <w:tr>
        <w:trPr>
          <w:trHeight w:val="121"/>
        </w:trPr>
        <w:tc>
          <w:tcPr>
            <w:tcW w:w="5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6,209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4,196</w:t>
            </w: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19,650,681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19,590,359</w:t>
            </w: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66,486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49,323</w:t>
            </w:r>
          </w:p>
        </w:tc>
      </w:tr>
      <w:tr>
        <w:trPr>
          <w:trHeight w:val="16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19,717,167</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19,639,682</w:t>
            </w:r>
          </w:p>
        </w:tc>
      </w:tr>
      <w:tr>
        <w:trPr>
          <w:trHeight w:val="172"/>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0.21</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1"/>
        </w:trPr>
        <w:tc>
          <w:tcPr>
            <w:tcW w:w="5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730,500</w:t>
            </w:r>
          </w:p>
        </w:tc>
      </w:tr>
    </w:tbl>
    <w:p>
      <w:pPr>
        <w:spacing w:after="0" w:line="175" w:lineRule="exact"/>
        <w:rPr>
          <w:sz w:val="20"/>
          <w:szCs w:val="20"/>
          <w:color w:val="auto"/>
        </w:rPr>
      </w:pPr>
    </w:p>
    <w:p>
      <w:pPr>
        <w:jc w:val="both"/>
        <w:ind w:left="660" w:right="699"/>
        <w:spacing w:after="0" w:line="264" w:lineRule="auto"/>
        <w:rPr>
          <w:sz w:val="20"/>
          <w:szCs w:val="20"/>
          <w:color w:val="auto"/>
        </w:rPr>
      </w:pPr>
      <w:r>
        <w:rPr>
          <w:rFonts w:ascii="Arial" w:cs="Arial" w:eastAsia="Arial" w:hAnsi="Arial"/>
          <w:sz w:val="11"/>
          <w:szCs w:val="11"/>
          <w:color w:val="auto"/>
        </w:rPr>
        <w:t>Net income has not been allocated to unvested restrictedstock awards that are participating securities 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5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Class A</w:t>
            </w: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10,005</w:t>
            </w:r>
          </w:p>
        </w:tc>
      </w:tr>
      <w:tr>
        <w:trPr>
          <w:trHeight w:val="151"/>
        </w:trPr>
        <w:tc>
          <w:tcPr>
            <w:tcW w:w="524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19,642,006</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19,722,152</w:t>
            </w:r>
          </w:p>
        </w:tc>
      </w:tr>
      <w:tr>
        <w:trPr>
          <w:trHeight w:val="201"/>
        </w:trPr>
        <w:tc>
          <w:tcPr>
            <w:tcW w:w="524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0.55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0.51</w:t>
            </w:r>
          </w:p>
        </w:tc>
      </w:tr>
      <w:tr>
        <w:trPr>
          <w:trHeight w:val="121"/>
        </w:trPr>
        <w:tc>
          <w:tcPr>
            <w:tcW w:w="5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10,821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10,005</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19,642,006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19,722,152</w:t>
            </w: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65,555</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68,604</w:t>
            </w:r>
          </w:p>
        </w:tc>
      </w:tr>
      <w:tr>
        <w:trPr>
          <w:trHeight w:val="172"/>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19,707,561</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19,790,756</w:t>
            </w: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0.51</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730,500</w:t>
            </w:r>
          </w:p>
        </w:tc>
      </w:tr>
    </w:tbl>
    <w:p>
      <w:pPr>
        <w:spacing w:after="0" w:line="175" w:lineRule="exact"/>
        <w:rPr>
          <w:sz w:val="20"/>
          <w:szCs w:val="20"/>
          <w:color w:val="auto"/>
        </w:rPr>
      </w:pPr>
    </w:p>
    <w:p>
      <w:pPr>
        <w:jc w:val="both"/>
        <w:ind w:left="660" w:right="699"/>
        <w:spacing w:after="0" w:line="274"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 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381" w:lineRule="exact"/>
        <w:rPr>
          <w:sz w:val="20"/>
          <w:szCs w:val="20"/>
          <w:color w:val="auto"/>
        </w:rPr>
      </w:pPr>
    </w:p>
    <w:p>
      <w:pPr>
        <w:ind w:left="1060" w:hanging="397"/>
        <w:spacing w:after="0"/>
        <w:tabs>
          <w:tab w:leader="none" w:pos="10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191"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28" w:lineRule="exact"/>
        <w:rPr>
          <w:sz w:val="20"/>
          <w:szCs w:val="20"/>
          <w:color w:val="auto"/>
        </w:rPr>
      </w:pPr>
    </w:p>
    <w:p>
      <w:pPr>
        <w:ind w:left="1180" w:hanging="517"/>
        <w:spacing w:after="0"/>
        <w:tabs>
          <w:tab w:leader="none" w:pos="11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July 22, 2024, the Company announced that its Board of Directors declared its third quarterly cash dividend. The quarterly dividend for the third quarter of 2024 was $0.05 per share of Class A common stock and will be paid on September 5, 2024, to stockholders of record as of the close of business on August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1"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as of and for the three and six months ended June 30, 2024. This discussion and analysis is best read in conjunction with the unaudited consolidated financial statements and related notes included in this Quarterly Report on Form 10-Q (“Form 10-Q”) and the audited consolidated financial statements and related notes included in the Annual Report on Form 10-K (“2023 Form 10-K”) filed with the Securities and Exchange Commission (“SEC”) for the year ended December 31, 2023.</w:t>
      </w:r>
    </w:p>
    <w:p>
      <w:pPr>
        <w:spacing w:after="0" w:line="142"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in Part II hereof and in the 2023 Form 10-K filed with the SEC which is available at the SEC’s website www.sec.gov.</w:t>
      </w:r>
    </w:p>
    <w:p>
      <w:pPr>
        <w:spacing w:after="0" w:line="137" w:lineRule="exact"/>
        <w:rPr>
          <w:sz w:val="20"/>
          <w:szCs w:val="20"/>
          <w:color w:val="auto"/>
        </w:rPr>
      </w:pPr>
    </w:p>
    <w:p>
      <w:pPr>
        <w:ind w:left="660" w:right="71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This Form 10-Q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4"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strength of the United States economy in general and the strength of the local economies in which we conduct operations;</w:t>
      </w:r>
    </w:p>
    <w:p>
      <w:pPr>
        <w:spacing w:after="0" w:line="23" w:lineRule="exact"/>
        <w:rPr>
          <w:rFonts w:ascii="Arial" w:cs="Arial" w:eastAsia="Arial" w:hAnsi="Arial"/>
          <w:sz w:val="12"/>
          <w:szCs w:val="12"/>
          <w:color w:val="auto"/>
        </w:rPr>
      </w:pP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successfully manage interest rate risk, credit risk, liquidity risk, and other risks inherent to our industry;</w:t>
      </w:r>
    </w:p>
    <w:p>
      <w:pPr>
        <w:ind w:left="1180" w:right="65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efficiency and effectiveness of our internal control procedures and processes;</w:t>
      </w:r>
    </w:p>
    <w:p>
      <w:pPr>
        <w:ind w:left="1180" w:right="69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comply with the extensive laws and regulations to which we are subject, including the laws for each jurisdiction where we operate;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adverse changes or conditions in capital and financial markets, including actual or potential stresses in the banking industry;</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deposit attrition and the level of our uninsured deposits;</w:t>
      </w:r>
    </w:p>
    <w:p>
      <w:pPr>
        <w:ind w:left="1180" w:right="67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legislative or regulatory changes and changes in accounting principles, policies, practices or guidelines, including the on-going effects of the implementation of the Current Expected Credit Losses (“CECL”) standard;</w:t>
      </w:r>
    </w:p>
    <w:p>
      <w:pPr>
        <w:jc w:val="both"/>
        <w:ind w:left="1180" w:right="659" w:hanging="261"/>
        <w:spacing w:after="0" w:line="234"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lack of a significantly diversified loan portfolio and the concentration in the South Florida market, including the risks of geographic, depositor, and industry concentrations, including our concentration in loans secured by real estate, in particular, commercial real estate;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effects of climate change;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concentration of ownership of our common stock;</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fluctuations in the price of our common stock;</w:t>
      </w:r>
    </w:p>
    <w:p>
      <w:pPr>
        <w:ind w:left="1180" w:right="67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inflation, interest rate, unemployment rate, market and monetary fluctuations;</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impacts of international hostilities and geopolitical events;</w:t>
      </w:r>
    </w:p>
    <w:p>
      <w:pPr>
        <w:ind w:left="1180" w:right="65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competition and its effect on the pricing of our products and services as well as our interest rate spread and net interest margin;</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loss of key employees;</w:t>
      </w:r>
    </w:p>
    <w:p>
      <w:pPr>
        <w:ind w:left="1180" w:right="67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effectiveness of our risk management strategies, including operational risks, including, but not limited to, client, employee, or third-party fraud and security breaches; and</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risks described in this Form 10-Q, the 2023 Form 10-K and other filings we make with the SEC.</w:t>
      </w:r>
    </w:p>
    <w:p>
      <w:pPr>
        <w:spacing w:after="0" w:line="144"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quarterly report on Form 10-Q are made only as of the date hereof, and we undertake no obligation to update or revise any forward -looking statement to reflect events or circumstances after the date on which the statement is made or to reflect the occurrence of unanticipated events,</w:t>
      </w:r>
    </w:p>
    <w:p>
      <w:pPr>
        <w:spacing w:after="0" w:line="18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spacing w:after="0" w:line="276" w:lineRule="auto"/>
        <w:rPr>
          <w:sz w:val="20"/>
          <w:szCs w:val="20"/>
          <w:color w:val="auto"/>
        </w:rPr>
      </w:pPr>
      <w:r>
        <w:rPr>
          <w:rFonts w:ascii="Arial" w:cs="Arial" w:eastAsia="Arial" w:hAnsi="Arial"/>
          <w:sz w:val="14"/>
          <w:szCs w:val="14"/>
          <w:color w:val="auto"/>
        </w:rPr>
        <w:t>unless required to do so under the federal securities laws. You should also review the risk factors described in the 2023 Form 10-K and in the reports the Company filed or will file with the SEC.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reported net income of $6.2 million or $0.31 per diluted share of common stock for the three months ended June 30, 2024 compared to $4.2 million or $0.21 per diluted share of common stock for the three months ended June 30, 2023.</w:t>
      </w:r>
    </w:p>
    <w:p>
      <w:pPr>
        <w:spacing w:after="0" w:line="128"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On January 29, 2024, the Company’s Board of Directors announced the adoption of a quarterly dividend program. The first quarter a cash dividend of $0.05 per share of the Company’s Class A common stock was paid on March 5, 2024 to shareholders of record at the close of business on February 15, 2024. The aggregate amount distributed in connection with this dividend was $1.0 million. The second quarter cash dividend of $0.05 per share of the Company’s Class A common stock was paid on June 5, 2024 to shareholders of record at the close of business on May 15, 2024. The aggregate amount distributed in connection with this dividend was $1.0 million. Additionally, the Company’s Board of Directors declared a cash dividend of $0.05 per share of the Company’s Class A common stock on July 22, 2024. The dividend will be paid on September 5, 2024 to shareholders of record at the close of business on August 15, 2024.</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25,000 shares of Class A common stock were repurchased at a weighted average price per share of $12.00 during the second quarter 2024. These repurchases were made pursuant to the Company’s publicly announced repurchase programs. As of June 30, 2024, 547,980 shares remained authorized for repurchase under the Company’s programs.</w:t>
      </w:r>
    </w:p>
    <w:p>
      <w:pPr>
        <w:spacing w:after="0" w:line="11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and borrowings, levels and composition of non-interest income and non-interest expense, performance ratios, asset quality ratios, regulatory capital ratios, and any significant event or transaction.</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Unless otherwise stated, all period comparisons in the bullet points below are calculated at or for the quarter ended June 30, 2024 compared to at or for the quarter ended June 30, 2023 and as of June 30, 2024 compared to December 31, 2023, and annualized where appropriate:</w:t>
      </w:r>
    </w:p>
    <w:p>
      <w:pPr>
        <w:spacing w:after="0" w:line="137" w:lineRule="exact"/>
        <w:rPr>
          <w:sz w:val="20"/>
          <w:szCs w:val="20"/>
          <w:color w:val="auto"/>
        </w:rPr>
      </w:pPr>
    </w:p>
    <w:p>
      <w:pPr>
        <w:ind w:left="1180" w:right="639" w:hanging="261"/>
        <w:spacing w:after="0" w:line="252"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income for the three months ended June 30, 2024 increased $3.1 million or 22.1% to $17.3 million from $14.2 million for the quarter ended June 30, 2023.</w:t>
      </w:r>
    </w:p>
    <w:p>
      <w:pPr>
        <w:spacing w:after="0" w:line="123" w:lineRule="exact"/>
        <w:rPr>
          <w:rFonts w:ascii="Arial" w:cs="Arial" w:eastAsia="Arial" w:hAnsi="Arial"/>
          <w:sz w:val="13"/>
          <w:szCs w:val="13"/>
          <w:color w:val="auto"/>
        </w:rPr>
      </w:pPr>
    </w:p>
    <w:p>
      <w:pPr>
        <w:ind w:left="1180" w:right="65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margin (“NIM”) was 2.94% for the three months ended June 30, 2024 compared to 2.73% for the three months ended June 30, 2023.</w:t>
      </w:r>
    </w:p>
    <w:p>
      <w:pPr>
        <w:spacing w:after="0" w:line="112" w:lineRule="exact"/>
        <w:rPr>
          <w:rFonts w:ascii="Arial" w:cs="Arial" w:eastAsia="Arial" w:hAnsi="Arial"/>
          <w:sz w:val="13"/>
          <w:szCs w:val="13"/>
          <w:color w:val="auto"/>
        </w:rPr>
      </w:pPr>
    </w:p>
    <w:p>
      <w:pPr>
        <w:ind w:left="1180" w:right="679" w:hanging="261"/>
        <w:spacing w:after="0" w:line="252"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assets were $2.5 billion at June 30, 2024, representing an increase of $232.4 million or 10.4% from June 30, 2023 and an increase of $119.2 million or 10.2% annualized from December 31, 2023.</w:t>
      </w:r>
    </w:p>
    <w:p>
      <w:pPr>
        <w:spacing w:after="0" w:line="144" w:lineRule="exact"/>
        <w:rPr>
          <w:rFonts w:ascii="Arial" w:cs="Arial" w:eastAsia="Arial" w:hAnsi="Arial"/>
          <w:sz w:val="13"/>
          <w:szCs w:val="13"/>
          <w:color w:val="auto"/>
        </w:rPr>
      </w:pPr>
    </w:p>
    <w:p>
      <w:pPr>
        <w:ind w:left="1180" w:right="659" w:hanging="261"/>
        <w:spacing w:after="0" w:line="252"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loans were $1.9 billion at June 30, 2024, representing an increase of $273.3 million or 17.1% from June 30, 2023 and an increase of $88.4 million or 10.0% annualized from December 31, 2023.</w:t>
      </w:r>
    </w:p>
    <w:p>
      <w:pPr>
        <w:spacing w:after="0" w:line="134" w:lineRule="exact"/>
        <w:rPr>
          <w:rFonts w:ascii="Arial" w:cs="Arial" w:eastAsia="Arial" w:hAnsi="Arial"/>
          <w:sz w:val="13"/>
          <w:szCs w:val="13"/>
          <w:color w:val="auto"/>
        </w:rPr>
      </w:pPr>
    </w:p>
    <w:p>
      <w:pPr>
        <w:ind w:left="1180" w:right="65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deposits were $2.1 billion at June 30, 2024, representing an increase of $135.4 million or 7.0% from June 30, 2023 and an increase of $119.6 million or 12.4% annualized from December 31, 2023.</w:t>
      </w:r>
    </w:p>
    <w:p>
      <w:pPr>
        <w:spacing w:after="0" w:line="123" w:lineRule="exact"/>
        <w:rPr>
          <w:rFonts w:ascii="Arial" w:cs="Arial" w:eastAsia="Arial" w:hAnsi="Arial"/>
          <w:sz w:val="13"/>
          <w:szCs w:val="13"/>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 assets for the quarter ended June 30, 2024 was 1.01% compared to 0.77% for the quarter ended June 30, 2023.</w:t>
      </w:r>
    </w:p>
    <w:p>
      <w:pPr>
        <w:spacing w:after="0" w:line="112" w:lineRule="exact"/>
        <w:rPr>
          <w:rFonts w:ascii="Arial" w:cs="Arial" w:eastAsia="Arial" w:hAnsi="Arial"/>
          <w:sz w:val="13"/>
          <w:szCs w:val="13"/>
          <w:color w:val="auto"/>
        </w:rPr>
      </w:pPr>
    </w:p>
    <w:p>
      <w:pPr>
        <w:ind w:left="1180" w:right="69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 stockholders’ equity for the quarter ended June 30, 2024 was 12.63% compared to 9.13% for quarter ended June 30, 2023.</w:t>
      </w:r>
    </w:p>
    <w:p>
      <w:pPr>
        <w:spacing w:after="0" w:line="102"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ACL to total loans was 1.19% at June 30, 2024 and 1.18% at December 31, 2023.</w:t>
      </w:r>
    </w:p>
    <w:p>
      <w:pPr>
        <w:spacing w:after="0" w:line="159"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Non-performing loans to total loans was 0.04% at June 30, 2024 and 0.03% at December 31, 2023.</w:t>
      </w:r>
    </w:p>
    <w:p>
      <w:pPr>
        <w:spacing w:after="0" w:line="159"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June 30, 2024, the total risk-based capital ratios for the Company and the Bank were 13.12% and 13.01%, respectively.</w:t>
      </w:r>
    </w:p>
    <w:p>
      <w:pPr>
        <w:spacing w:after="0" w:line="149" w:lineRule="exact"/>
        <w:rPr>
          <w:rFonts w:ascii="Arial" w:cs="Arial" w:eastAsia="Arial" w:hAnsi="Arial"/>
          <w:sz w:val="13"/>
          <w:szCs w:val="13"/>
          <w:color w:val="auto"/>
        </w:rPr>
      </w:pPr>
    </w:p>
    <w:p>
      <w:pPr>
        <w:jc w:val="both"/>
        <w:ind w:left="1180" w:right="659" w:hanging="261"/>
        <w:spacing w:after="0" w:line="242"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Tangible book value per common share (a non-GAAP financial measurement) of $10.24 as of June 30, 2024 was negatively affected by $2.28 due to accumulated comprehensive loss of $44.7 million at June 30, 2024. At June 30, 2023, tangible book value of $9.40 per common share was negatively affected by $2.37 due to $46.3 million accumulated other comprehensive loss. See “Reconciliation and Management Explanation for Non-GAAP Financial Measures” included in this Form 10-Q for a reconciliation of this non-GAAP financial measure.</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in the Company’s 2023 Form 10-K and “Summary of Significant Accounting Policies” in Part I in this Form 10-Q . To prepare financial statements in conformity with US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to an understanding of our financial statements. Management has presented the application of these policies to the Audit and Risk Committee of our Board of Directors.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8"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96"/>
              <w:spacing w:after="0"/>
              <w:rPr>
                <w:sz w:val="20"/>
                <w:szCs w:val="20"/>
                <w:color w:val="auto"/>
              </w:rPr>
            </w:pPr>
            <w:r>
              <w:rPr>
                <w:rFonts w:ascii="Arial" w:cs="Arial" w:eastAsia="Arial" w:hAnsi="Arial"/>
                <w:sz w:val="13"/>
                <w:szCs w:val="13"/>
                <w:b w:val="1"/>
                <w:bCs w:val="1"/>
                <w:color w:val="auto"/>
              </w:rPr>
              <w:t>June 30, 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2,458,270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2,339,093</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1,869,249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1,780,827</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2,056,702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1,937,139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20" w:type="dxa"/>
            <w:vAlign w:val="bottom"/>
            <w:shd w:val="clear" w:color="auto" w:fill="CCEEFF"/>
          </w:tcPr>
          <w:p>
            <w:pPr>
              <w:spacing w:after="0"/>
              <w:rPr>
                <w:sz w:val="14"/>
                <w:szCs w:val="14"/>
                <w:color w:val="auto"/>
              </w:rPr>
            </w:pPr>
          </w:p>
        </w:tc>
      </w:tr>
    </w:tbl>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6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1"/>
        </w:trPr>
        <w:tc>
          <w:tcPr>
            <w:tcW w:w="3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w w:val="97"/>
              </w:rPr>
              <w:t>Three Months Ended June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w w:val="99"/>
              </w:rPr>
              <w:t>Six Months Ended June 30,</w:t>
            </w:r>
          </w:p>
        </w:tc>
        <w:tc>
          <w:tcPr>
            <w:tcW w:w="20" w:type="dxa"/>
            <w:vAlign w:val="bottom"/>
          </w:tcPr>
          <w:p>
            <w:pPr>
              <w:spacing w:after="0"/>
              <w:rPr>
                <w:sz w:val="24"/>
                <w:szCs w:val="24"/>
                <w:color w:val="auto"/>
              </w:rPr>
            </w:pPr>
          </w:p>
        </w:tc>
      </w:tr>
      <w:tr>
        <w:trPr>
          <w:trHeight w:val="151"/>
        </w:trPr>
        <w:tc>
          <w:tcPr>
            <w:tcW w:w="36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51"/>
        </w:trPr>
        <w:tc>
          <w:tcPr>
            <w:tcW w:w="3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60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17,311</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14,173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32,469</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30,170</w:t>
            </w:r>
          </w:p>
        </w:tc>
        <w:tc>
          <w:tcPr>
            <w:tcW w:w="20" w:type="dxa"/>
            <w:vAlign w:val="bottom"/>
          </w:tcPr>
          <w:p>
            <w:pPr>
              <w:spacing w:after="0"/>
              <w:rPr>
                <w:sz w:val="14"/>
                <w:szCs w:val="14"/>
                <w:color w:val="auto"/>
              </w:rPr>
            </w:pPr>
          </w:p>
        </w:tc>
      </w:tr>
      <w:tr>
        <w:trPr>
          <w:trHeight w:val="171"/>
        </w:trPr>
        <w:tc>
          <w:tcPr>
            <w:tcW w:w="3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5,675</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20" w:type="dxa"/>
            <w:vAlign w:val="bottom"/>
            <w:shd w:val="clear" w:color="auto" w:fill="CCEEFF"/>
          </w:tcPr>
          <w:p>
            <w:pPr>
              <w:spacing w:after="0"/>
              <w:rPr>
                <w:sz w:val="14"/>
                <w:szCs w:val="14"/>
                <w:color w:val="auto"/>
              </w:rPr>
            </w:pPr>
          </w:p>
        </w:tc>
      </w:tr>
      <w:tr>
        <w:trPr>
          <w:trHeight w:val="171"/>
        </w:trPr>
        <w:tc>
          <w:tcPr>
            <w:tcW w:w="360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11,560</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10,452</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22,734</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20,628</w:t>
            </w:r>
          </w:p>
        </w:tc>
        <w:tc>
          <w:tcPr>
            <w:tcW w:w="20" w:type="dxa"/>
            <w:vAlign w:val="bottom"/>
          </w:tcPr>
          <w:p>
            <w:pPr>
              <w:spacing w:after="0"/>
              <w:rPr>
                <w:sz w:val="14"/>
                <w:szCs w:val="14"/>
                <w:color w:val="auto"/>
              </w:rPr>
            </w:pPr>
          </w:p>
        </w:tc>
      </w:tr>
      <w:tr>
        <w:trPr>
          <w:trHeight w:val="171"/>
        </w:trPr>
        <w:tc>
          <w:tcPr>
            <w:tcW w:w="3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10,821</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10,005</w:t>
            </w:r>
          </w:p>
        </w:tc>
        <w:tc>
          <w:tcPr>
            <w:tcW w:w="20" w:type="dxa"/>
            <w:vAlign w:val="bottom"/>
            <w:shd w:val="clear" w:color="auto" w:fill="CCEEFF"/>
          </w:tcPr>
          <w:p>
            <w:pPr>
              <w:spacing w:after="0"/>
              <w:rPr>
                <w:sz w:val="14"/>
                <w:szCs w:val="14"/>
                <w:color w:val="auto"/>
              </w:rPr>
            </w:pPr>
          </w:p>
        </w:tc>
      </w:tr>
      <w:tr>
        <w:trPr>
          <w:trHeight w:val="171"/>
        </w:trPr>
        <w:tc>
          <w:tcPr>
            <w:tcW w:w="360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56.33%</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w:t>
            </w:r>
          </w:p>
        </w:tc>
        <w:tc>
          <w:tcPr>
            <w:tcW w:w="20" w:type="dxa"/>
            <w:vAlign w:val="bottom"/>
            <w:shd w:val="clear" w:color="auto" w:fill="CCEEFF"/>
          </w:tcPr>
          <w:p>
            <w:pPr>
              <w:spacing w:after="0"/>
              <w:rPr>
                <w:sz w:val="14"/>
                <w:szCs w:val="14"/>
                <w:color w:val="auto"/>
              </w:rPr>
            </w:pPr>
          </w:p>
        </w:tc>
      </w:tr>
      <w:tr>
        <w:trPr>
          <w:trHeight w:val="189"/>
        </w:trPr>
        <w:tc>
          <w:tcPr>
            <w:tcW w:w="360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2.94%</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Company’s results of operations depend substantially on the levels of our net interest income and non-interest income. Other factors contributing to the results of operations include our provision for credit losses, the level of non-interest expense, and the provision for income taxes.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income increased to $6.2 million for the three months ended June 30, 2024 from $4.2 million for the same period in 2023. The $2.0 million or 48% increase in net income was attributable to higher interest income from a larger loan portfolio, net interest margin expansion, and increased activity in fee generating transactions (wire fees, gain on sale of loans, SWAP fees, and treasury management fees) between periods.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income increased to $10.8 million for the six months ended June 30, 2024 from $10.0 million for the same period in 2023. The $816 thousand or 8.2% increase in net income was attributable to higher interest income from a larger loan portfolio and increased activity in fee generating transactions (wire fees, gain on sale of loans, SWAP fees, and treasury management fees) between periods.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paid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30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funding sources.</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Changes in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0"/>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10"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10"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20" w:type="dxa"/>
            <w:vAlign w:val="bottom"/>
          </w:tcPr>
          <w:p>
            <w:pPr>
              <w:spacing w:after="0"/>
              <w:rPr>
                <w:sz w:val="11"/>
                <w:szCs w:val="11"/>
                <w:color w:val="auto"/>
              </w:rPr>
            </w:pP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1,828,487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28,017</w:t>
            </w: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1,569,266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20,847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5.33%</w:t>
            </w: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440,559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3,069</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2.80%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422,544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2,382</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2.26%</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100,371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6.13%</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87,536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4.82%</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2,369,417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32,617</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5.54%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2,079,346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24,280</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4.68%</w:t>
            </w: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109,805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104,196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2,479,222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1"/>
        </w:trPr>
        <w:tc>
          <w:tcPr>
            <w:tcW w:w="26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w:t>
            </w: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53,561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1,101,272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10,071</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3.68%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940,095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6,968</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2.97%</w:t>
            </w:r>
          </w:p>
        </w:tc>
        <w:tc>
          <w:tcPr>
            <w:tcW w:w="20" w:type="dxa"/>
            <w:vAlign w:val="bottom"/>
          </w:tcPr>
          <w:p>
            <w:pPr>
              <w:spacing w:after="0"/>
              <w:rPr>
                <w:sz w:val="14"/>
                <w:szCs w:val="14"/>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315,872</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3,222</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277,001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3.11%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1,473,513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13,684</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3.74%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1,270,657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9,313</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2.94%</w:t>
            </w: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3.42%</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1,635,513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15,306</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3.76%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1,363,732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10,107</w:t>
            </w: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2.97%</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610,370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601,778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35,584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2,281,467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1,999,304</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197,755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184,238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2,479,222</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gridSpan w:val="3"/>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17,311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4"/>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14,173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3"/>
        </w:trPr>
        <w:tc>
          <w:tcPr>
            <w:tcW w:w="262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gridSpan w:val="2"/>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1.78%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ind w:left="360"/>
              <w:spacing w:after="0" w:line="123" w:lineRule="exact"/>
              <w:rPr>
                <w:sz w:val="20"/>
                <w:szCs w:val="20"/>
                <w:color w:val="auto"/>
              </w:rPr>
            </w:pPr>
            <w:r>
              <w:rPr>
                <w:rFonts w:ascii="Arial" w:cs="Arial" w:eastAsia="Arial" w:hAnsi="Arial"/>
                <w:sz w:val="11"/>
                <w:szCs w:val="11"/>
                <w:color w:val="auto"/>
              </w:rPr>
              <w:t>1.71%</w:t>
            </w:r>
          </w:p>
        </w:tc>
        <w:tc>
          <w:tcPr>
            <w:tcW w:w="20" w:type="dxa"/>
            <w:vAlign w:val="bottom"/>
            <w:tcBorders>
              <w:top w:val="single" w:sz="8" w:color="CCEEFF"/>
            </w:tcBorders>
            <w:shd w:val="clear" w:color="auto" w:fill="CCEEFF"/>
          </w:tcPr>
          <w:p>
            <w:pPr>
              <w:spacing w:after="0"/>
              <w:rPr>
                <w:sz w:val="10"/>
                <w:szCs w:val="10"/>
                <w:color w:val="auto"/>
              </w:rPr>
            </w:pPr>
          </w:p>
        </w:tc>
      </w:tr>
      <w:tr>
        <w:trPr>
          <w:trHeight w:val="205"/>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3"/>
          </w:tcPr>
          <w:p>
            <w:pPr>
              <w:ind w:left="380"/>
              <w:spacing w:after="0"/>
              <w:rPr>
                <w:sz w:val="20"/>
                <w:szCs w:val="20"/>
                <w:color w:val="auto"/>
              </w:rPr>
            </w:pPr>
            <w:r>
              <w:rPr>
                <w:rFonts w:ascii="Arial" w:cs="Arial" w:eastAsia="Arial" w:hAnsi="Arial"/>
                <w:sz w:val="11"/>
                <w:szCs w:val="11"/>
                <w:color w:val="auto"/>
              </w:rPr>
              <w:t>2.73%</w:t>
            </w:r>
          </w:p>
        </w:tc>
        <w:tc>
          <w:tcPr>
            <w:tcW w:w="20" w:type="dxa"/>
            <w:vAlign w:val="bottom"/>
          </w:tcPr>
          <w:p>
            <w:pPr>
              <w:spacing w:after="0"/>
              <w:rPr>
                <w:sz w:val="17"/>
                <w:szCs w:val="17"/>
                <w:color w:val="auto"/>
              </w:rPr>
            </w:pPr>
          </w:p>
        </w:tc>
      </w:tr>
    </w:tbl>
    <w:p>
      <w:pPr>
        <w:spacing w:after="0" w:line="119" w:lineRule="exact"/>
        <w:rPr>
          <w:sz w:val="20"/>
          <w:szCs w:val="20"/>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54" w:lineRule="exact"/>
        <w:rPr>
          <w:rFonts w:ascii="Arial" w:cs="Arial" w:eastAsia="Arial" w:hAnsi="Arial"/>
          <w:sz w:val="11"/>
          <w:szCs w:val="11"/>
          <w:color w:val="auto"/>
        </w:rPr>
      </w:pPr>
    </w:p>
    <w:p>
      <w:pPr>
        <w:ind w:left="860" w:hanging="197"/>
        <w:spacing w:after="0"/>
        <w:tabs>
          <w:tab w:leader="none" w:pos="8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1"/>
                <w:szCs w:val="11"/>
                <w:b w:val="1"/>
                <w:bCs w:val="1"/>
                <w:color w:val="auto"/>
              </w:rPr>
              <w:t>Six Months Ended June 30,</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5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50" w:type="dxa"/>
            <w:vAlign w:val="bottom"/>
          </w:tcPr>
          <w:p>
            <w:pPr>
              <w:jc w:val="right"/>
              <w:ind w:right="143"/>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43"/>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jc w:val="right"/>
              <w:ind w:right="103"/>
              <w:spacing w:after="0" w:line="137" w:lineRule="exact"/>
              <w:rPr>
                <w:sz w:val="20"/>
                <w:szCs w:val="20"/>
                <w:color w:val="auto"/>
              </w:rPr>
            </w:pPr>
            <w:r>
              <w:rPr>
                <w:rFonts w:ascii="Arial" w:cs="Arial" w:eastAsia="Arial" w:hAnsi="Arial"/>
                <w:sz w:val="11"/>
                <w:szCs w:val="11"/>
                <w:b w:val="1"/>
                <w:bCs w:val="1"/>
                <w:color w:val="auto"/>
                <w:w w:val="98"/>
              </w:rPr>
              <w:t xml:space="preserve">Balance </w:t>
            </w:r>
            <w:r>
              <w:rPr>
                <w:rFonts w:ascii="Arial" w:cs="Arial" w:eastAsia="Arial" w:hAnsi="Arial"/>
                <w:sz w:val="14"/>
                <w:szCs w:val="14"/>
                <w:b w:val="1"/>
                <w:bCs w:val="1"/>
                <w:color w:val="auto"/>
                <w:w w:val="98"/>
                <w:vertAlign w:val="superscript"/>
              </w:rPr>
              <w:t>(1)</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Interest</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3"/>
          </w:tcPr>
          <w:p>
            <w:pPr>
              <w:jc w:val="right"/>
              <w:ind w:right="23"/>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3"/>
              <w:spacing w:after="0" w:line="137" w:lineRule="exact"/>
              <w:rPr>
                <w:sz w:val="20"/>
                <w:szCs w:val="20"/>
                <w:color w:val="auto"/>
              </w:rPr>
            </w:pPr>
            <w:r>
              <w:rPr>
                <w:rFonts w:ascii="Arial" w:cs="Arial" w:eastAsia="Arial" w:hAnsi="Arial"/>
                <w:sz w:val="11"/>
                <w:szCs w:val="11"/>
                <w:b w:val="1"/>
                <w:bCs w:val="1"/>
                <w:color w:val="auto"/>
              </w:rPr>
              <w:t xml:space="preserve">Balance </w:t>
            </w:r>
            <w:r>
              <w:rPr>
                <w:rFonts w:ascii="Arial" w:cs="Arial" w:eastAsia="Arial" w:hAnsi="Arial"/>
                <w:sz w:val="14"/>
                <w:szCs w:val="14"/>
                <w:b w:val="1"/>
                <w:bCs w:val="1"/>
                <w:color w:val="auto"/>
                <w:vertAlign w:val="superscript"/>
              </w:rPr>
              <w:t>(1)</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Interest</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3"/>
          </w:tcPr>
          <w:p>
            <w:pPr>
              <w:ind w:left="80"/>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1,805,008</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54,660</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6.09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1,558,390</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40,558</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5.25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430,274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5,880</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2.75</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422,132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4,668</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112,808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2,964</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5.28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65,433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1,433</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4.42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2,348,090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63,504</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5.44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2,045,955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46,659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4.60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109,572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106,100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assets</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2,457,662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2,152,055</w:t>
            </w: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20" w:type="dxa"/>
            <w:vAlign w:val="bottom"/>
            <w:tcBorders>
              <w:top w:val="single" w:sz="8" w:color="CCEEFF"/>
            </w:tcBorders>
            <w:gridSpan w:val="2"/>
            <w:shd w:val="clear" w:color="auto" w:fill="CCEEFF"/>
          </w:tcPr>
          <w:p>
            <w:pPr>
              <w:ind w:left="40"/>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spacing w:after="0"/>
              <w:rPr>
                <w:sz w:val="10"/>
                <w:szCs w:val="10"/>
                <w:color w:val="auto"/>
              </w:rPr>
            </w:pPr>
          </w:p>
        </w:tc>
        <w:tc>
          <w:tcPr>
            <w:tcW w:w="75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54,857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760</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2.79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55,812</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243</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0.88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1,099,423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20,465</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3.74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918,697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11,753</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319,392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6,516</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4.10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251,009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3,202</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2.57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1,473,672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27,741</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3.79</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1,225,518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15,198</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163,093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3,294</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4.06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77,425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1,291</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3.36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1,636,765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31,035</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3.81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1,302,943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16,489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2.55</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Non-interest bearing demand deposits</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592,565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632,901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32,908</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32,404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2,262,238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1,968,248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195,424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183,807</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2,457,662</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2,152,055</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ind w:left="40"/>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5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32,469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30,170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520" w:type="dxa"/>
            <w:vAlign w:val="bottom"/>
            <w:tcBorders>
              <w:top w:val="single" w:sz="8" w:color="CCEEFF"/>
            </w:tcBorders>
            <w:gridSpan w:val="2"/>
            <w:shd w:val="clear" w:color="auto" w:fill="CCEEFF"/>
          </w:tcPr>
          <w:p>
            <w:pPr>
              <w:ind w:left="40"/>
              <w:spacing w:after="0" w:line="91" w:lineRule="exact"/>
              <w:rPr>
                <w:sz w:val="20"/>
                <w:szCs w:val="20"/>
                <w:color w:val="auto"/>
              </w:rPr>
            </w:pPr>
            <w:r>
              <w:rPr>
                <w:rFonts w:ascii="Arial" w:cs="Arial" w:eastAsia="Arial" w:hAnsi="Arial"/>
                <w:sz w:val="8"/>
                <w:szCs w:val="8"/>
                <w:color w:val="auto"/>
              </w:rPr>
              <w:t xml:space="preserve">Net interest spread </w:t>
            </w:r>
            <w:r>
              <w:rPr>
                <w:rFonts w:ascii="Arial" w:cs="Arial" w:eastAsia="Arial" w:hAnsi="Arial"/>
                <w:sz w:val="10"/>
                <w:szCs w:val="10"/>
                <w:color w:val="auto"/>
                <w:vertAlign w:val="superscript"/>
              </w:rPr>
              <w:t>(5)</w:t>
            </w:r>
          </w:p>
        </w:tc>
        <w:tc>
          <w:tcPr>
            <w:tcW w:w="20" w:type="dxa"/>
            <w:vAlign w:val="bottom"/>
            <w:tcBorders>
              <w:top w:val="single" w:sz="8" w:color="CCEEFF"/>
            </w:tcBorders>
            <w:shd w:val="clear" w:color="auto" w:fill="CCEEFF"/>
          </w:tcPr>
          <w:p>
            <w:pPr>
              <w:spacing w:after="0"/>
              <w:rPr>
                <w:sz w:val="8"/>
                <w:szCs w:val="8"/>
                <w:color w:val="auto"/>
              </w:rPr>
            </w:pPr>
          </w:p>
        </w:tc>
        <w:tc>
          <w:tcPr>
            <w:tcW w:w="110" w:type="dxa"/>
            <w:vAlign w:val="bottom"/>
            <w:tcBorders>
              <w:top w:val="single" w:sz="8" w:color="CCEEFF"/>
            </w:tcBorders>
            <w:shd w:val="clear" w:color="auto" w:fill="CCEEFF"/>
          </w:tcPr>
          <w:p>
            <w:pPr>
              <w:spacing w:after="0"/>
              <w:rPr>
                <w:sz w:val="8"/>
                <w:szCs w:val="8"/>
                <w:color w:val="auto"/>
              </w:rPr>
            </w:pPr>
          </w:p>
        </w:tc>
        <w:tc>
          <w:tcPr>
            <w:tcW w:w="75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ind w:left="400"/>
              <w:spacing w:after="0" w:line="91" w:lineRule="exact"/>
              <w:rPr>
                <w:sz w:val="20"/>
                <w:szCs w:val="20"/>
                <w:color w:val="auto"/>
              </w:rPr>
            </w:pPr>
            <w:r>
              <w:rPr>
                <w:rFonts w:ascii="Arial" w:cs="Arial" w:eastAsia="Arial" w:hAnsi="Arial"/>
                <w:sz w:val="10"/>
                <w:szCs w:val="10"/>
                <w:color w:val="auto"/>
              </w:rPr>
              <w:t>1.63</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jc w:val="right"/>
              <w:spacing w:after="0" w:line="91" w:lineRule="exact"/>
              <w:rPr>
                <w:sz w:val="20"/>
                <w:szCs w:val="20"/>
                <w:color w:val="auto"/>
              </w:rPr>
            </w:pPr>
            <w:r>
              <w:rPr>
                <w:rFonts w:ascii="Arial" w:cs="Arial" w:eastAsia="Arial" w:hAnsi="Arial"/>
                <w:sz w:val="10"/>
                <w:szCs w:val="10"/>
                <w:color w:val="auto"/>
                <w:w w:val="89"/>
                <w:shd w:val="clear" w:color="auto" w:fill="CCEEFF"/>
              </w:rPr>
              <w:t>%</w:t>
            </w: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ind w:left="400"/>
              <w:spacing w:after="0" w:line="91" w:lineRule="exact"/>
              <w:rPr>
                <w:sz w:val="20"/>
                <w:szCs w:val="20"/>
                <w:color w:val="auto"/>
              </w:rPr>
            </w:pPr>
            <w:r>
              <w:rPr>
                <w:rFonts w:ascii="Arial" w:cs="Arial" w:eastAsia="Arial" w:hAnsi="Arial"/>
                <w:sz w:val="10"/>
                <w:szCs w:val="10"/>
                <w:color w:val="auto"/>
              </w:rPr>
              <w:t>2.05</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color w:val="auto"/>
                <w:shd w:val="clear" w:color="auto" w:fill="CCEEFF"/>
              </w:rPr>
              <w:t>%</w:t>
            </w: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520" w:type="dxa"/>
            <w:vAlign w:val="bottom"/>
            <w:gridSpan w:val="2"/>
          </w:tcPr>
          <w:p>
            <w:pPr>
              <w:ind w:left="4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2.78</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2.97</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700" w:right="1159" w:hanging="5"/>
        <w:spacing w:after="0" w:line="262" w:lineRule="auto"/>
        <w:tabs>
          <w:tab w:leader="none" w:pos="904"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ind w:left="900" w:hanging="205"/>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6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Net interest income before the provision for credit losses was $17.3 million for the three months ended June 30, 2024, an increase of $3.1 million or 22.1%, from $14.2 million for the same period in 2023. This increase was primarily attributable to higher income from a larger loan portfolio combined with an increase in the weighted average loan yield.</w:t>
      </w:r>
    </w:p>
    <w:p>
      <w:pPr>
        <w:spacing w:after="0" w:line="13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Net interest margin was 2.94% for the quarter ended June 30, 2024 and 2.73% for the same period in 2023. Loan yields and rate paid on cost of funds both increased, however loan yields grew at a higher rate offsetting the increase in deposits and borrowing costs.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6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Net interest income before the provision for credit losses was $32.5 million for the six months ended June 30, 2024, an increase of $2.3 million or 7.6%, from $30.2 million for the same period in 2023. This increase was primarily attributable to higher income from a larger loan portfolio combined with an increase in the weighted average loan yield.</w:t>
      </w:r>
    </w:p>
    <w:p>
      <w:pPr>
        <w:spacing w:after="0" w:line="11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Net interest margin was 2.78% for the six months ended June 30, 2024 and 2.97% for the same period in 2023. Loan yields and rate paid on cost of funds both increased, however the increase in volume and rate paid on cost of funds was higher than the increase in total interest-bearing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that, in management's evaluation, is adequate to provide coverage for all expected credit losses. The provision for credit losses is impacted by variations in the size and composition of our loan and debt securities portfolio, recent historical and projected future economic conditions, our internal assessment of the credit quality of the loan and debt securities portfolios and net charge-offs.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provision for credit loss was $786 thousand for the three months ended June 30, 2024 compared to $38 thousand for the same period in 2023. Growth in the loan portfolio was the primary driver of the increase in the provision expense during the three months ended June 30, 2024.</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provision for credit loss was $1.2 million for the six months ended June 30, 2024 compared to $239 thousand for the same period in 2023. Growth in the loan portfolio was the primary driver of the increase in the provision expense during the six months ended June 30, 2024.</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from the increase in the cash surrender value of these policies.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94" w:lineRule="exact"/>
        <w:rPr>
          <w:sz w:val="20"/>
          <w:szCs w:val="20"/>
          <w:color w:val="auto"/>
        </w:rPr>
      </w:pPr>
    </w:p>
    <w:tbl>
      <w:tblPr>
        <w:tblLayout w:type="fixed"/>
        <w:tblInd w:w="3820" w:type="dxa"/>
        <w:tblCellMar>
          <w:top w:w="0" w:type="dxa"/>
          <w:left w:w="0" w:type="dxa"/>
          <w:bottom w:w="0" w:type="dxa"/>
          <w:right w:w="0" w:type="dxa"/>
        </w:tblCellMar>
      </w:tblPr>
      <w:tr>
        <w:trPr>
          <w:trHeight w:val="149"/>
        </w:trPr>
        <w:tc>
          <w:tcPr>
            <w:tcW w:w="22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3"/>
                <w:szCs w:val="13"/>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3"/>
                <w:szCs w:val="13"/>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tbl>
      <w:tblPr>
        <w:tblLayout w:type="fixed"/>
        <w:tblInd w:w="660" w:type="dxa"/>
        <w:tblCellMar>
          <w:top w:w="0" w:type="dxa"/>
          <w:left w:w="0" w:type="dxa"/>
          <w:bottom w:w="0" w:type="dxa"/>
          <w:right w:w="0" w:type="dxa"/>
        </w:tblCellMar>
      </w:tblPr>
      <w:tr>
        <w:trPr>
          <w:trHeight w:val="21"/>
        </w:trPr>
        <w:tc>
          <w:tcPr>
            <w:tcW w:w="3160" w:type="dxa"/>
            <w:vAlign w:val="bottom"/>
            <w:vMerge w:val="restart"/>
          </w:tcPr>
          <w:p>
            <w:pPr>
              <w:spacing w:after="0"/>
              <w:rPr>
                <w:sz w:val="20"/>
                <w:szCs w:val="20"/>
                <w:color w:val="auto"/>
              </w:rPr>
            </w:pPr>
            <w:r>
              <w:rPr>
                <w:rFonts w:ascii="Arial" w:cs="Arial" w:eastAsia="Arial" w:hAnsi="Arial"/>
                <w:sz w:val="13"/>
                <w:szCs w:val="13"/>
                <w:color w:val="auto"/>
              </w:rPr>
              <w:t>Service fees</w:t>
            </w: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79"/>
        </w:trPr>
        <w:tc>
          <w:tcPr>
            <w:tcW w:w="316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3"/>
                <w:szCs w:val="13"/>
                <w:color w:val="auto"/>
              </w:rPr>
              <w:t>Gain on sale of loans held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non-interest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100"/>
              <w:spacing w:after="0" w:line="140" w:lineRule="exact"/>
              <w:rPr>
                <w:sz w:val="20"/>
                <w:szCs w:val="20"/>
                <w:color w:val="auto"/>
              </w:rPr>
            </w:pPr>
            <w:r>
              <w:rPr>
                <w:rFonts w:ascii="Arial" w:cs="Arial" w:eastAsia="Arial" w:hAnsi="Arial"/>
                <w:sz w:val="13"/>
                <w:szCs w:val="13"/>
                <w:color w:val="auto"/>
              </w:rPr>
              <w:t>Total non-interest income</w:t>
            </w:r>
          </w:p>
        </w:tc>
        <w:tc>
          <w:tcPr>
            <w:tcW w:w="20" w:type="dxa"/>
            <w:vAlign w:val="bottom"/>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1,173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r>
      <w:tr>
        <w:trPr>
          <w:trHeight w:val="139"/>
        </w:trPr>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417</w:t>
            </w:r>
          </w:p>
        </w:tc>
        <w:tc>
          <w:tcPr>
            <w:tcW w:w="10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94</w:t>
            </w:r>
          </w:p>
        </w:tc>
        <w:tc>
          <w:tcPr>
            <w:tcW w:w="4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484</w:t>
            </w:r>
          </w:p>
        </w:tc>
        <w:tc>
          <w:tcPr>
            <w:tcW w:w="4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92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1,549</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0"/>
        </w:trPr>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3,211</w:t>
            </w:r>
          </w:p>
        </w:tc>
        <w:tc>
          <w:tcPr>
            <w:tcW w:w="100" w:type="dxa"/>
            <w:vAlign w:val="bottom"/>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1,846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5,675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3,916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ectPr>
          <w:pgSz w:w="11900" w:h="16838" w:orient="portrait"/>
          <w:cols w:equalWidth="0" w:num="2">
            <w:col w:w="3960" w:space="0"/>
            <w:col w:w="5059"/>
          </w:cols>
          <w:pgMar w:left="1440" w:top="477"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57" w:lineRule="exact"/>
        <w:rPr>
          <w:sz w:val="20"/>
          <w:szCs w:val="20"/>
          <w:color w:val="auto"/>
        </w:rPr>
      </w:pPr>
    </w:p>
    <w:p>
      <w:pPr>
        <w:ind w:left="660" w:right="619" w:firstLine="256"/>
        <w:spacing w:after="0" w:line="265" w:lineRule="auto"/>
        <w:rPr>
          <w:sz w:val="20"/>
          <w:szCs w:val="20"/>
          <w:color w:val="auto"/>
        </w:rPr>
      </w:pPr>
      <w:r>
        <w:rPr>
          <w:rFonts w:ascii="Arial" w:cs="Arial" w:eastAsia="Arial" w:hAnsi="Arial"/>
          <w:sz w:val="14"/>
          <w:szCs w:val="14"/>
          <w:color w:val="auto"/>
        </w:rPr>
        <w:t>Non-interest income for the three months ended June 30, 2024 increased $1.4 million or 73.9% to $3.2 million, compared to the same period in 2023. This increase was primarily driven by growth in wire fees, gain on sale of a loans, SWAP loan fees, and treasury management fees.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Non-interest income for the six months ended June 30, 2024 increased $1.8 million or 44.9%, compared to the same period in 2023. This increase was primarily driven by growth in wire fees, gain on sale of loans, SWAP loan fees, and treasury management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type w:val="continuous"/>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5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12,259</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2,618</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744</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1,723</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1,908</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3,741</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3,348</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10,452</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22,734</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Non-interest expense for the three months ended June 30, 2024 increased $1.1 million or 10.6%, compared to the same period in 2023. The increase was primarily driven by an increase of $1.5 million in salaries and employee benefits due to sales incentives, management bonus accrual based on the Company’s performance, merit increases, and stock-based compensation expense.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Non-interest expense for the six months ended June 30, 2024 increased $2.1 million or 10.2%, compared to the same period in 2023. The increase was primarily driven by an increase of $1.4 million in salaries and employee benefits due to sales incentives, management bonus accrual based on the Company’s performance, merit increases, and stock-based compensation expense. Regulatory assessment and fees increased by $233 thousand due to FDIC deposit insurance. Other operating expenses increased due to increase of $153 thousand in audit and tax services.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2024 compared to the three months ended June 30, 2023</w:t>
      </w:r>
    </w:p>
    <w:p>
      <w:pPr>
        <w:spacing w:after="0" w:line="157" w:lineRule="exact"/>
        <w:rPr>
          <w:sz w:val="20"/>
          <w:szCs w:val="20"/>
          <w:color w:val="auto"/>
        </w:rPr>
      </w:pPr>
    </w:p>
    <w:p>
      <w:pPr>
        <w:ind w:left="660" w:right="719" w:firstLine="299"/>
        <w:spacing w:after="0" w:line="292" w:lineRule="auto"/>
        <w:rPr>
          <w:sz w:val="20"/>
          <w:szCs w:val="20"/>
          <w:color w:val="auto"/>
        </w:rPr>
      </w:pPr>
      <w:r>
        <w:rPr>
          <w:rFonts w:ascii="Arial" w:cs="Arial" w:eastAsia="Arial" w:hAnsi="Arial"/>
          <w:sz w:val="14"/>
          <w:szCs w:val="14"/>
          <w:color w:val="auto"/>
        </w:rPr>
        <w:t>Income tax expense for the quarter ended June 30, 2024 was $2.0 million as compared to $1.3 million for the same period in 2023. The effective tax rate for the three months ended June 30, 2024 and 2023 was 24.1%.</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2024 compared to the six months ended June 30, 2023</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Income tax expense for the six months ended June 30, 2024 was $3.4 million as compared to $3.2 million for the same period in 2023. The effective tax rate for the six months ended June 30, 2024 was 23.9% compared to 24.3% for the same period in 2023.</w:t>
      </w:r>
    </w:p>
    <w:p>
      <w:pPr>
        <w:spacing w:after="0" w:line="12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5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Total assets at June 30, 2024 were $2.46 billion, an increase of $119.2 million, or 10.2% annualized, over total assets of $2.34 billion at December 31, 2023. Total loans, net of deferred fees/cost, increased $88.4 million, or 10.0% annualized, to $1.87 billion at June 30, 2024 compared to $1.78 billion at December 31, 2023. Total deposits increased by $119.6 million, or 12.4% annualized, to $2.06 billion at June 30, 2024 compared to $1.94 billion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the asset composition and diversification, and maintain adequate risk-based capital ratios.</w:t>
      </w:r>
    </w:p>
    <w:p>
      <w:pPr>
        <w:spacing w:after="0" w:line="137"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Board approved Asset and Liability Management (“ALM”) policy, which includes investment guidelines.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Asset-Liability Committee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prior to maturity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When evaluating AFS debt securities under ASC Topic 326, the Company evaluates whether the decline in fair value is attributable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unrealized loss position over its holding period as it approaches to maturity and the Company has the intent and ability to hold these securities to maturity. As a result of this evaluation, the Company concluded that no allowance was required on AFS securities as of June 30, 2024.</w:t>
      </w:r>
    </w:p>
    <w:p>
      <w:pPr>
        <w:spacing w:after="0" w:line="13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At quarter end, HTM securities included $160.3 million of U.S. Government and U.S. Agency issued bonds and mortgage-backed securities. Because of the explicit and/or implicit guarantee on these bonds, the Company holds no reserves on these holdings. The remaining portion of the HTM portfolio is made up of $9.3 million in investment grade corporate bonds. The required reserve for these holdings is determined each quarter using the model described above. For the portion of the HTM exposed to non-government credit risk, the Company utilized the PD/LGD methodology to estimate a $9 thousand Allowance for credit losses (“ACL”) as of June 30, 2024. The book value for debt securities classified as HTM represents amortized cost less ACL.</w:t>
      </w:r>
    </w:p>
    <w:p>
      <w:pPr>
        <w:spacing w:after="0" w:line="13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AFS and HTM investment securities increased $1.7 million, or 0.9% annualized, to $406.1 million at June 30, 2024 from $404.3 million at December 31, 2023. Investment securities increased due to reinvestment of payments received and investment of excess in cash balances into high credit quality investments to increase the Company’s profitability and modify the Company’s balance sheet duration according to the ALM policy. As of June 30, 2024, investment securities with a market value of $262.6 million were pledged to secure public deposits and the BTFP.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3"/>
                <w:szCs w:val="13"/>
                <w:b w:val="1"/>
                <w:bCs w:val="1"/>
                <w:color w:val="auto"/>
              </w:rPr>
              <w:t>June 30, 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106,663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82,992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49,778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57,936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50,926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24,230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22,482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287,780</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236,444</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279,427</w:t>
            </w:r>
          </w:p>
        </w:tc>
        <w:tc>
          <w:tcPr>
            <w:tcW w:w="8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43,106</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37,586</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59,933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51,789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62,735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37,523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15,370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13,989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9,310</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9,398</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169,615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149,573</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174,982</w:t>
            </w:r>
          </w:p>
        </w:tc>
        <w:tc>
          <w:tcPr>
            <w:tcW w:w="2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80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(9)</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(8)</w:t>
            </w:r>
          </w:p>
        </w:tc>
        <w:tc>
          <w:tcPr>
            <w:tcW w:w="6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169,606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174,974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June 30, 2024 (in thousands, except yields):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gridSpan w:val="13"/>
          </w:tcPr>
          <w:p>
            <w:pPr>
              <w:jc w:val="right"/>
              <w:ind w:right="87"/>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right"/>
              <w:ind w:right="326"/>
              <w:spacing w:after="0"/>
              <w:rPr>
                <w:sz w:val="20"/>
                <w:szCs w:val="20"/>
                <w:color w:val="auto"/>
              </w:rPr>
            </w:pPr>
            <w:r>
              <w:rPr>
                <w:rFonts w:ascii="Arial" w:cs="Arial" w:eastAsia="Arial" w:hAnsi="Arial"/>
                <w:sz w:val="11"/>
                <w:szCs w:val="11"/>
                <w:b w:val="1"/>
                <w:bCs w:val="1"/>
                <w:color w:val="auto"/>
              </w:rPr>
              <w:t>Within 1 year</w:t>
            </w:r>
          </w:p>
        </w:tc>
        <w:tc>
          <w:tcPr>
            <w:tcW w:w="640" w:type="dxa"/>
            <w:vAlign w:val="bottom"/>
            <w:gridSpan w:val="3"/>
          </w:tcPr>
          <w:p>
            <w:pPr>
              <w:ind w:left="240"/>
              <w:spacing w:after="0"/>
              <w:rPr>
                <w:sz w:val="20"/>
                <w:szCs w:val="20"/>
                <w:color w:val="auto"/>
              </w:rPr>
            </w:pPr>
            <w:r>
              <w:rPr>
                <w:rFonts w:ascii="Arial" w:cs="Arial" w:eastAsia="Arial" w:hAnsi="Arial"/>
                <w:sz w:val="11"/>
                <w:szCs w:val="11"/>
                <w:b w:val="1"/>
                <w:bCs w:val="1"/>
                <w:color w:val="auto"/>
              </w:rPr>
              <w:t>5 years</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5"/>
          </w:tcPr>
          <w:p>
            <w:pPr>
              <w:jc w:val="right"/>
              <w:ind w:right="447"/>
              <w:spacing w:after="0"/>
              <w:rPr>
                <w:sz w:val="20"/>
                <w:szCs w:val="20"/>
                <w:color w:val="auto"/>
              </w:rPr>
            </w:pPr>
            <w:r>
              <w:rPr>
                <w:rFonts w:ascii="Arial" w:cs="Arial" w:eastAsia="Arial" w:hAnsi="Arial"/>
                <w:sz w:val="11"/>
                <w:szCs w:val="11"/>
                <w:b w:val="1"/>
                <w:bCs w:val="1"/>
                <w:color w:val="auto"/>
              </w:rPr>
              <w:t>10 years</w:t>
            </w: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After 10 years</w:t>
            </w:r>
          </w:p>
        </w:tc>
        <w:tc>
          <w:tcPr>
            <w:tcW w:w="600" w:type="dxa"/>
            <w:vAlign w:val="bottom"/>
            <w:gridSpan w:val="3"/>
          </w:tcPr>
          <w:p>
            <w:pPr>
              <w:ind w:left="30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rPr>
              <w:t>Amortized</w:t>
            </w:r>
          </w:p>
        </w:tc>
        <w:tc>
          <w:tcPr>
            <w:tcW w:w="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4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Yield</w:t>
            </w: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20" w:type="dxa"/>
            <w:vAlign w:val="bottom"/>
            <w:gridSpan w:val="3"/>
          </w:tcPr>
          <w:p>
            <w:pPr>
              <w:jc w:val="right"/>
              <w:ind w:right="187"/>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40" w:type="dxa"/>
            <w:vAlign w:val="bottom"/>
            <w:gridSpan w:val="3"/>
          </w:tcPr>
          <w:p>
            <w:pPr>
              <w:jc w:val="right"/>
              <w:ind w:right="207"/>
              <w:spacing w:after="0"/>
              <w:rPr>
                <w:sz w:val="20"/>
                <w:szCs w:val="20"/>
                <w:color w:val="auto"/>
              </w:rPr>
            </w:pPr>
            <w:r>
              <w:rPr>
                <w:rFonts w:ascii="Arial" w:cs="Arial" w:eastAsia="Arial" w:hAnsi="Arial"/>
                <w:sz w:val="11"/>
                <w:szCs w:val="11"/>
                <w:b w:val="1"/>
                <w:bCs w:val="1"/>
                <w:color w:val="auto"/>
              </w:rPr>
              <w:t>Yield</w:t>
            </w:r>
          </w:p>
        </w:tc>
        <w:tc>
          <w:tcPr>
            <w:tcW w:w="6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7"/>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0.00% $</w:t>
            </w:r>
          </w:p>
        </w:tc>
        <w:tc>
          <w:tcPr>
            <w:tcW w:w="620" w:type="dxa"/>
            <w:vAlign w:val="bottom"/>
          </w:tcPr>
          <w:p>
            <w:pPr>
              <w:jc w:val="right"/>
              <w:spacing w:after="0"/>
              <w:rPr>
                <w:sz w:val="20"/>
                <w:szCs w:val="20"/>
                <w:color w:val="auto"/>
              </w:rPr>
            </w:pPr>
            <w:r>
              <w:rPr>
                <w:rFonts w:ascii="Arial" w:cs="Arial" w:eastAsia="Arial" w:hAnsi="Arial"/>
                <w:sz w:val="11"/>
                <w:szCs w:val="11"/>
                <w:color w:val="auto"/>
              </w:rPr>
              <w:t>2,371</w:t>
            </w:r>
          </w:p>
        </w:tc>
        <w:tc>
          <w:tcPr>
            <w:tcW w:w="640" w:type="dxa"/>
            <w:vAlign w:val="bottom"/>
            <w:gridSpan w:val="4"/>
          </w:tcPr>
          <w:p>
            <w:pPr>
              <w:jc w:val="right"/>
              <w:ind w:right="7"/>
              <w:spacing w:after="0"/>
              <w:rPr>
                <w:sz w:val="20"/>
                <w:szCs w:val="20"/>
                <w:color w:val="auto"/>
              </w:rPr>
            </w:pPr>
            <w:r>
              <w:rPr>
                <w:rFonts w:ascii="Arial" w:cs="Arial" w:eastAsia="Arial" w:hAnsi="Arial"/>
                <w:sz w:val="11"/>
                <w:szCs w:val="11"/>
                <w:color w:val="auto"/>
              </w:rPr>
              <w:t>3.15% $</w:t>
            </w:r>
          </w:p>
        </w:tc>
        <w:tc>
          <w:tcPr>
            <w:tcW w:w="520" w:type="dxa"/>
            <w:vAlign w:val="bottom"/>
          </w:tcPr>
          <w:p>
            <w:pPr>
              <w:jc w:val="right"/>
              <w:spacing w:after="0"/>
              <w:rPr>
                <w:sz w:val="20"/>
                <w:szCs w:val="20"/>
                <w:color w:val="auto"/>
              </w:rPr>
            </w:pPr>
            <w:r>
              <w:rPr>
                <w:rFonts w:ascii="Arial" w:cs="Arial" w:eastAsia="Arial" w:hAnsi="Arial"/>
                <w:sz w:val="11"/>
                <w:szCs w:val="11"/>
                <w:color w:val="auto"/>
              </w:rPr>
              <w:t>10,049</w:t>
            </w:r>
          </w:p>
        </w:tc>
        <w:tc>
          <w:tcPr>
            <w:tcW w:w="660" w:type="dxa"/>
            <w:vAlign w:val="bottom"/>
            <w:gridSpan w:val="4"/>
          </w:tcPr>
          <w:p>
            <w:pPr>
              <w:jc w:val="right"/>
              <w:ind w:right="27"/>
              <w:spacing w:after="0"/>
              <w:rPr>
                <w:sz w:val="20"/>
                <w:szCs w:val="20"/>
                <w:color w:val="auto"/>
              </w:rPr>
            </w:pPr>
            <w:r>
              <w:rPr>
                <w:rFonts w:ascii="Arial" w:cs="Arial" w:eastAsia="Arial" w:hAnsi="Arial"/>
                <w:sz w:val="11"/>
                <w:szCs w:val="11"/>
                <w:color w:val="auto"/>
              </w:rPr>
              <w:t>6.82% $</w:t>
            </w:r>
          </w:p>
        </w:tc>
        <w:tc>
          <w:tcPr>
            <w:tcW w:w="500" w:type="dxa"/>
            <w:vAlign w:val="bottom"/>
          </w:tcPr>
          <w:p>
            <w:pPr>
              <w:jc w:val="right"/>
              <w:spacing w:after="0"/>
              <w:rPr>
                <w:sz w:val="20"/>
                <w:szCs w:val="20"/>
                <w:color w:val="auto"/>
              </w:rPr>
            </w:pPr>
            <w:r>
              <w:rPr>
                <w:rFonts w:ascii="Arial" w:cs="Arial" w:eastAsia="Arial" w:hAnsi="Arial"/>
                <w:sz w:val="11"/>
                <w:szCs w:val="11"/>
                <w:color w:val="auto"/>
              </w:rPr>
              <w:t>12,420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106,663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1.64%</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61,566</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61,566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12,134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12,831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24,965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24,230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41,837</w:t>
            </w:r>
          </w:p>
        </w:tc>
        <w:tc>
          <w:tcPr>
            <w:tcW w:w="520" w:type="dxa"/>
            <w:vAlign w:val="bottom"/>
            <w:gridSpan w:val="3"/>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244,943</w:t>
            </w:r>
          </w:p>
        </w:tc>
        <w:tc>
          <w:tcPr>
            <w:tcW w:w="5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287,780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1.02% $</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20,154</w:t>
            </w:r>
          </w:p>
        </w:tc>
        <w:tc>
          <w:tcPr>
            <w:tcW w:w="640" w:type="dxa"/>
            <w:vAlign w:val="bottom"/>
            <w:gridSpan w:val="4"/>
            <w:shd w:val="clear" w:color="auto" w:fill="CCEEFF"/>
          </w:tcPr>
          <w:p>
            <w:pPr>
              <w:jc w:val="right"/>
              <w:ind w:right="7"/>
              <w:spacing w:after="0"/>
              <w:rPr>
                <w:sz w:val="20"/>
                <w:szCs w:val="20"/>
                <w:color w:val="auto"/>
              </w:rPr>
            </w:pPr>
            <w:r>
              <w:rPr>
                <w:rFonts w:ascii="Arial" w:cs="Arial" w:eastAsia="Arial" w:hAnsi="Arial"/>
                <w:sz w:val="11"/>
                <w:szCs w:val="11"/>
                <w:color w:val="auto"/>
              </w:rPr>
              <w:t>1.46% $</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15,013</w:t>
            </w:r>
          </w:p>
        </w:tc>
        <w:tc>
          <w:tcPr>
            <w:tcW w:w="660" w:type="dxa"/>
            <w:vAlign w:val="bottom"/>
            <w:gridSpan w:val="4"/>
            <w:shd w:val="clear" w:color="auto" w:fill="CCEEFF"/>
          </w:tcPr>
          <w:p>
            <w:pPr>
              <w:jc w:val="right"/>
              <w:ind w:right="27"/>
              <w:spacing w:after="0"/>
              <w:rPr>
                <w:sz w:val="20"/>
                <w:szCs w:val="20"/>
                <w:color w:val="auto"/>
              </w:rPr>
            </w:pPr>
            <w:r>
              <w:rPr>
                <w:rFonts w:ascii="Arial" w:cs="Arial" w:eastAsia="Arial" w:hAnsi="Arial"/>
                <w:sz w:val="11"/>
                <w:szCs w:val="11"/>
                <w:color w:val="auto"/>
              </w:rPr>
              <w:t>1.85%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59,933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59,933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3,065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12,305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2.60%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15,370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63"/>
        </w:trPr>
        <w:tc>
          <w:tcPr>
            <w:tcW w:w="18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24,695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26,053</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118,867</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169,615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greater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656"/>
              <w:spacing w:after="0"/>
              <w:rPr>
                <w:sz w:val="20"/>
                <w:szCs w:val="20"/>
                <w:color w:val="auto"/>
              </w:rPr>
            </w:pPr>
            <w:r>
              <w:rPr>
                <w:rFonts w:ascii="Arial" w:cs="Arial" w:eastAsia="Arial" w:hAnsi="Arial"/>
                <w:sz w:val="13"/>
                <w:szCs w:val="13"/>
                <w:b w:val="1"/>
                <w:bCs w:val="1"/>
                <w:color w:val="auto"/>
              </w:rPr>
              <w:t>June 30, 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496"/>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3"/>
                <w:szCs w:val="13"/>
                <w:color w:val="auto"/>
              </w:rPr>
            </w:pPr>
          </w:p>
        </w:tc>
      </w:tr>
      <w:tr>
        <w:trPr>
          <w:trHeight w:val="183"/>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256,807</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1,053,030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56.4 %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58.8 %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112,510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6.5 %</w:t>
            </w: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1,865,516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r>
      <w:tr>
        <w:trPr>
          <w:trHeight w:val="111"/>
        </w:trPr>
        <w:tc>
          <w:tcPr>
            <w:tcW w:w="334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Plus: Deferred fees/costs</w:t>
            </w: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6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3,733</w:t>
            </w:r>
          </w:p>
        </w:tc>
        <w:tc>
          <w:tcPr>
            <w:tcW w:w="4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8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2,183</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fees/costs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1,869,249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1,780,827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22,230</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1,847,019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1,759,743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Total loans, net of deferred fees/costs, increased by $88.4 million, or 10.0% annualized to $1.87 billion, at June 30, 2024 compared to December 31, 2023. The residential real estate loan segment had the most significant growth.</w:t>
      </w:r>
    </w:p>
    <w:p>
      <w:pPr>
        <w:spacing w:after="0" w:line="9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56.4% of the total gross loan portfolio as of June 30, 2024. Our loan growth strategy since inception has been reflective of the market in which we operate and of our strategic plan as approved by the Board.</w:t>
      </w:r>
    </w:p>
    <w:p>
      <w:pPr>
        <w:spacing w:after="0" w:line="12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4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June 30,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141"/>
        </w:trPr>
        <w:tc>
          <w:tcPr>
            <w:tcW w:w="202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5,882</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47,825</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69,779</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133,321</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256,807</w:t>
            </w:r>
          </w:p>
        </w:tc>
        <w:tc>
          <w:tcPr>
            <w:tcW w:w="20" w:type="dxa"/>
            <w:vAlign w:val="bottom"/>
            <w:shd w:val="clear" w:color="auto" w:fill="CCEEFF"/>
          </w:tcPr>
          <w:p>
            <w:pPr>
              <w:spacing w:after="0"/>
              <w:rPr>
                <w:sz w:val="12"/>
                <w:szCs w:val="12"/>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106,558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215,026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725,714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1,053,030</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44,939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112,510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112,510</w:t>
            </w:r>
          </w:p>
        </w:tc>
        <w:tc>
          <w:tcPr>
            <w:tcW w:w="20" w:type="dxa"/>
            <w:vAlign w:val="bottom"/>
          </w:tcPr>
          <w:p>
            <w:pPr>
              <w:spacing w:after="0"/>
              <w:rPr>
                <w:sz w:val="14"/>
                <w:szCs w:val="14"/>
                <w:color w:val="auto"/>
              </w:rPr>
            </w:pPr>
          </w:p>
        </w:tc>
      </w:tr>
      <w:tr>
        <w:trPr>
          <w:trHeight w:val="160"/>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178,164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237,449</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333,320</w:t>
            </w:r>
          </w:p>
        </w:tc>
        <w:tc>
          <w:tcPr>
            <w:tcW w:w="180" w:type="dxa"/>
            <w:vAlign w:val="bottom"/>
            <w:gridSpan w:val="4"/>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932,591</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362,156</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1,865,516</w:t>
            </w:r>
          </w:p>
        </w:tc>
        <w:tc>
          <w:tcPr>
            <w:tcW w:w="20" w:type="dxa"/>
            <w:vAlign w:val="bottom"/>
          </w:tcPr>
          <w:p>
            <w:pPr>
              <w:spacing w:after="0"/>
              <w:rPr>
                <w:sz w:val="18"/>
                <w:szCs w:val="18"/>
                <w:color w:val="auto"/>
              </w:rPr>
            </w:pPr>
          </w:p>
        </w:tc>
      </w:tr>
      <w:tr>
        <w:trPr>
          <w:trHeight w:val="121"/>
        </w:trPr>
        <w:tc>
          <w:tcPr>
            <w:tcW w:w="2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198,101</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179,866</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185,436</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265,058</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828,461</w:t>
            </w:r>
          </w:p>
        </w:tc>
        <w:tc>
          <w:tcPr>
            <w:tcW w:w="20" w:type="dxa"/>
            <w:vAlign w:val="bottom"/>
            <w:shd w:val="clear" w:color="auto" w:fill="CCEEFF"/>
          </w:tcPr>
          <w:p>
            <w:pPr>
              <w:spacing w:after="0"/>
              <w:rPr>
                <w:sz w:val="14"/>
                <w:szCs w:val="14"/>
                <w:color w:val="auto"/>
              </w:rPr>
            </w:pPr>
          </w:p>
        </w:tc>
      </w:tr>
      <w:tr>
        <w:trPr>
          <w:trHeight w:val="180"/>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153,454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747,155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97,098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1,037,055</w:t>
            </w:r>
          </w:p>
        </w:tc>
        <w:tc>
          <w:tcPr>
            <w:tcW w:w="20" w:type="dxa"/>
            <w:vAlign w:val="bottom"/>
          </w:tcPr>
          <w:p>
            <w:pPr>
              <w:spacing w:after="0"/>
              <w:rPr>
                <w:sz w:val="15"/>
                <w:szCs w:val="15"/>
                <w:color w:val="auto"/>
              </w:rPr>
            </w:pPr>
          </w:p>
        </w:tc>
      </w:tr>
      <w:tr>
        <w:trPr>
          <w:trHeight w:val="152"/>
        </w:trPr>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237,449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333,320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932,591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362,156</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1,865,516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term/rate modifications are discussed as well.</w:t>
      </w:r>
    </w:p>
    <w:p>
      <w:pPr>
        <w:spacing w:after="0" w:line="126"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June 30, 2024, approximately 56% of the loans have adjustable/variable rates and 44% of the loans have fixed rates. The adjustable/variable rate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below the floor and positions us to gain in the scenario of higher interest rates.</w:t>
      </w:r>
    </w:p>
    <w:p>
      <w:pPr>
        <w:spacing w:after="0" w:line="3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9"/>
              </w:rPr>
              <w:t>June 30, 2024</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256,807</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1,046,877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1,053,030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246,774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112,510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112,510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194,644</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1,857,025</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8,491</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1,865,516</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1,040,032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1,769,163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9,481</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3"/>
                <w:szCs w:val="13"/>
                <w:b w:val="1"/>
                <w:bCs w:val="1"/>
                <w:color w:val="auto"/>
                <w:w w:val="96"/>
              </w:rPr>
              <w:t>June 30, 2024</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Non-accrual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758</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Loans past due over 90 days and still accruing</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51"/>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non-performing loans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758</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758</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Asset quality ratios: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1.19%</w:t>
      </w:r>
      <w:r>
        <w:rPr>
          <w:sz w:val="1"/>
          <w:szCs w:val="1"/>
          <w:color w:val="auto"/>
        </w:rPr>
        <w:drawing>
          <wp:inline distT="0" distB="0" distL="0" distR="0">
            <wp:extent cx="33655" cy="101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101600"/>
                    </a:xfrm>
                    <a:prstGeom prst="rect">
                      <a:avLst/>
                    </a:prstGeom>
                    <a:noFill/>
                    <a:ln>
                      <a:noFill/>
                    </a:ln>
                  </pic:spPr>
                </pic:pic>
              </a:graphicData>
            </a:graphic>
          </wp:inline>
        </w:drawing>
      </w:r>
      <w:r>
        <w:rPr>
          <w:rFonts w:ascii="Arial" w:cs="Arial" w:eastAsia="Arial" w:hAnsi="Arial"/>
          <w:sz w:val="13"/>
          <w:szCs w:val="13"/>
          <w:color w:val="auto"/>
        </w:rPr>
        <w:t xml:space="preserve">              1.18%</w:t>
      </w:r>
    </w:p>
    <w:p>
      <w:pPr>
        <w:spacing w:after="0" w:line="3"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2,933%</w:t>
      </w:r>
      <w:r>
        <w:rPr>
          <w:sz w:val="20"/>
          <w:szCs w:val="20"/>
          <w:color w:val="auto"/>
        </w:rPr>
        <w:tab/>
      </w:r>
      <w:r>
        <w:rPr>
          <w:rFonts w:ascii="Arial" w:cs="Arial" w:eastAsia="Arial" w:hAnsi="Arial"/>
          <w:sz w:val="12"/>
          <w:szCs w:val="12"/>
          <w:color w:val="auto"/>
        </w:rPr>
        <w:t>4,505%</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0.04%</w:t>
      </w:r>
      <w:r>
        <w:rPr>
          <w:sz w:val="1"/>
          <w:szCs w:val="1"/>
          <w:color w:val="auto"/>
        </w:rPr>
        <w:drawing>
          <wp:inline distT="0" distB="0" distL="0" distR="0">
            <wp:extent cx="33655" cy="101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101600"/>
                    </a:xfrm>
                    <a:prstGeom prst="rect">
                      <a:avLst/>
                    </a:prstGeom>
                    <a:noFill/>
                    <a:ln>
                      <a:noFill/>
                    </a:ln>
                  </pic:spPr>
                </pic:pic>
              </a:graphicData>
            </a:graphic>
          </wp:inline>
        </w:drawing>
      </w:r>
      <w:r>
        <w:rPr>
          <w:rFonts w:ascii="Arial" w:cs="Arial" w:eastAsia="Arial" w:hAnsi="Arial"/>
          <w:sz w:val="13"/>
          <w:szCs w:val="13"/>
          <w:color w:val="auto"/>
        </w:rPr>
        <w:t xml:space="preserve">              0.03%</w:t>
      </w:r>
    </w:p>
    <w:p>
      <w:pPr>
        <w:spacing w:after="0" w:line="149" w:lineRule="exact"/>
        <w:rPr>
          <w:sz w:val="20"/>
          <w:szCs w:val="20"/>
          <w:color w:val="auto"/>
        </w:rPr>
      </w:pPr>
    </w:p>
    <w:p>
      <w:pPr>
        <w:sectPr>
          <w:pgSz w:w="11900" w:h="16838" w:orient="portrait"/>
          <w:cols w:equalWidth="0" w:num="2">
            <w:col w:w="5740" w:space="720"/>
            <w:col w:w="2559"/>
          </w:cols>
          <w:pgMar w:left="1440" w:top="477" w:right="1440" w:bottom="1440" w:gutter="0" w:footer="0" w:header="0"/>
          <w:type w:val="continuous"/>
        </w:sectPr>
      </w:pPr>
    </w:p>
    <w:p>
      <w:pPr>
        <w:jc w:val="both"/>
        <w:ind w:left="660" w:right="679" w:firstLine="256"/>
        <w:spacing w:after="0" w:line="251" w:lineRule="auto"/>
        <w:rPr>
          <w:sz w:val="20"/>
          <w:szCs w:val="20"/>
          <w:color w:val="auto"/>
        </w:rPr>
      </w:pPr>
      <w:r>
        <w:rPr>
          <w:rFonts w:ascii="Arial" w:cs="Arial" w:eastAsia="Arial" w:hAnsi="Arial"/>
          <w:sz w:val="14"/>
          <w:szCs w:val="14"/>
          <w:color w:val="auto"/>
        </w:rPr>
        <w:t>Non-performing assets include all loans categorized as non-accrual,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2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borrower’s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26"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For further discussion of non-performing loans and borrowers experiencing financial difficulties, see Note 3 “Loans” to the unaudited Consolidated Financial Statements in Item 1 of Part 1 this Form 10-Q.</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ACL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type w:val="continuous"/>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5"/>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Banks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June 30, 2024</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2,930</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10,302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4,272</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3,156</w:t>
            </w:r>
          </w:p>
        </w:tc>
        <w:tc>
          <w:tcPr>
            <w:tcW w:w="4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21,454</w:t>
            </w:r>
          </w:p>
        </w:tc>
        <w:tc>
          <w:tcPr>
            <w:tcW w:w="20" w:type="dxa"/>
            <w:vAlign w:val="bottom"/>
          </w:tcPr>
          <w:p>
            <w:pPr>
              <w:spacing w:after="0"/>
              <w:rPr>
                <w:sz w:val="14"/>
                <w:szCs w:val="14"/>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20" w:type="dxa"/>
            <w:vAlign w:val="bottom"/>
            <w:shd w:val="clear" w:color="auto" w:fill="CCEEFF"/>
          </w:tcPr>
          <w:p>
            <w:pPr>
              <w:spacing w:after="0"/>
              <w:rPr>
                <w:sz w:val="16"/>
                <w:szCs w:val="16"/>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r>
      <w:tr>
        <w:trPr>
          <w:trHeight w:val="201"/>
        </w:trPr>
        <w:tc>
          <w:tcPr>
            <w:tcW w:w="250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3,193</w:t>
            </w:r>
          </w:p>
        </w:tc>
        <w:tc>
          <w:tcPr>
            <w:tcW w:w="60" w:type="dxa"/>
            <w:vAlign w:val="bottom"/>
            <w:gridSpan w:val="2"/>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4,747</w:t>
            </w:r>
          </w:p>
        </w:tc>
        <w:tc>
          <w:tcPr>
            <w:tcW w:w="40" w:type="dxa"/>
            <w:vAlign w:val="bottom"/>
            <w:gridSpan w:val="2"/>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3,126</w:t>
            </w:r>
          </w:p>
        </w:tc>
        <w:tc>
          <w:tcPr>
            <w:tcW w:w="4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22,230</w:t>
            </w:r>
          </w:p>
        </w:tc>
        <w:tc>
          <w:tcPr>
            <w:tcW w:w="20" w:type="dxa"/>
            <w:vAlign w:val="bottom"/>
          </w:tcPr>
          <w:p>
            <w:pPr>
              <w:spacing w:after="0"/>
              <w:rPr>
                <w:sz w:val="17"/>
                <w:szCs w:val="17"/>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231,807</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1,064,636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232,019</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102,597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197,428</w:t>
            </w:r>
          </w:p>
        </w:tc>
        <w:tc>
          <w:tcPr>
            <w:tcW w:w="4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1,828,487</w:t>
            </w:r>
          </w:p>
        </w:tc>
        <w:tc>
          <w:tcPr>
            <w:tcW w:w="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r>
      <w:tr>
        <w:trPr>
          <w:trHeight w:val="17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Six Months Ended June 30, 2024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2,695</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10,366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3,974</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3,138</w:t>
            </w:r>
          </w:p>
        </w:tc>
        <w:tc>
          <w:tcPr>
            <w:tcW w:w="4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Pr>
          <w:p>
            <w:pPr>
              <w:spacing w:after="0"/>
              <w:rPr>
                <w:sz w:val="14"/>
                <w:szCs w:val="14"/>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w:t>
            </w:r>
          </w:p>
        </w:tc>
        <w:tc>
          <w:tcPr>
            <w:tcW w:w="20" w:type="dxa"/>
            <w:vAlign w:val="bottom"/>
            <w:shd w:val="clear" w:color="auto" w:fill="CCEEFF"/>
          </w:tcPr>
          <w:p>
            <w:pPr>
              <w:spacing w:after="0"/>
              <w:rPr>
                <w:sz w:val="16"/>
                <w:szCs w:val="16"/>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r>
      <w:tr>
        <w:trPr>
          <w:trHeight w:val="201"/>
        </w:trPr>
        <w:tc>
          <w:tcPr>
            <w:tcW w:w="250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3,193</w:t>
            </w:r>
          </w:p>
        </w:tc>
        <w:tc>
          <w:tcPr>
            <w:tcW w:w="60" w:type="dxa"/>
            <w:vAlign w:val="bottom"/>
            <w:gridSpan w:val="2"/>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4,747</w:t>
            </w:r>
          </w:p>
        </w:tc>
        <w:tc>
          <w:tcPr>
            <w:tcW w:w="40" w:type="dxa"/>
            <w:vAlign w:val="bottom"/>
            <w:gridSpan w:val="2"/>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3,126</w:t>
            </w:r>
          </w:p>
        </w:tc>
        <w:tc>
          <w:tcPr>
            <w:tcW w:w="4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22,230</w:t>
            </w:r>
          </w:p>
        </w:tc>
        <w:tc>
          <w:tcPr>
            <w:tcW w:w="20" w:type="dxa"/>
            <w:vAlign w:val="bottom"/>
          </w:tcPr>
          <w:p>
            <w:pPr>
              <w:spacing w:after="0"/>
              <w:rPr>
                <w:sz w:val="17"/>
                <w:szCs w:val="17"/>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228,830</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1,050,965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229,040</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101,280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194,893</w:t>
            </w:r>
          </w:p>
        </w:tc>
        <w:tc>
          <w:tcPr>
            <w:tcW w:w="4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1,805,008</w:t>
            </w:r>
          </w:p>
        </w:tc>
        <w:tc>
          <w:tcPr>
            <w:tcW w:w="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r>
    </w:tbl>
    <w:p>
      <w:pPr>
        <w:spacing w:after="0" w:line="310" w:lineRule="exact"/>
        <w:rPr>
          <w:sz w:val="20"/>
          <w:szCs w:val="20"/>
          <w:color w:val="auto"/>
        </w:rPr>
      </w:pPr>
    </w:p>
    <w:p>
      <w:pPr>
        <w:ind w:left="660" w:right="939" w:firstLine="3"/>
        <w:spacing w:after="0" w:line="256" w:lineRule="auto"/>
        <w:tabs>
          <w:tab w:leader="none" w:pos="8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Provision for credit losses excludes a $15 thousand expense due to unfunded commitments included in other liabilities and a $3 thousand release related to investment securities held to maturity.</w:t>
      </w:r>
    </w:p>
    <w:p>
      <w:pPr>
        <w:spacing w:after="0" w:line="1" w:lineRule="exact"/>
        <w:rPr>
          <w:rFonts w:ascii="Arial" w:cs="Arial" w:eastAsia="Arial" w:hAnsi="Arial"/>
          <w:sz w:val="13"/>
          <w:szCs w:val="13"/>
          <w:color w:val="auto"/>
        </w:rPr>
      </w:pPr>
    </w:p>
    <w:p>
      <w:pPr>
        <w:ind w:left="660" w:right="1159" w:firstLine="3"/>
        <w:spacing w:after="0" w:line="269" w:lineRule="auto"/>
        <w:tabs>
          <w:tab w:leader="none" w:pos="8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Provision for credit losses excludes $58 thousand expense due to unfunded commitments included in other liabilities and $1 thousand expense due to investment securities held to maturity.</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Banks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June 30, 2023</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2,819</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10,453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2,367</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772</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2,476</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2,500</w:t>
            </w:r>
          </w:p>
        </w:tc>
        <w:tc>
          <w:tcPr>
            <w:tcW w:w="40" w:type="dxa"/>
            <w:vAlign w:val="bottom"/>
            <w:gridSpan w:val="2"/>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677</w:t>
            </w:r>
          </w:p>
        </w:tc>
        <w:tc>
          <w:tcPr>
            <w:tcW w:w="2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2,782</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tbl>
      <w:tblPr>
        <w:tblLayout w:type="fixed"/>
        <w:tblInd w:w="660" w:type="dxa"/>
        <w:tblCellMar>
          <w:top w:w="0" w:type="dxa"/>
          <w:left w:w="0" w:type="dxa"/>
          <w:bottom w:w="0" w:type="dxa"/>
          <w:right w:w="0" w:type="dxa"/>
        </w:tblCellMar>
      </w:tblP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Average loans</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180" w:type="dxa"/>
            <w:vAlign w:val="bottom"/>
          </w:tcPr>
          <w:p>
            <w:pPr>
              <w:spacing w:after="0"/>
              <w:rPr>
                <w:sz w:val="20"/>
                <w:szCs w:val="20"/>
                <w:color w:val="auto"/>
              </w:rPr>
            </w:pPr>
            <w:r>
              <w:rPr>
                <w:rFonts w:ascii="Arial" w:cs="Arial" w:eastAsia="Arial" w:hAnsi="Arial"/>
                <w:sz w:val="13"/>
                <w:szCs w:val="13"/>
                <w:color w:val="auto"/>
              </w:rPr>
              <w:t>Net charge-offs to average loans</w:t>
            </w:r>
          </w:p>
        </w:tc>
        <w:tc>
          <w:tcPr>
            <w:tcW w:w="400" w:type="dxa"/>
            <w:vAlign w:val="bottom"/>
          </w:tcPr>
          <w:p>
            <w:pPr>
              <w:spacing w:after="0"/>
              <w:rPr>
                <w:sz w:val="14"/>
                <w:szCs w:val="14"/>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Six Months Ended June 30, 2023</w:t>
      </w:r>
    </w:p>
    <w:p>
      <w:pPr>
        <w:spacing w:after="0" w:line="26"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13"/>
          <w:szCs w:val="13"/>
          <w:color w:val="auto"/>
        </w:rPr>
        <w:t>Beginning balance</w:t>
      </w:r>
      <w:r>
        <w:rPr>
          <w:sz w:val="20"/>
          <w:szCs w:val="20"/>
          <w:color w:val="auto"/>
        </w:rPr>
        <w:tab/>
      </w:r>
      <w:r>
        <w:rPr>
          <w:rFonts w:ascii="Arial" w:cs="Arial" w:eastAsia="Arial" w:hAnsi="Arial"/>
          <w:sz w:val="10"/>
          <w:szCs w:val="10"/>
          <w:color w:val="auto"/>
        </w:rPr>
        <w:t>$</w:t>
      </w:r>
    </w:p>
    <w:p>
      <w:pPr>
        <w:spacing w:after="0" w:line="37" w:lineRule="exact"/>
        <w:rPr>
          <w:sz w:val="20"/>
          <w:szCs w:val="20"/>
          <w:color w:val="auto"/>
        </w:rPr>
      </w:pPr>
    </w:p>
    <w:p>
      <w:pPr>
        <w:ind w:left="660" w:right="160"/>
        <w:spacing w:after="0" w:line="250" w:lineRule="auto"/>
        <w:rPr>
          <w:sz w:val="20"/>
          <w:szCs w:val="20"/>
          <w:color w:val="auto"/>
        </w:rPr>
      </w:pPr>
      <w:r>
        <w:rPr>
          <w:rFonts w:ascii="Arial" w:cs="Arial" w:eastAsia="Arial" w:hAnsi="Arial"/>
          <w:sz w:val="13"/>
          <w:szCs w:val="13"/>
          <w:color w:val="auto"/>
        </w:rPr>
        <w:t xml:space="preserve">Cumulative effect of adoption of accounting principle </w:t>
      </w:r>
      <w:r>
        <w:rPr>
          <w:rFonts w:ascii="Arial" w:cs="Arial" w:eastAsia="Arial" w:hAnsi="Arial"/>
          <w:sz w:val="17"/>
          <w:szCs w:val="17"/>
          <w:color w:val="auto"/>
          <w:vertAlign w:val="superscript"/>
        </w:rPr>
        <w:t>(2)</w:t>
      </w:r>
    </w:p>
    <w:tbl>
      <w:tblPr>
        <w:tblLayout w:type="fixed"/>
        <w:tblInd w:w="660" w:type="dxa"/>
        <w:tblCellMar>
          <w:top w:w="0" w:type="dxa"/>
          <w:left w:w="0" w:type="dxa"/>
          <w:bottom w:w="0" w:type="dxa"/>
          <w:right w:w="0" w:type="dxa"/>
        </w:tblCellMar>
      </w:tblPr>
      <w:tr>
        <w:trPr>
          <w:trHeight w:val="174"/>
        </w:trPr>
        <w:tc>
          <w:tcPr>
            <w:tcW w:w="2520" w:type="dxa"/>
            <w:vAlign w:val="bottom"/>
          </w:tcPr>
          <w:p>
            <w:pPr>
              <w:spacing w:after="0" w:line="174"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20"/>
                <w:szCs w:val="20"/>
                <w:color w:val="auto"/>
              </w:rPr>
            </w:pPr>
            <w:r>
              <w:rPr>
                <w:rFonts w:ascii="Arial" w:cs="Arial" w:eastAsia="Arial" w:hAnsi="Arial"/>
                <w:sz w:val="13"/>
                <w:szCs w:val="13"/>
                <w:color w:val="auto"/>
              </w:rPr>
              <w:t>Recoveries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3"/>
                <w:szCs w:val="13"/>
                <w:color w:val="auto"/>
              </w:rPr>
              <w:t>Charge-offs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5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203"/>
        </w:trPr>
        <w:tc>
          <w:tcPr>
            <w:tcW w:w="2520" w:type="dxa"/>
            <w:vAlign w:val="bottom"/>
            <w:vMerge w:val="restart"/>
          </w:tcPr>
          <w:p>
            <w:pPr>
              <w:spacing w:after="0"/>
              <w:rPr>
                <w:sz w:val="20"/>
                <w:szCs w:val="20"/>
                <w:color w:val="auto"/>
              </w:rPr>
            </w:pPr>
            <w:r>
              <w:rPr>
                <w:rFonts w:ascii="Arial" w:cs="Arial" w:eastAsia="Arial" w:hAnsi="Arial"/>
                <w:sz w:val="13"/>
                <w:szCs w:val="13"/>
                <w:color w:val="auto"/>
              </w:rPr>
              <w:t>Average loans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52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20"/>
                <w:szCs w:val="20"/>
                <w:color w:val="auto"/>
              </w:rPr>
            </w:pPr>
            <w:r>
              <w:rPr>
                <w:rFonts w:ascii="Arial" w:cs="Arial" w:eastAsia="Arial" w:hAnsi="Arial"/>
                <w:sz w:val="13"/>
                <w:szCs w:val="13"/>
                <w:color w:val="auto"/>
              </w:rPr>
              <w:t>Net charge-offs to average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80" w:type="dxa"/>
            <w:vAlign w:val="bottom"/>
          </w:tcPr>
          <w:p>
            <w:pPr>
              <w:jc w:val="right"/>
              <w:spacing w:after="0"/>
              <w:rPr>
                <w:sz w:val="20"/>
                <w:szCs w:val="20"/>
                <w:color w:val="auto"/>
              </w:rPr>
            </w:pPr>
            <w:r>
              <w:rPr>
                <w:rFonts w:ascii="Arial" w:cs="Arial" w:eastAsia="Arial" w:hAnsi="Arial"/>
                <w:sz w:val="13"/>
                <w:szCs w:val="13"/>
                <w:color w:val="auto"/>
              </w:rPr>
              <w:t>180,945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983,926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155,241</w:t>
            </w: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96,399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152,755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1,569,266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0" w:type="dxa"/>
            <w:vAlign w:val="bottom"/>
            <w:tcBorders>
              <w:right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0.00%</w:t>
            </w:r>
          </w:p>
        </w:tc>
        <w:tc>
          <w:tcPr>
            <w:tcW w:w="10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right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0.10%</w:t>
            </w:r>
          </w:p>
        </w:tc>
        <w:tc>
          <w:tcPr>
            <w:tcW w:w="100" w:type="dxa"/>
            <w:vAlign w:val="bottom"/>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6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4,163</w:t>
            </w:r>
          </w:p>
        </w:tc>
        <w:tc>
          <w:tcPr>
            <w:tcW w:w="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right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1"/>
        </w:trPr>
        <w:tc>
          <w:tcPr>
            <w:tcW w:w="680" w:type="dxa"/>
            <w:vAlign w:val="bottom"/>
          </w:tcPr>
          <w:p>
            <w:pPr>
              <w:jc w:val="right"/>
              <w:spacing w:after="0"/>
              <w:rPr>
                <w:sz w:val="20"/>
                <w:szCs w:val="20"/>
                <w:color w:val="auto"/>
              </w:rPr>
            </w:pPr>
            <w:r>
              <w:rPr>
                <w:rFonts w:ascii="Arial" w:cs="Arial" w:eastAsia="Arial" w:hAnsi="Arial"/>
                <w:sz w:val="13"/>
                <w:szCs w:val="13"/>
                <w:color w:val="auto"/>
              </w:rPr>
              <w:t>2,673</w:t>
            </w:r>
          </w:p>
        </w:tc>
        <w:tc>
          <w:tcPr>
            <w:tcW w:w="100" w:type="dxa"/>
            <w:vAlign w:val="bottom"/>
            <w:tcBorders>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2,500</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lef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2,782</w:t>
            </w:r>
          </w:p>
        </w:tc>
        <w:tc>
          <w:tcPr>
            <w:tcW w:w="100" w:type="dxa"/>
            <w:vAlign w:val="bottom"/>
            <w:tcBorders>
              <w:top w:val="single" w:sz="8" w:color="auto"/>
              <w:bottom w:val="single" w:sz="8" w:color="auto"/>
              <w:right w:val="single" w:sz="8" w:color="CCEEFF"/>
            </w:tcBorders>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18,815</w:t>
            </w: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188,630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974,149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153,883</w:t>
            </w:r>
          </w:p>
        </w:tc>
        <w:tc>
          <w:tcPr>
            <w:tcW w:w="40" w:type="dxa"/>
            <w:vAlign w:val="bottom"/>
            <w:tcBorders>
              <w:top w:val="single" w:sz="8" w:color="auto"/>
            </w:tcBorders>
          </w:tcPr>
          <w:p>
            <w:pPr>
              <w:spacing w:after="0"/>
              <w:rPr>
                <w:sz w:val="12"/>
                <w:szCs w:val="12"/>
                <w:color w:val="auto"/>
              </w:rPr>
            </w:pPr>
          </w:p>
        </w:tc>
        <w:tc>
          <w:tcPr>
            <w:tcW w:w="60" w:type="dxa"/>
            <w:vAlign w:val="bottom"/>
            <w:vMerge w:val="restart"/>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3"/>
                <w:szCs w:val="13"/>
                <w:color w:val="auto"/>
              </w:rPr>
              <w:t>92,238</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146,490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1,555,390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5"/>
                <w:szCs w:val="15"/>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2">
            <w:col w:w="3280" w:space="0"/>
            <w:col w:w="5739"/>
          </w:cols>
          <w:pgMar w:left="1440" w:top="477" w:right="1440" w:bottom="1440" w:gutter="0" w:footer="0" w:header="0"/>
          <w:type w:val="continuous"/>
        </w:sectPr>
      </w:pPr>
    </w:p>
    <w:p>
      <w:pPr>
        <w:ind w:left="660" w:right="879" w:firstLine="3"/>
        <w:spacing w:after="0" w:line="254" w:lineRule="auto"/>
        <w:tabs>
          <w:tab w:leader="none" w:pos="8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Provision for credit losses excludes a $62 thousand expense due to unfunded commitments included in other liabilities and a $19 thousand expense related to investment securities held to maturity.</w:t>
      </w:r>
    </w:p>
    <w:p>
      <w:pPr>
        <w:ind w:left="860" w:hanging="197"/>
        <w:spacing w:after="0"/>
        <w:tabs>
          <w:tab w:leader="none" w:pos="8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24" w:lineRule="exact"/>
        <w:rPr>
          <w:rFonts w:ascii="Arial" w:cs="Arial" w:eastAsia="Arial" w:hAnsi="Arial"/>
          <w:sz w:val="13"/>
          <w:szCs w:val="13"/>
          <w:color w:val="auto"/>
        </w:rPr>
      </w:pPr>
    </w:p>
    <w:p>
      <w:pPr>
        <w:ind w:left="660" w:right="1139" w:firstLine="3"/>
        <w:spacing w:after="0" w:line="269" w:lineRule="auto"/>
        <w:tabs>
          <w:tab w:leader="none" w:pos="8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Provision for credit losses excludes $22 thousand release due to unfunded commitments included in other liabilities and $19 thousand expense due to investment securities held to maturity.</w:t>
      </w:r>
    </w:p>
    <w:p>
      <w:pPr>
        <w:spacing w:after="0" w:line="21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type w:val="continuous"/>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June 30, 2024, the combined cash surrender value of all bank-owned life insurance (“BOLI”) policies was $52.6 million. Changes in cash surrender value are recorded to non-interest income in the unaudited Consolidated Statements of Operations. The Company had BOLI policies with five insurance carriers. The Company is the beneficiary of these policies.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3"/>
                <w:szCs w:val="13"/>
                <w:b w:val="1"/>
                <w:bCs w:val="1"/>
                <w:color w:val="auto"/>
              </w:rPr>
              <w:t>Three Months Ended June 30,</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Rate</w:t>
            </w:r>
          </w:p>
        </w:tc>
      </w:tr>
      <w:tr>
        <w:trPr>
          <w:trHeight w:val="149"/>
        </w:trPr>
        <w:tc>
          <w:tcPr>
            <w:tcW w:w="3200" w:type="dxa"/>
            <w:vAlign w:val="bottom"/>
          </w:tcPr>
          <w:p>
            <w:pPr>
              <w:spacing w:after="0"/>
              <w:rPr>
                <w:sz w:val="12"/>
                <w:szCs w:val="1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60" w:type="dxa"/>
            <w:vAlign w:val="bottom"/>
            <w:gridSpan w:val="2"/>
          </w:tcPr>
          <w:p>
            <w:pPr>
              <w:ind w:left="300"/>
              <w:spacing w:after="0"/>
              <w:rPr>
                <w:sz w:val="20"/>
                <w:szCs w:val="20"/>
                <w:color w:val="auto"/>
              </w:rPr>
            </w:pPr>
            <w:r>
              <w:rPr>
                <w:rFonts w:ascii="Arial" w:cs="Arial" w:eastAsia="Arial" w:hAnsi="Arial"/>
                <w:sz w:val="13"/>
                <w:szCs w:val="13"/>
                <w:b w:val="1"/>
                <w:bCs w:val="1"/>
                <w:color w:val="auto"/>
              </w:rPr>
              <w:t>Paid</w:t>
            </w:r>
          </w:p>
        </w:tc>
      </w:tr>
      <w:tr>
        <w:trPr>
          <w:trHeight w:val="16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Non-interest-bearing checking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610,370</w:t>
            </w: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601,778</w:t>
            </w: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56,369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53,561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540"/>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1,101,272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940,095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2.97%</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315,872</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4.10%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277,001</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3.11%</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2,083,883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1,872,435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7"/>
              </w:rPr>
              <w:t>1.99%</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has a granular deposit portfolio with outstanding balances comprised of 57% in commercial deposits, 32% personal deposits, 7% public funds (which are partially collateralized) and 4% brokered deposits. The brokered deposits balance at June 30, 2024 was $90.0 million and $50.0 million at June 30, 2023.</w:t>
      </w:r>
    </w:p>
    <w:p>
      <w:pPr>
        <w:spacing w:after="0" w:line="128"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has approximately 20 thousand deposit accounts with the majority in personal accounts, approximately 13 thousand or 62.4%. The estimated average account size of our deposit portfolio was approximately $101 thousand as of June 30, 2024.</w:t>
      </w:r>
    </w:p>
    <w:p>
      <w:pPr>
        <w:spacing w:after="0" w:line="134"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Company per account holder. The total estimated amount of uninsured deposits was 54% at June 30, 2024 and 53% at June 30, 2023. The Company offers Insured Cash Sweep (“ICS”) and Certificate of Deposit Account Registry Service (“CDARS”) deposit products to fully insure our clients. The deposit balance in ICS/CDARS at quarter end was $121.8 million at June 30, 2024 and $107.3 million at December 31, 2023.</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June 30,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ind w:left="320"/>
              <w:spacing w:after="0"/>
              <w:rPr>
                <w:sz w:val="20"/>
                <w:szCs w:val="20"/>
                <w:color w:val="auto"/>
              </w:rPr>
            </w:pPr>
            <w:r>
              <w:rPr>
                <w:rFonts w:ascii="Arial" w:cs="Arial" w:eastAsia="Arial" w:hAnsi="Arial"/>
                <w:sz w:val="13"/>
                <w:szCs w:val="13"/>
                <w:b w:val="1"/>
                <w:bCs w:val="1"/>
                <w:color w:val="auto"/>
              </w:rPr>
              <w:t>June 30, 2024</w:t>
            </w: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Three months or less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ind w:left="1160"/>
              <w:spacing w:after="0" w:line="141" w:lineRule="exact"/>
              <w:rPr>
                <w:sz w:val="20"/>
                <w:szCs w:val="20"/>
                <w:color w:val="auto"/>
              </w:rPr>
            </w:pPr>
            <w:r>
              <w:rPr>
                <w:rFonts w:ascii="Arial" w:cs="Arial" w:eastAsia="Arial" w:hAnsi="Arial"/>
                <w:sz w:val="13"/>
                <w:szCs w:val="13"/>
                <w:color w:val="auto"/>
              </w:rPr>
              <w:t>19,097</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1160"/>
              <w:spacing w:after="0"/>
              <w:rPr>
                <w:sz w:val="20"/>
                <w:szCs w:val="20"/>
                <w:color w:val="auto"/>
              </w:rPr>
            </w:pPr>
            <w:r>
              <w:rPr>
                <w:rFonts w:ascii="Arial" w:cs="Arial" w:eastAsia="Arial" w:hAnsi="Arial"/>
                <w:sz w:val="13"/>
                <w:szCs w:val="13"/>
                <w:color w:val="auto"/>
              </w:rPr>
              <w:t>27,505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41,110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1340"/>
              <w:spacing w:after="0"/>
              <w:rPr>
                <w:sz w:val="20"/>
                <w:szCs w:val="20"/>
                <w:color w:val="auto"/>
              </w:rPr>
            </w:pPr>
            <w:r>
              <w:rPr>
                <w:rFonts w:ascii="Arial" w:cs="Arial" w:eastAsia="Arial" w:hAnsi="Arial"/>
                <w:sz w:val="13"/>
                <w:szCs w:val="13"/>
                <w:color w:val="auto"/>
              </w:rPr>
              <w:t>890</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61"/>
        </w:trPr>
        <w:tc>
          <w:tcPr>
            <w:tcW w:w="5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88,602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0" w:lineRule="exact"/>
        <w:rPr>
          <w:sz w:val="20"/>
          <w:szCs w:val="20"/>
          <w:color w:val="auto"/>
        </w:rPr>
      </w:pPr>
    </w:p>
    <w:p>
      <w:pPr>
        <w:ind w:left="660" w:right="779" w:firstLine="256"/>
        <w:spacing w:after="0" w:line="265" w:lineRule="auto"/>
        <w:rPr>
          <w:sz w:val="20"/>
          <w:szCs w:val="20"/>
          <w:color w:val="auto"/>
        </w:rPr>
      </w:pPr>
      <w:r>
        <w:rPr>
          <w:rFonts w:ascii="Arial" w:cs="Arial" w:eastAsia="Arial" w:hAnsi="Arial"/>
          <w:sz w:val="14"/>
          <w:szCs w:val="14"/>
          <w:color w:val="auto"/>
        </w:rPr>
        <w:t>The Company collects from commercial and residential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June 30, 2024 escrow balances totaled $14.8 million compared to $2.3 million at December 31, 2023.</w:t>
      </w:r>
    </w:p>
    <w:p>
      <w:pPr>
        <w:spacing w:after="0" w:line="38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a member of the FHLB of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2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As of June 30, 2024, we had $82.0 million of fixed-rate advances outstanding from the FHLB with a weighted average rate of 3.19%. Maturity dates for the advances range between 2024 to 2028 as detailed in the table below.</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advances as of June 30,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2"/>
          </w:tcPr>
          <w:p>
            <w:pPr>
              <w:ind w:left="80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0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ind w:left="1640"/>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00" w:type="dxa"/>
            <w:vAlign w:val="bottom"/>
            <w:shd w:val="clear" w:color="auto" w:fill="CCEEFF"/>
          </w:tcPr>
          <w:p>
            <w:pPr>
              <w:ind w:left="1720"/>
              <w:spacing w:after="0"/>
              <w:rPr>
                <w:sz w:val="20"/>
                <w:szCs w:val="20"/>
                <w:color w:val="auto"/>
              </w:rPr>
            </w:pPr>
            <w:r>
              <w:rPr>
                <w:rFonts w:ascii="Arial" w:cs="Arial" w:eastAsia="Arial" w:hAnsi="Arial"/>
                <w:sz w:val="13"/>
                <w:szCs w:val="13"/>
                <w:color w:val="auto"/>
              </w:rPr>
              <w:t>6,000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January 24, 2028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ind w:left="1640"/>
              <w:spacing w:after="0"/>
              <w:rPr>
                <w:sz w:val="20"/>
                <w:szCs w:val="20"/>
                <w:color w:val="auto"/>
              </w:rPr>
            </w:pPr>
            <w:r>
              <w:rPr>
                <w:rFonts w:ascii="Arial" w:cs="Arial" w:eastAsia="Arial" w:hAnsi="Arial"/>
                <w:sz w:val="13"/>
                <w:szCs w:val="13"/>
                <w:color w:val="auto"/>
              </w:rPr>
              <w:t>11,000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3.77%</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25, 2028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2100" w:type="dxa"/>
            <w:vAlign w:val="bottom"/>
          </w:tcPr>
          <w:p>
            <w:pPr>
              <w:ind w:left="1640"/>
              <w:spacing w:after="0"/>
              <w:rPr>
                <w:sz w:val="20"/>
                <w:szCs w:val="20"/>
                <w:color w:val="auto"/>
              </w:rPr>
            </w:pPr>
            <w:r>
              <w:rPr>
                <w:rFonts w:ascii="Arial" w:cs="Arial" w:eastAsia="Arial" w:hAnsi="Arial"/>
                <w:sz w:val="13"/>
                <w:szCs w:val="13"/>
                <w:color w:val="auto"/>
              </w:rPr>
              <w:t>82,000</w:t>
            </w:r>
          </w:p>
        </w:tc>
        <w:tc>
          <w:tcPr>
            <w:tcW w:w="2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As of June 30, 2024, we had a $80.0 million fixed-rate loan outstanding from the FRB issued pursuant to the Bank Term Funding Program with an interest rate of 4.81% and a maturity date of January 10, 2025.</w:t>
      </w:r>
    </w:p>
    <w:p>
      <w:pPr>
        <w:spacing w:after="0" w:line="12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We have also established Federal Funds lines of credit with our upstream correspondent banks and the Federal Reserve Bank of Atlanta Discount Window to manage temporary fluctuations in our daily cash balances. As of June 30, 2024, there were no outstanding balances with any of these liquidity sources.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38" w:lineRule="exact"/>
        <w:rPr>
          <w:sz w:val="20"/>
          <w:szCs w:val="20"/>
          <w:color w:val="auto"/>
        </w:rPr>
      </w:pPr>
    </w:p>
    <w:p>
      <w:pPr>
        <w:jc w:val="both"/>
        <w:ind w:left="660" w:right="639" w:firstLine="256"/>
        <w:spacing w:after="0" w:line="257"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216"/>
              <w:spacing w:after="0"/>
              <w:rPr>
                <w:sz w:val="20"/>
                <w:szCs w:val="20"/>
                <w:color w:val="auto"/>
              </w:rPr>
            </w:pPr>
            <w:r>
              <w:rPr>
                <w:rFonts w:ascii="Arial" w:cs="Arial" w:eastAsia="Arial" w:hAnsi="Arial"/>
                <w:sz w:val="13"/>
                <w:szCs w:val="13"/>
                <w:b w:val="1"/>
                <w:bCs w:val="1"/>
                <w:color w:val="auto"/>
              </w:rPr>
              <w:t>June 30,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90,426</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85,117</w:t>
            </w:r>
          </w:p>
        </w:tc>
        <w:tc>
          <w:tcPr>
            <w:tcW w:w="20" w:type="dxa"/>
            <w:vAlign w:val="bottom"/>
            <w:shd w:val="clear" w:color="auto" w:fill="CCEEFF"/>
          </w:tcPr>
          <w:p>
            <w:pPr>
              <w:spacing w:after="0"/>
              <w:rPr>
                <w:sz w:val="13"/>
                <w:szCs w:val="13"/>
                <w:color w:val="auto"/>
              </w:rPr>
            </w:pP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93,992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89,104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24"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w:t>
      </w: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the underlying collateral, which can include commercial real estate, physical plant and property, inventory, receivables, cash or marketable securities.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and policies for managing and mitigating risks are appropriately executed within the designated lines of authority and responsibility in a timely manner.</w:t>
      </w:r>
    </w:p>
    <w:p>
      <w:pPr>
        <w:spacing w:after="0" w:line="128"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While some degree of Interest Rate Risk (“IRR”) is inherent to the banking business, we believe our ALCO implemented sound risk management practices to identify, quantify, monitor, and limit IRR exposures.</w:t>
      </w:r>
    </w:p>
    <w:p>
      <w:pPr>
        <w:spacing w:after="0" w:line="12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34"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According to our ALCO model, as of June 30, 2024, we had an asset sensitive balance sheet both for year one and year two modeling, using the static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customer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3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According to our model, as of June 30, 2024, our balance sheet is asset sensitive for both year one and year two under interest static rate scenarios (an increase or decrease of 400 basis points). This means than if rates increase , the NIM will increase and if rates decrease, the NIM will decrease.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in interest rates will have a negative impact on the EVE and lower rates, a positive impact. Results and analysis are presented quarterly to the ALCO, and strategies are reviewed and refined.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59" w:lineRule="exact"/>
        <w:rPr>
          <w:sz w:val="20"/>
          <w:szCs w:val="20"/>
          <w:color w:val="auto"/>
        </w:rPr>
      </w:pPr>
    </w:p>
    <w:p>
      <w:pPr>
        <w:jc w:val="both"/>
        <w:ind w:left="660" w:right="679" w:firstLine="256"/>
        <w:spacing w:after="0" w:line="294"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12"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1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00" w:lineRule="exact"/>
        <w:rPr>
          <w:sz w:val="20"/>
          <w:szCs w:val="20"/>
          <w:color w:val="auto"/>
        </w:rPr>
      </w:pPr>
    </w:p>
    <w:p>
      <w:pPr>
        <w:ind w:left="660" w:right="639" w:firstLine="256"/>
        <w:spacing w:after="0" w:line="255"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certificates of deposit, and draws from the Federal Reserve Bank of Atlanta discount window, and borrowings from the FHLB. Accordingly, we believe our liquidity resources are adequate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5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As of June 30, 2024, the Bank was well capitalized under the FDIC’s prompt corrective action framework. We also follow the capital conservation buffer framework, and as of June 30, 2024, we exceeded the capital conversation buffer in all capital ratios, according to our actual ratios. The following table presents the capital ratios for the Bank at the dates indicated (in thousands, except ratios).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center"/>
              <w:ind w:right="56"/>
              <w:spacing w:after="0"/>
              <w:rPr>
                <w:sz w:val="20"/>
                <w:szCs w:val="20"/>
                <w:color w:val="auto"/>
              </w:rPr>
            </w:pPr>
            <w:r>
              <w:rPr>
                <w:rFonts w:ascii="Arial" w:cs="Arial" w:eastAsia="Arial" w:hAnsi="Arial"/>
                <w:sz w:val="13"/>
                <w:szCs w:val="13"/>
                <w:b w:val="1"/>
                <w:bCs w:val="1"/>
                <w:color w:val="auto"/>
                <w:w w:val="97"/>
              </w:rPr>
              <w:t>To be Well Capitalized</w:t>
            </w:r>
          </w:p>
        </w:tc>
        <w:tc>
          <w:tcPr>
            <w:tcW w:w="20" w:type="dxa"/>
            <w:vAlign w:val="bottom"/>
          </w:tcPr>
          <w:p>
            <w:pPr>
              <w:spacing w:after="0"/>
              <w:rPr>
                <w:sz w:val="13"/>
                <w:szCs w:val="13"/>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276"/>
              <w:spacing w:after="0"/>
              <w:rPr>
                <w:sz w:val="20"/>
                <w:szCs w:val="20"/>
                <w:color w:val="auto"/>
              </w:rPr>
            </w:pPr>
            <w:r>
              <w:rPr>
                <w:rFonts w:ascii="Arial" w:cs="Arial" w:eastAsia="Arial" w:hAnsi="Arial"/>
                <w:sz w:val="13"/>
                <w:szCs w:val="13"/>
                <w:b w:val="1"/>
                <w:bCs w:val="1"/>
                <w:color w:val="auto"/>
              </w:rPr>
              <w:t>Minimum Capital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Requirements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3"/>
                <w:szCs w:val="13"/>
                <w:b w:val="1"/>
                <w:bCs w:val="1"/>
                <w:color w:val="auto"/>
                <w:w w:val="99"/>
              </w:rPr>
              <w:t>Action Provisions</w:t>
            </w:r>
          </w:p>
        </w:tc>
        <w:tc>
          <w:tcPr>
            <w:tcW w:w="20" w:type="dxa"/>
            <w:vAlign w:val="bottom"/>
          </w:tcPr>
          <w:p>
            <w:pPr>
              <w:spacing w:after="0"/>
              <w:rPr>
                <w:sz w:val="12"/>
                <w:szCs w:val="12"/>
                <w:color w:val="auto"/>
              </w:rPr>
            </w:pPr>
          </w:p>
        </w:tc>
      </w:t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ind w:right="1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r>
      <w:tr>
        <w:trPr>
          <w:trHeight w:val="151"/>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2024</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247,580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13.01 %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152,201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190,251</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224,911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114,151</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152,201</w:t>
            </w:r>
          </w:p>
        </w:tc>
        <w:tc>
          <w:tcPr>
            <w:tcW w:w="60" w:type="dxa"/>
            <w:vAlign w:val="bottom"/>
            <w:gridSpan w:val="2"/>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224,911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85,613</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123,663</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224,911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100,597</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125,746</w:t>
            </w:r>
          </w:p>
        </w:tc>
        <w:tc>
          <w:tcPr>
            <w:tcW w:w="60" w:type="dxa"/>
            <w:vAlign w:val="bottom"/>
            <w:gridSpan w:val="2"/>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233,109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12.65 %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147,432</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184,290</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110,574</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147,432</w:t>
            </w:r>
          </w:p>
        </w:tc>
        <w:tc>
          <w:tcPr>
            <w:tcW w:w="60" w:type="dxa"/>
            <w:vAlign w:val="bottom"/>
            <w:gridSpan w:val="2"/>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211,645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11.48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82,931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119,789</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92,328</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115,410</w:t>
            </w:r>
          </w:p>
        </w:tc>
        <w:tc>
          <w:tcPr>
            <w:tcW w:w="60" w:type="dxa"/>
            <w:vAlign w:val="bottom"/>
            <w:gridSpan w:val="2"/>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32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is not subject to regulatory capital ratios imposed by Basel III on bank holding companies because the Company is deemed to be a small bank holding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59" w:lineRule="exact"/>
        <w:rPr>
          <w:sz w:val="20"/>
          <w:szCs w:val="20"/>
          <w:color w:val="auto"/>
        </w:rPr>
      </w:pPr>
    </w:p>
    <w:p>
      <w:pPr>
        <w:jc w:val="both"/>
        <w:ind w:left="660" w:right="679" w:firstLine="512"/>
        <w:spacing w:after="0" w:line="250"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Part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59" w:lineRule="exact"/>
        <w:rPr>
          <w:sz w:val="20"/>
          <w:szCs w:val="20"/>
          <w:color w:val="auto"/>
        </w:rPr>
      </w:pPr>
    </w:p>
    <w:p>
      <w:pPr>
        <w:ind w:left="660" w:right="639" w:firstLine="256"/>
        <w:spacing w:after="0" w:line="252"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263"/>
              <w:spacing w:after="0"/>
              <w:rPr>
                <w:sz w:val="20"/>
                <w:szCs w:val="20"/>
                <w:color w:val="auto"/>
              </w:rPr>
            </w:pPr>
            <w:r>
              <w:rPr>
                <w:rFonts w:ascii="Arial" w:cs="Arial" w:eastAsia="Arial" w:hAnsi="Arial"/>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6/30/2024</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3/31/2024</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9/30/2023</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6/30/2023</w:t>
            </w:r>
          </w:p>
        </w:tc>
        <w:tc>
          <w:tcPr>
            <w:tcW w:w="20" w:type="dxa"/>
            <w:vAlign w:val="bottom"/>
          </w:tcPr>
          <w:p>
            <w:pPr>
              <w:spacing w:after="0"/>
              <w:rPr>
                <w:sz w:val="12"/>
                <w:szCs w:val="12"/>
                <w:color w:val="auto"/>
              </w:rPr>
            </w:pPr>
          </w:p>
        </w:tc>
      </w:tr>
      <w:tr>
        <w:trPr>
          <w:trHeight w:val="151"/>
        </w:trPr>
        <w:tc>
          <w:tcPr>
            <w:tcW w:w="3200" w:type="dxa"/>
            <w:vAlign w:val="bottom"/>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6,209</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2,721</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3,819</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8,962</w:t>
            </w:r>
          </w:p>
        </w:tc>
        <w:tc>
          <w:tcPr>
            <w:tcW w:w="6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80" w:type="dxa"/>
            <w:vAlign w:val="bottom"/>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4,983</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6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8,962</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6,448</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4,983</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5,722</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2,479,222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2,436,103</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2,268,811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3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0.87%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6,209</w:t>
            </w: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8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2,721</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3,819</w:t>
            </w: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(883)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3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6,199</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3,380</w:t>
            </w:r>
          </w:p>
        </w:tc>
        <w:tc>
          <w:tcPr>
            <w:tcW w:w="20" w:type="dxa"/>
            <w:vAlign w:val="bottom"/>
          </w:tcPr>
          <w:p>
            <w:pPr>
              <w:spacing w:after="0"/>
              <w:rPr>
                <w:sz w:val="16"/>
                <w:szCs w:val="16"/>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4,532</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20" w:type="dxa"/>
            <w:vAlign w:val="bottom"/>
            <w:shd w:val="clear" w:color="auto" w:fill="CCEEFF"/>
          </w:tcPr>
          <w:p>
            <w:pPr>
              <w:spacing w:after="0"/>
              <w:rPr>
                <w:sz w:val="13"/>
                <w:szCs w:val="13"/>
                <w:color w:val="auto"/>
              </w:rPr>
            </w:pPr>
          </w:p>
        </w:tc>
      </w:tr>
      <w:tr>
        <w:trPr>
          <w:trHeight w:val="18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(883)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r>
      <w:tr>
        <w:trPr>
          <w:trHeight w:val="141"/>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8,948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5,866</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6,677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8,948</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6,448</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5,866</w:t>
            </w:r>
          </w:p>
        </w:tc>
        <w:tc>
          <w:tcPr>
            <w:tcW w:w="20" w:type="dxa"/>
            <w:vAlign w:val="bottom"/>
          </w:tcPr>
          <w:p>
            <w:pPr>
              <w:spacing w:after="0"/>
              <w:rPr>
                <w:sz w:val="14"/>
                <w:szCs w:val="14"/>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6,677</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2,479,222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2,436,103</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2,268,811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3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6,199</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2,479,222</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2,436,103</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2,268,811</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2,250,258</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0.77%</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6,199</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3,380</w:t>
            </w:r>
          </w:p>
        </w:tc>
        <w:tc>
          <w:tcPr>
            <w:tcW w:w="20" w:type="dxa"/>
            <w:vAlign w:val="bottom"/>
          </w:tcPr>
          <w:p>
            <w:pPr>
              <w:spacing w:after="0"/>
              <w:rPr>
                <w:sz w:val="14"/>
                <w:szCs w:val="14"/>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4,532</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4,196</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197,755</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193,092</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183,629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184,901</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184,238</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9.61%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9.13%</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17,311</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15,158</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14,022</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14,173</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200"/>
              <w:spacing w:after="0"/>
              <w:rPr>
                <w:sz w:val="20"/>
                <w:szCs w:val="20"/>
                <w:color w:val="auto"/>
              </w:rPr>
            </w:pPr>
            <w:r>
              <w:rPr>
                <w:rFonts w:ascii="Arial" w:cs="Arial" w:eastAsia="Arial" w:hAnsi="Arial"/>
                <w:sz w:val="11"/>
                <w:szCs w:val="11"/>
                <w:color w:val="auto"/>
              </w:rPr>
              <w:t>Plus: Non-interest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3,211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2,464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1,846</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3200" w:type="dxa"/>
            <w:vAlign w:val="bottom"/>
          </w:tcPr>
          <w:p>
            <w:pPr>
              <w:ind w:left="38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20,508</w:t>
            </w:r>
          </w:p>
        </w:tc>
        <w:tc>
          <w:tcPr>
            <w:tcW w:w="40" w:type="dxa"/>
            <w:vAlign w:val="bottom"/>
          </w:tcPr>
          <w:p>
            <w:pPr>
              <w:spacing w:after="0"/>
              <w:rPr>
                <w:sz w:val="16"/>
                <w:szCs w:val="16"/>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17,622</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16,585</w:t>
            </w:r>
          </w:p>
        </w:tc>
        <w:tc>
          <w:tcPr>
            <w:tcW w:w="20" w:type="dxa"/>
            <w:vAlign w:val="bottom"/>
          </w:tcPr>
          <w:p>
            <w:pPr>
              <w:spacing w:after="0"/>
              <w:rPr>
                <w:sz w:val="16"/>
                <w:szCs w:val="16"/>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17,138</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16,019</w:t>
            </w:r>
          </w:p>
        </w:tc>
        <w:tc>
          <w:tcPr>
            <w:tcW w:w="20" w:type="dxa"/>
            <w:vAlign w:val="bottom"/>
          </w:tcPr>
          <w:p>
            <w:pPr>
              <w:spacing w:after="0"/>
              <w:rPr>
                <w:sz w:val="16"/>
                <w:szCs w:val="16"/>
                <w:color w:val="auto"/>
              </w:rPr>
            </w:pPr>
          </w:p>
        </w:tc>
      </w:tr>
      <w:tr>
        <w:trPr>
          <w:trHeight w:val="132"/>
        </w:trPr>
        <w:tc>
          <w:tcPr>
            <w:tcW w:w="3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11,560</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11,174</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10,461</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10,452</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20,508</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17,622</w:t>
            </w: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16,585</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17,138</w:t>
            </w:r>
          </w:p>
        </w:tc>
        <w:tc>
          <w:tcPr>
            <w:tcW w:w="220" w:type="dxa"/>
            <w:vAlign w:val="bottom"/>
            <w:gridSpan w:val="3"/>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16,019</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Operating efficiency ratio</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65.25%</w:t>
            </w:r>
          </w:p>
        </w:tc>
        <w:tc>
          <w:tcPr>
            <w:tcW w:w="20" w:type="dxa"/>
            <w:vAlign w:val="bottom"/>
            <w:shd w:val="clear" w:color="auto" w:fill="CCEEFF"/>
          </w:tcPr>
          <w:p>
            <w:pPr>
              <w:spacing w:after="0"/>
              <w:rPr>
                <w:sz w:val="14"/>
                <w:szCs w:val="14"/>
                <w:color w:val="auto"/>
              </w:rPr>
            </w:pPr>
          </w:p>
        </w:tc>
      </w:tr>
    </w:tbl>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48"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1"/>
          <w:szCs w:val="11"/>
          <w:b w:val="1"/>
          <w:bCs w:val="1"/>
          <w:color w:val="auto"/>
        </w:rPr>
        <w:t>As of or For the Three Months Ended</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20" w:type="dxa"/>
            <w:vAlign w:val="bottom"/>
            <w:tcBorders>
              <w:bottom w:val="single" w:sz="8" w:color="CCEEFF"/>
            </w:tcBorders>
          </w:tcPr>
          <w:p>
            <w:pPr>
              <w:spacing w:after="0"/>
              <w:rPr>
                <w:sz w:val="11"/>
                <w:szCs w:val="11"/>
                <w:color w:val="auto"/>
              </w:rPr>
            </w:pPr>
          </w:p>
        </w:tc>
        <w:tc>
          <w:tcPr>
            <w:tcW w:w="30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715"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6/30/2024</w:t>
            </w:r>
          </w:p>
        </w:tc>
        <w:tc>
          <w:tcPr>
            <w:tcW w:w="20" w:type="dxa"/>
            <w:vAlign w:val="bottom"/>
            <w:tcBorders>
              <w:bottom w:val="single" w:sz="8" w:color="CCEEFF"/>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3/31/2024</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12/31/2023</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9/30/2023</w:t>
            </w:r>
          </w:p>
        </w:tc>
        <w:tc>
          <w:tcPr>
            <w:tcW w:w="20" w:type="dxa"/>
            <w:vAlign w:val="bottom"/>
            <w:tcBorders>
              <w:bottom w:val="single" w:sz="8" w:color="CCEEFF"/>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6/30/2023</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5" w:type="dxa"/>
            <w:vAlign w:val="bottom"/>
            <w:shd w:val="clear" w:color="auto" w:fill="CCEEFF"/>
          </w:tcPr>
          <w:p>
            <w:pPr>
              <w:spacing w:after="0"/>
              <w:rPr>
                <w:sz w:val="13"/>
                <w:szCs w:val="13"/>
                <w:color w:val="auto"/>
              </w:rPr>
            </w:pPr>
          </w:p>
        </w:tc>
        <w:tc>
          <w:tcPr>
            <w:tcW w:w="715"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1"/>
                <w:szCs w:val="11"/>
                <w:color w:val="auto"/>
              </w:rPr>
              <w:t>Total stockholders' equity</w:t>
            </w:r>
          </w:p>
        </w:tc>
        <w:tc>
          <w:tcPr>
            <w:tcW w:w="165"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15" w:type="dxa"/>
            <w:vAlign w:val="bottom"/>
          </w:tcPr>
          <w:p>
            <w:pPr>
              <w:jc w:val="right"/>
              <w:ind w:right="23"/>
              <w:spacing w:after="0"/>
              <w:rPr>
                <w:sz w:val="20"/>
                <w:szCs w:val="20"/>
                <w:color w:val="auto"/>
              </w:rPr>
            </w:pPr>
            <w:r>
              <w:rPr>
                <w:rFonts w:ascii="Arial" w:cs="Arial" w:eastAsia="Arial" w:hAnsi="Arial"/>
                <w:sz w:val="11"/>
                <w:szCs w:val="11"/>
                <w:color w:val="auto"/>
              </w:rPr>
              <w:t>201,020</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195,011</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191,968</w:t>
            </w:r>
          </w:p>
        </w:tc>
        <w:tc>
          <w:tcPr>
            <w:tcW w:w="15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182,884</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183,685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Borders>
              <w:bottom w:val="single" w:sz="8" w:color="CCEEFF"/>
            </w:tcBorders>
            <w:shd w:val="clear" w:color="auto" w:fill="CCEEFF"/>
          </w:tcPr>
          <w:p>
            <w:pPr>
              <w:spacing w:after="0"/>
              <w:rPr>
                <w:sz w:val="12"/>
                <w:szCs w:val="12"/>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5" w:type="dxa"/>
            <w:vAlign w:val="bottom"/>
            <w:tcBorders>
              <w:bottom w:val="single" w:sz="8" w:color="auto"/>
            </w:tcBorders>
            <w:shd w:val="clear" w:color="auto" w:fill="CCEEFF"/>
          </w:tcPr>
          <w:p>
            <w:pPr>
              <w:spacing w:after="0"/>
              <w:rPr>
                <w:sz w:val="12"/>
                <w:szCs w:val="12"/>
                <w:color w:val="auto"/>
              </w:rPr>
            </w:pPr>
          </w:p>
        </w:tc>
        <w:tc>
          <w:tcPr>
            <w:tcW w:w="715"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306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65"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15" w:type="dxa"/>
            <w:vAlign w:val="bottom"/>
          </w:tcPr>
          <w:p>
            <w:pPr>
              <w:jc w:val="right"/>
              <w:ind w:right="23"/>
              <w:spacing w:after="0"/>
              <w:rPr>
                <w:sz w:val="20"/>
                <w:szCs w:val="20"/>
                <w:color w:val="auto"/>
              </w:rPr>
            </w:pPr>
            <w:r>
              <w:rPr>
                <w:rFonts w:ascii="Arial" w:cs="Arial" w:eastAsia="Arial" w:hAnsi="Arial"/>
                <w:sz w:val="11"/>
                <w:szCs w:val="11"/>
                <w:color w:val="auto"/>
              </w:rPr>
              <w:t>201,020</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195,011</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191,968</w:t>
            </w:r>
          </w:p>
        </w:tc>
        <w:tc>
          <w:tcPr>
            <w:tcW w:w="15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182,884</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183,685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5" w:type="dxa"/>
            <w:vAlign w:val="bottom"/>
            <w:shd w:val="clear" w:color="auto" w:fill="CCEEFF"/>
          </w:tcPr>
          <w:p>
            <w:pPr>
              <w:spacing w:after="0"/>
              <w:rPr>
                <w:sz w:val="13"/>
                <w:szCs w:val="13"/>
                <w:color w:val="auto"/>
              </w:rPr>
            </w:pPr>
          </w:p>
        </w:tc>
        <w:tc>
          <w:tcPr>
            <w:tcW w:w="715"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060" w:type="dxa"/>
            <w:vAlign w:val="bottom"/>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5" w:type="dxa"/>
            <w:vAlign w:val="bottom"/>
            <w:tcBorders>
              <w:bottom w:val="single" w:sz="8" w:color="auto"/>
            </w:tcBorders>
          </w:tcPr>
          <w:p>
            <w:pPr>
              <w:spacing w:after="0"/>
              <w:rPr>
                <w:sz w:val="15"/>
                <w:szCs w:val="15"/>
                <w:color w:val="auto"/>
              </w:rPr>
            </w:pPr>
          </w:p>
        </w:tc>
        <w:tc>
          <w:tcPr>
            <w:tcW w:w="715"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19,630,632</w:t>
            </w: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19,650,463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19,575,435</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3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19,542,290</w:t>
            </w: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19,544,777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2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12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5"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10.24</w:t>
            </w: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9.92</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9.81</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9.36</w:t>
            </w: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9.40</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5" w:type="dxa"/>
            <w:vAlign w:val="bottom"/>
            <w:tcBorders>
              <w:bottom w:val="single" w:sz="8" w:color="auto"/>
            </w:tcBorders>
          </w:tcPr>
          <w:p>
            <w:pPr>
              <w:spacing w:after="0" w:line="20" w:lineRule="exact"/>
              <w:rPr>
                <w:sz w:val="1"/>
                <w:szCs w:val="1"/>
                <w:color w:val="auto"/>
              </w:rPr>
            </w:pPr>
          </w:p>
        </w:tc>
        <w:tc>
          <w:tcPr>
            <w:tcW w:w="715"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8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71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2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1"/>
                <w:szCs w:val="11"/>
                <w:color w:val="auto"/>
              </w:rPr>
              <w:t>Operating net income</w:t>
            </w:r>
          </w:p>
        </w:tc>
        <w:tc>
          <w:tcPr>
            <w:tcW w:w="40" w:type="dxa"/>
            <w:vAlign w:val="bottom"/>
            <w:gridSpan w:val="2"/>
            <w:shd w:val="clear" w:color="auto" w:fill="CCEEFF"/>
          </w:tcPr>
          <w:p>
            <w:pPr>
              <w:spacing w:after="0"/>
              <w:rPr>
                <w:sz w:val="13"/>
                <w:szCs w:val="13"/>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5"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6,199</w:t>
            </w: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4,612</w:t>
            </w:r>
          </w:p>
        </w:tc>
        <w:tc>
          <w:tcPr>
            <w:tcW w:w="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3,380</w:t>
            </w:r>
          </w:p>
        </w:tc>
        <w:tc>
          <w:tcPr>
            <w:tcW w:w="40" w:type="dxa"/>
            <w:vAlign w:val="bottom"/>
            <w:gridSpan w:val="2"/>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4,532</w:t>
            </w: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5" w:type="dxa"/>
            <w:vAlign w:val="bottom"/>
            <w:tcBorders>
              <w:bottom w:val="single" w:sz="8" w:color="auto"/>
            </w:tcBorders>
          </w:tcPr>
          <w:p>
            <w:pPr>
              <w:spacing w:after="0"/>
              <w:rPr>
                <w:sz w:val="14"/>
                <w:szCs w:val="14"/>
                <w:color w:val="auto"/>
              </w:rPr>
            </w:pPr>
          </w:p>
        </w:tc>
        <w:tc>
          <w:tcPr>
            <w:tcW w:w="715"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19,717,167</w:t>
            </w:r>
          </w:p>
        </w:tc>
        <w:tc>
          <w:tcPr>
            <w:tcW w:w="2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19,698,258</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19,573,350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19,611,897</w:t>
            </w:r>
          </w:p>
        </w:tc>
        <w:tc>
          <w:tcPr>
            <w:tcW w:w="2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19,639,682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 w:type="dxa"/>
            <w:vAlign w:val="bottom"/>
            <w:shd w:val="clear" w:color="auto" w:fill="CCEEFF"/>
          </w:tcPr>
          <w:p>
            <w:pPr>
              <w:spacing w:after="0"/>
              <w:rPr>
                <w:sz w:val="14"/>
                <w:szCs w:val="14"/>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diluted net income per common share:</w:t>
            </w:r>
          </w:p>
        </w:tc>
        <w:tc>
          <w:tcPr>
            <w:tcW w:w="40" w:type="dxa"/>
            <w:vAlign w:val="bottom"/>
            <w:gridSpan w:val="2"/>
            <w:shd w:val="clear" w:color="auto" w:fill="CCEEFF"/>
          </w:tcPr>
          <w:p>
            <w:pPr>
              <w:spacing w:after="0"/>
              <w:rPr>
                <w:sz w:val="14"/>
                <w:szCs w:val="14"/>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5"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0.31</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0.23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0.23</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5" w:type="dxa"/>
            <w:vAlign w:val="bottom"/>
            <w:tcBorders>
              <w:bottom w:val="single" w:sz="8" w:color="auto"/>
            </w:tcBorders>
          </w:tcPr>
          <w:p>
            <w:pPr>
              <w:spacing w:after="0" w:line="20" w:lineRule="exact"/>
              <w:rPr>
                <w:sz w:val="1"/>
                <w:szCs w:val="1"/>
                <w:color w:val="auto"/>
              </w:rPr>
            </w:pPr>
          </w:p>
        </w:tc>
        <w:tc>
          <w:tcPr>
            <w:tcW w:w="715"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5" w:type="dxa"/>
            <w:vAlign w:val="bottom"/>
          </w:tcPr>
          <w:p>
            <w:pPr>
              <w:spacing w:after="0"/>
              <w:rPr>
                <w:sz w:val="16"/>
                <w:szCs w:val="16"/>
                <w:color w:val="auto"/>
              </w:rPr>
            </w:pPr>
          </w:p>
        </w:tc>
        <w:tc>
          <w:tcPr>
            <w:tcW w:w="715"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Tangible Common Equity/Tangible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5" w:type="dxa"/>
            <w:vAlign w:val="bottom"/>
            <w:shd w:val="clear" w:color="auto" w:fill="CCEEFF"/>
          </w:tcPr>
          <w:p>
            <w:pPr>
              <w:spacing w:after="0"/>
              <w:rPr>
                <w:sz w:val="15"/>
                <w:szCs w:val="15"/>
                <w:color w:val="auto"/>
              </w:rPr>
            </w:pPr>
          </w:p>
        </w:tc>
        <w:tc>
          <w:tcPr>
            <w:tcW w:w="715"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306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65"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15" w:type="dxa"/>
            <w:vAlign w:val="bottom"/>
          </w:tcPr>
          <w:p>
            <w:pPr>
              <w:jc w:val="right"/>
              <w:ind w:right="23"/>
              <w:spacing w:after="0"/>
              <w:rPr>
                <w:sz w:val="20"/>
                <w:szCs w:val="20"/>
                <w:color w:val="auto"/>
              </w:rPr>
            </w:pPr>
            <w:r>
              <w:rPr>
                <w:rFonts w:ascii="Arial" w:cs="Arial" w:eastAsia="Arial" w:hAnsi="Arial"/>
                <w:sz w:val="11"/>
                <w:szCs w:val="11"/>
                <w:color w:val="auto"/>
              </w:rPr>
              <w:t>201,020</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195,011</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191,968</w:t>
            </w:r>
          </w:p>
        </w:tc>
        <w:tc>
          <w:tcPr>
            <w:tcW w:w="15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182,884</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183,685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spacing w:after="0"/>
              <w:rPr>
                <w:sz w:val="15"/>
                <w:szCs w:val="15"/>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Tangible total assets </w:t>
            </w:r>
            <w:r>
              <w:rPr>
                <w:rFonts w:ascii="Arial" w:cs="Arial" w:eastAsia="Arial" w:hAnsi="Arial"/>
                <w:sz w:val="14"/>
                <w:szCs w:val="14"/>
                <w:color w:val="auto"/>
                <w:vertAlign w:val="superscript"/>
              </w:rPr>
              <w:t>(3)</w:t>
            </w:r>
          </w:p>
        </w:tc>
        <w:tc>
          <w:tcPr>
            <w:tcW w:w="40" w:type="dxa"/>
            <w:vAlign w:val="bottom"/>
            <w:gridSpan w:val="2"/>
            <w:shd w:val="clear" w:color="auto" w:fill="CCEEFF"/>
          </w:tcPr>
          <w:p>
            <w:pPr>
              <w:spacing w:after="0"/>
              <w:rPr>
                <w:sz w:val="15"/>
                <w:szCs w:val="15"/>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5"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2,458,270</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2,489,142</w:t>
            </w:r>
          </w:p>
        </w:tc>
        <w:tc>
          <w:tcPr>
            <w:tcW w:w="8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2,339,093</w:t>
            </w:r>
          </w:p>
        </w:tc>
        <w:tc>
          <w:tcPr>
            <w:tcW w:w="40" w:type="dxa"/>
            <w:vAlign w:val="bottom"/>
            <w:gridSpan w:val="2"/>
            <w:shd w:val="clear" w:color="auto" w:fill="CCEEFF"/>
          </w:tcPr>
          <w:p>
            <w:pPr>
              <w:spacing w:after="0"/>
              <w:rPr>
                <w:sz w:val="15"/>
                <w:szCs w:val="15"/>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2,244,602</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2,225,914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3060" w:type="dxa"/>
            <w:vAlign w:val="bottom"/>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715" w:type="dxa"/>
            <w:vAlign w:val="bottom"/>
          </w:tcPr>
          <w:p>
            <w:pPr>
              <w:jc w:val="right"/>
              <w:ind w:right="3"/>
              <w:spacing w:after="0"/>
              <w:rPr>
                <w:sz w:val="20"/>
                <w:szCs w:val="20"/>
                <w:color w:val="auto"/>
              </w:rPr>
            </w:pPr>
            <w:r>
              <w:rPr>
                <w:rFonts w:ascii="Arial" w:cs="Arial" w:eastAsia="Arial" w:hAnsi="Arial"/>
                <w:sz w:val="11"/>
                <w:szCs w:val="11"/>
                <w:color w:val="auto"/>
              </w:rPr>
              <w:t>8.18%</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7.83%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tcPr>
          <w:p>
            <w:pPr>
              <w:jc w:val="right"/>
              <w:ind w:right="3"/>
              <w:spacing w:after="0"/>
              <w:rPr>
                <w:sz w:val="20"/>
                <w:szCs w:val="20"/>
                <w:color w:val="auto"/>
              </w:rPr>
            </w:pPr>
            <w:r>
              <w:rPr>
                <w:rFonts w:ascii="Arial" w:cs="Arial" w:eastAsia="Arial" w:hAnsi="Arial"/>
                <w:sz w:val="11"/>
                <w:szCs w:val="11"/>
                <w:color w:val="auto"/>
              </w:rPr>
              <w:t>8.15%</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5" w:type="dxa"/>
            <w:vAlign w:val="bottom"/>
            <w:tcBorders>
              <w:bottom w:val="single" w:sz="8" w:color="CCEEFF"/>
            </w:tcBorders>
            <w:shd w:val="clear" w:color="auto" w:fill="CCEEFF"/>
          </w:tcPr>
          <w:p>
            <w:pPr>
              <w:spacing w:after="0"/>
              <w:rPr>
                <w:sz w:val="14"/>
                <w:szCs w:val="14"/>
                <w:color w:val="auto"/>
              </w:rPr>
            </w:pPr>
          </w:p>
        </w:tc>
        <w:tc>
          <w:tcPr>
            <w:tcW w:w="715"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1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3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1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26" w:lineRule="exact"/>
        <w:rPr>
          <w:rFonts w:ascii="Arial" w:cs="Arial" w:eastAsia="Arial" w:hAnsi="Arial"/>
          <w:sz w:val="11"/>
          <w:szCs w:val="11"/>
          <w:color w:val="auto"/>
        </w:rPr>
      </w:pPr>
    </w:p>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33" w:lineRule="exact"/>
        <w:rPr>
          <w:rFonts w:ascii="Arial" w:cs="Arial" w:eastAsia="Arial" w:hAnsi="Arial"/>
          <w:sz w:val="11"/>
          <w:szCs w:val="11"/>
          <w:color w:val="auto"/>
        </w:rPr>
      </w:pPr>
    </w:p>
    <w:p>
      <w:pPr>
        <w:ind w:left="860" w:hanging="165"/>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Since the Company has no intangible assets, tangible total assets is the same amount as total assets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June 30, 2024. Based on that evaluation, management believes that, as of the end of the period covered by this Form 10-Q, the Company's disclosure controls and procedures were effective to collect, process, and disclose the information required to be disclosed in the reports filed or submitted under the Exchange Act within the required time periods.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70"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6"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Company previously disclosed that litigation (the “Litigation”) had been commenced on July 13, 2023 by three individuals who were shareholders of the Bank prior to the Bank’s reorganization into the holding company form of organization in 2021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shares of Class C and Class D preferred stock was exchanged for shares of Class A voting common stock in the Bank (the “Exchange Transaction”), which action the Plaintiffs allege was not permitted by the Bank’s Articles of Incorporation, and</w:t>
      </w:r>
    </w:p>
    <w:p>
      <w:pPr>
        <w:spacing w:after="0" w:line="1" w:lineRule="exact"/>
        <w:rPr>
          <w:sz w:val="20"/>
          <w:szCs w:val="20"/>
          <w:color w:val="auto"/>
        </w:rPr>
      </w:pPr>
    </w:p>
    <w:p>
      <w:pPr>
        <w:jc w:val="both"/>
        <w:ind w:left="660" w:right="699" w:firstLine="3"/>
        <w:spacing w:after="0" w:line="249" w:lineRule="auto"/>
        <w:tabs>
          <w:tab w:leader="none" w:pos="8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breached their fiduciary duty as directors of the Bank by approving and engaging in the Exchange Transaction. The Plaintiffs sought the Court to certify the action as a class action and to award damages in an amount to be proven at trial. The Plaintiffs sought damages exceeding $750,000 plus attorney’s fees and costs as well as such other relief as the Court determined to award.</w:t>
      </w:r>
    </w:p>
    <w:p>
      <w:pPr>
        <w:spacing w:after="0" w:line="12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“Order”). The Court reserved jurisdiction to award costs or grant any post-judgment relief.</w:t>
      </w:r>
    </w:p>
    <w:p>
      <w:pPr>
        <w:spacing w:after="0" w:line="12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On May 1, 2024, the Plaintiffs filed in the Thirds District Court of Appeal for the State of Florida (the “Appellate Court”) an appeal (the “Appeal”), appealing the issuance of the Order and seeking a reversal of the Order. The Plaintiffs claim the Court erred by concluding (i) the Exchange Transaction was not ultra vires, and (ii) that the Legacy Shareholders (which includes the Plaintiffs) lacked direct standing. The Plaintiffs filed their initial brief and the Defendants filed on July 1, 2024 their answer brief (“Answer Brief”) responding to the allegations contained in the Appeal. The Plaintiffs have the ability to file a Reply Brief responding to the Defendant’s Answer Brief but have not done so as of the date hereof.</w:t>
      </w:r>
    </w:p>
    <w:p>
      <w:pPr>
        <w:spacing w:after="0" w:line="138"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Company believes that the positions in the Appeal are legally and factually without merit, and it intends to vigorously defend against the Appeal, pursue any potential counterclaims against the Plaintiffs as it deems appropriate, and seek coverage from its insurance carriers. However, there can be no assurance that the Appeal will be resolved favorably. Furthermore, there is also no assurance that we will be able to secure coverage from our insurance carriers for any expenses incurred by us in connection with defending against the Appeal. The Appellate Court could grant the Plaintiff’s motion to reverse the Order and remand the case to the Court.</w:t>
      </w:r>
    </w:p>
    <w:p>
      <w:pPr>
        <w:spacing w:after="0" w:line="13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Appeal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138"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In addition to the foregoing,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59" w:lineRule="exact"/>
        <w:rPr>
          <w:sz w:val="20"/>
          <w:szCs w:val="20"/>
          <w:color w:val="auto"/>
        </w:rPr>
      </w:pPr>
    </w:p>
    <w:p>
      <w:pPr>
        <w:ind w:left="660" w:right="679" w:firstLine="256"/>
        <w:spacing w:after="0" w:line="292"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2023 Form 10-K.</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0" w:lineRule="exact"/>
        <w:rPr>
          <w:sz w:val="20"/>
          <w:szCs w:val="20"/>
          <w:color w:val="auto"/>
        </w:rPr>
      </w:pPr>
    </w:p>
    <w:p>
      <w:pPr>
        <w:ind w:left="1140" w:hanging="221"/>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59" w:lineRule="exact"/>
        <w:rPr>
          <w:rFonts w:ascii="Arial" w:cs="Arial" w:eastAsia="Arial" w:hAnsi="Arial"/>
          <w:sz w:val="14"/>
          <w:szCs w:val="14"/>
          <w:color w:val="auto"/>
        </w:rPr>
      </w:pPr>
    </w:p>
    <w:p>
      <w:pPr>
        <w:ind w:left="1120" w:hanging="201"/>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quarter ended June 30, 2024 were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Maximum Number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of Shares that May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8"/>
              </w:rPr>
              <w:t>Total Number of Shares Purchased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Yet Be Purchased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9"/>
              </w:rPr>
              <w:t>as Part of Publicly Announced Plans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Under Plans or</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or Programs (1)</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Programs (1)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4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Period</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April 1 - 30, 2024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320" w:type="dxa"/>
            <w:vAlign w:val="bottom"/>
            <w:gridSpan w:val="3"/>
          </w:tcPr>
          <w:p>
            <w:pPr>
              <w:jc w:val="right"/>
              <w:ind w:right="1196"/>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572,980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May 1 -31, 2024</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28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572,980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June 1 - 30, 2024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12.00</w:t>
            </w:r>
          </w:p>
        </w:tc>
        <w:tc>
          <w:tcPr>
            <w:tcW w:w="2320" w:type="dxa"/>
            <w:vAlign w:val="bottom"/>
            <w:gridSpan w:val="3"/>
          </w:tcPr>
          <w:p>
            <w:pPr>
              <w:jc w:val="right"/>
              <w:ind w:right="1196"/>
              <w:spacing w:after="0"/>
              <w:rPr>
                <w:sz w:val="20"/>
                <w:szCs w:val="20"/>
                <w:color w:val="auto"/>
              </w:rPr>
            </w:pPr>
            <w:r>
              <w:rPr>
                <w:rFonts w:ascii="Arial" w:cs="Arial" w:eastAsia="Arial" w:hAnsi="Arial"/>
                <w:sz w:val="13"/>
                <w:szCs w:val="13"/>
                <w:color w:val="auto"/>
              </w:rPr>
              <w:t>25,000</w:t>
            </w: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547,980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60" w:right="679" w:firstLine="3"/>
        <w:spacing w:after="0" w:line="306" w:lineRule="auto"/>
        <w:tabs>
          <w:tab w:leader="none" w:pos="831"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March 31, 2024 there were 72,980 number of shares available for repurchase. As of June 30, 2024 there are two outstanding share repurchase programs:</w:t>
      </w:r>
    </w:p>
    <w:p>
      <w:pPr>
        <w:spacing w:after="0" w:line="30" w:lineRule="exact"/>
        <w:rPr>
          <w:sz w:val="20"/>
          <w:szCs w:val="20"/>
          <w:color w:val="auto"/>
        </w:rPr>
      </w:pPr>
    </w:p>
    <w:p>
      <w:pPr>
        <w:ind w:left="740" w:hanging="77"/>
        <w:spacing w:after="0"/>
        <w:tabs>
          <w:tab w:leader="none" w:pos="7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January 24, 2022, the Company announced its initial stock repurchase program to repurchase up to 750,000 shares of Class A commonstock.</w:t>
      </w:r>
    </w:p>
    <w:p>
      <w:pPr>
        <w:spacing w:after="0" w:line="44" w:lineRule="exact"/>
        <w:rPr>
          <w:rFonts w:ascii="Arial" w:cs="Arial" w:eastAsia="Arial" w:hAnsi="Arial"/>
          <w:sz w:val="11"/>
          <w:szCs w:val="11"/>
          <w:color w:val="auto"/>
        </w:rPr>
      </w:pPr>
    </w:p>
    <w:p>
      <w:pPr>
        <w:ind w:left="660" w:right="939" w:firstLine="3"/>
        <w:spacing w:after="0" w:line="306" w:lineRule="auto"/>
        <w:tabs>
          <w:tab w:leader="none" w:pos="73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April 22, 2024, the Company announced the adoption of a second repurchase program to repurchaseup to 500,000 share of Class A common stock. To commence upon completion of its first repurchase program.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63" w:lineRule="exact"/>
        <w:rPr>
          <w:sz w:val="20"/>
          <w:szCs w:val="20"/>
          <w:color w:val="auto"/>
        </w:rPr>
      </w:pPr>
    </w:p>
    <w:p>
      <w:pPr>
        <w:ind w:left="1180" w:hanging="261"/>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63" w:lineRule="exact"/>
        <w:rPr>
          <w:sz w:val="20"/>
          <w:szCs w:val="20"/>
          <w:color w:val="auto"/>
        </w:rPr>
      </w:pPr>
    </w:p>
    <w:p>
      <w:pPr>
        <w:ind w:left="1180" w:hanging="261"/>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 applicable</w:t>
      </w:r>
    </w:p>
    <w:p>
      <w:pPr>
        <w:jc w:val="both"/>
        <w:ind w:left="1180" w:right="679" w:hanging="261"/>
        <w:spacing w:after="0" w:line="237"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During the three months ended June 30, 2024, none of the Company’s directors or Section 16 reporting officers adopted or terminated any Rule 10b5-1 trading arrangement or non-Rule 10b5-1 trading arrangement (as such terms are defined in Item 408 of the SEC’s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12"/>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2"/>
          </w:tcPr>
          <w:p>
            <w:pPr>
              <w:spacing w:after="0"/>
              <w:rPr>
                <w:sz w:val="10"/>
                <w:szCs w:val="10"/>
                <w:color w:val="auto"/>
              </w:rPr>
            </w:pPr>
          </w:p>
        </w:tc>
        <w:tc>
          <w:tcPr>
            <w:tcW w:w="220" w:type="dxa"/>
            <w:vAlign w:val="bottom"/>
            <w:gridSpan w:val="2"/>
          </w:tcPr>
          <w:p>
            <w:pPr>
              <w:jc w:val="center"/>
              <w:ind w:right="40"/>
              <w:spacing w:after="0" w:line="11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2"/>
          </w:tcPr>
          <w:p>
            <w:pPr>
              <w:spacing w:after="0" w:line="119" w:lineRule="exact"/>
              <w:rPr>
                <w:rFonts w:ascii="Arial" w:cs="Arial" w:eastAsia="Arial" w:hAnsi="Arial"/>
                <w:sz w:val="13"/>
                <w:szCs w:val="13"/>
                <w:color w:val="0000FF"/>
              </w:rPr>
            </w:pPr>
            <w:hyperlink r:id="rId66">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6"/>
          </w:tcPr>
          <w:p>
            <w:pPr>
              <w:spacing w:after="0" w:line="119" w:lineRule="exact"/>
              <w:rPr>
                <w:rFonts w:ascii="Arial" w:cs="Arial" w:eastAsia="Arial" w:hAnsi="Arial"/>
                <w:sz w:val="13"/>
                <w:szCs w:val="13"/>
                <w:color w:val="0000FF"/>
                <w:w w:val="98"/>
              </w:rPr>
            </w:pPr>
            <w:hyperlink r:id="rId66">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Articles of Incorporation, as amended, of USCB Financial Holdings, Inc. (incorporated by reference to Exhibit 3.1 to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Registrant's Quarterly Report on Form 10-Q for the quarter ended June 30, 2023 (File No. 001-41196) filed with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Securities and Exchange Commission on August 11, 2023).</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220" w:type="dxa"/>
            <w:vAlign w:val="bottom"/>
            <w:tcBorders>
              <w:right w:val="single" w:sz="8" w:color="0000FF"/>
            </w:tcBorders>
            <w:gridSpan w:val="9"/>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6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Amended and Restated Bylaws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40" w:type="dxa"/>
            <w:vAlign w:val="bottom"/>
            <w:tcBorders>
              <w:bottom w:val="single" w:sz="8" w:color="0000FF"/>
            </w:tcBorders>
            <w:gridSpan w:val="108"/>
          </w:tcPr>
          <w:p>
            <w:pPr>
              <w:spacing w:after="0" w:line="119" w:lineRule="exact"/>
              <w:rPr>
                <w:rFonts w:ascii="Arial" w:cs="Arial" w:eastAsia="Arial" w:hAnsi="Arial"/>
                <w:sz w:val="13"/>
                <w:szCs w:val="13"/>
                <w:color w:val="0000FF"/>
                <w:w w:val="98"/>
              </w:rPr>
            </w:pPr>
            <w:hyperlink r:id="rId68">
              <w:r>
                <w:rPr>
                  <w:rFonts w:ascii="Arial" w:cs="Arial" w:eastAsia="Arial" w:hAnsi="Arial"/>
                  <w:sz w:val="13"/>
                  <w:szCs w:val="13"/>
                  <w:color w:val="0000FF"/>
                  <w:w w:val="98"/>
                </w:rPr>
                <w:t>Current Report on Form 8-K (File No. 001-41196) filed with the Securities and Exchange Commission on July 26, 2023).</w:t>
              </w:r>
            </w:hyperlink>
          </w:p>
        </w:tc>
        <w:tc>
          <w:tcPr>
            <w:tcW w:w="120" w:type="dxa"/>
            <w:vAlign w:val="bottom"/>
            <w:gridSpan w:val="3"/>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40"/>
          </w:tcPr>
          <w:p>
            <w:pPr>
              <w:spacing w:after="0" w:line="129" w:lineRule="exact"/>
              <w:rPr>
                <w:rFonts w:ascii="Arial" w:cs="Arial" w:eastAsia="Arial" w:hAnsi="Arial"/>
                <w:sz w:val="13"/>
                <w:szCs w:val="13"/>
                <w:color w:val="0000FF"/>
                <w:w w:val="97"/>
              </w:rPr>
            </w:pPr>
            <w:hyperlink r:id="rId69">
              <w:r>
                <w:rPr>
                  <w:rFonts w:ascii="Arial" w:cs="Arial" w:eastAsia="Arial" w:hAnsi="Arial"/>
                  <w:sz w:val="13"/>
                  <w:szCs w:val="13"/>
                  <w:color w:val="0000FF"/>
                  <w:w w:val="97"/>
                </w:rPr>
                <w:t>Exchange Commission on December 30, 2021).</w:t>
              </w:r>
            </w:hyperlink>
          </w:p>
        </w:tc>
        <w:tc>
          <w:tcPr>
            <w:tcW w:w="424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2"/>
          </w:tcPr>
          <w:p>
            <w:pPr>
              <w:spacing w:after="0" w:line="119" w:lineRule="exact"/>
              <w:rPr>
                <w:rFonts w:ascii="Arial" w:cs="Arial" w:eastAsia="Arial" w:hAnsi="Arial"/>
                <w:sz w:val="13"/>
                <w:szCs w:val="13"/>
                <w:color w:val="0000FF"/>
              </w:rPr>
            </w:pPr>
            <w:hyperlink r:id="rId70">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8"/>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4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9"/>
              </w:rPr>
            </w:pPr>
            <w:hyperlink r:id="rId70">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52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0000FF"/>
            </w:tcBorders>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1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9"/>
          </w:tcPr>
          <w:p>
            <w:pPr>
              <w:spacing w:after="0" w:line="129" w:lineRule="exact"/>
              <w:rPr>
                <w:rFonts w:ascii="Arial" w:cs="Arial" w:eastAsia="Arial" w:hAnsi="Arial"/>
                <w:sz w:val="13"/>
                <w:szCs w:val="13"/>
                <w:color w:val="0000FF"/>
                <w:w w:val="97"/>
              </w:rPr>
            </w:pPr>
            <w:hyperlink r:id="rId70">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1">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70">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4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71">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gridSpan w:val="11"/>
            <w:shd w:val="clear" w:color="auto" w:fill="0000FF"/>
          </w:tcPr>
          <w:p>
            <w:pPr>
              <w:spacing w:after="0" w:line="20" w:lineRule="exact"/>
              <w:rPr>
                <w:sz w:val="1"/>
                <w:szCs w:val="1"/>
                <w:color w:val="auto"/>
              </w:rPr>
            </w:pPr>
          </w:p>
        </w:tc>
        <w:tc>
          <w:tcPr>
            <w:tcW w:w="68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2"/>
          </w:tcPr>
          <w:p>
            <w:pPr>
              <w:spacing w:after="0" w:line="129" w:lineRule="exact"/>
              <w:rPr>
                <w:rFonts w:ascii="Arial" w:cs="Arial" w:eastAsia="Arial" w:hAnsi="Arial"/>
                <w:sz w:val="13"/>
                <w:szCs w:val="13"/>
                <w:color w:val="0000FF"/>
                <w:w w:val="97"/>
              </w:rPr>
            </w:pPr>
            <w:hyperlink r:id="rId71">
              <w:r>
                <w:rPr>
                  <w:rFonts w:ascii="Arial" w:cs="Arial" w:eastAsia="Arial" w:hAnsi="Arial"/>
                  <w:sz w:val="13"/>
                  <w:szCs w:val="13"/>
                  <w:color w:val="0000FF"/>
                  <w:w w:val="97"/>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99"/>
        </w:trPr>
        <w:tc>
          <w:tcPr>
            <w:tcW w:w="340" w:type="dxa"/>
            <w:vAlign w:val="bottom"/>
            <w:gridSpan w:val="2"/>
            <w:vMerge w:val="restart"/>
          </w:tcPr>
          <w:p>
            <w:pPr>
              <w:spacing w:after="0"/>
              <w:rPr>
                <w:sz w:val="8"/>
                <w:szCs w:val="8"/>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72">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tcBorders>
              <w:top w:val="single" w:sz="8" w:color="0000FF"/>
              <w:bottom w:val="single" w:sz="8" w:color="0000FF"/>
            </w:tcBorders>
            <w:gridSpan w:val="48"/>
          </w:tcPr>
          <w:p>
            <w:pPr>
              <w:spacing w:after="0" w:line="99" w:lineRule="exact"/>
              <w:rPr>
                <w:rFonts w:ascii="Arial" w:cs="Arial" w:eastAsia="Arial" w:hAnsi="Arial"/>
                <w:sz w:val="11"/>
                <w:szCs w:val="11"/>
                <w:color w:val="0000FF"/>
              </w:rPr>
            </w:pPr>
            <w:hyperlink r:id="rId71">
              <w:r>
                <w:rPr>
                  <w:rFonts w:ascii="Arial" w:cs="Arial" w:eastAsia="Arial" w:hAnsi="Arial"/>
                  <w:sz w:val="11"/>
                  <w:szCs w:val="11"/>
                  <w:color w:val="0000FF"/>
                </w:rPr>
                <w:t>filed with the Securities and Exchange Commission on</w:t>
              </w:r>
            </w:hyperlink>
          </w:p>
        </w:tc>
        <w:tc>
          <w:tcPr>
            <w:tcW w:w="1240" w:type="dxa"/>
            <w:vAlign w:val="bottom"/>
            <w:tcBorders>
              <w:top w:val="single" w:sz="8" w:color="0000FF"/>
              <w:bottom w:val="single" w:sz="8" w:color="0000FF"/>
            </w:tcBorders>
            <w:gridSpan w:val="18"/>
          </w:tcPr>
          <w:p>
            <w:pPr>
              <w:ind w:left="40"/>
              <w:spacing w:after="0" w:line="99" w:lineRule="exact"/>
              <w:rPr>
                <w:rFonts w:ascii="Arial" w:cs="Arial" w:eastAsia="Arial" w:hAnsi="Arial"/>
                <w:sz w:val="11"/>
                <w:szCs w:val="11"/>
                <w:color w:val="0000FF"/>
              </w:rPr>
            </w:pPr>
            <w:hyperlink r:id="rId71">
              <w:r>
                <w:rPr>
                  <w:rFonts w:ascii="Arial" w:cs="Arial" w:eastAsia="Arial" w:hAnsi="Arial"/>
                  <w:sz w:val="11"/>
                  <w:szCs w:val="11"/>
                  <w:color w:val="0000FF"/>
                </w:rPr>
                <w:t>December 30, 2021).</w:t>
              </w:r>
            </w:hyperlink>
          </w:p>
        </w:tc>
        <w:tc>
          <w:tcPr>
            <w:tcW w:w="300" w:type="dxa"/>
            <w:vAlign w:val="bottom"/>
            <w:tcBorders>
              <w:top w:val="single" w:sz="8" w:color="0000FF"/>
            </w:tcBorders>
            <w:gridSpan w:val="4"/>
          </w:tcPr>
          <w:p>
            <w:pPr>
              <w:spacing w:after="0"/>
              <w:rPr>
                <w:sz w:val="8"/>
                <w:szCs w:val="8"/>
                <w:color w:val="auto"/>
              </w:rPr>
            </w:pPr>
          </w:p>
        </w:tc>
        <w:tc>
          <w:tcPr>
            <w:tcW w:w="1300" w:type="dxa"/>
            <w:vAlign w:val="bottom"/>
            <w:tcBorders>
              <w:top w:val="single" w:sz="8" w:color="0000FF"/>
            </w:tcBorders>
            <w:gridSpan w:val="21"/>
          </w:tcPr>
          <w:p>
            <w:pPr>
              <w:spacing w:after="0"/>
              <w:rPr>
                <w:sz w:val="8"/>
                <w:szCs w:val="8"/>
                <w:color w:val="auto"/>
              </w:rPr>
            </w:pPr>
          </w:p>
        </w:tc>
        <w:tc>
          <w:tcPr>
            <w:tcW w:w="80" w:type="dxa"/>
            <w:vAlign w:val="bottom"/>
            <w:tcBorders>
              <w:top w:val="single" w:sz="8" w:color="0000FF"/>
            </w:tcBorders>
            <w:gridSpan w:val="2"/>
          </w:tcPr>
          <w:p>
            <w:pPr>
              <w:spacing w:after="0"/>
              <w:rPr>
                <w:sz w:val="8"/>
                <w:szCs w:val="8"/>
                <w:color w:val="auto"/>
              </w:rPr>
            </w:pPr>
          </w:p>
        </w:tc>
        <w:tc>
          <w:tcPr>
            <w:tcW w:w="540" w:type="dxa"/>
            <w:vAlign w:val="bottom"/>
            <w:tcBorders>
              <w:top w:val="single" w:sz="8" w:color="0000FF"/>
            </w:tcBorders>
            <w:gridSpan w:val="9"/>
          </w:tcPr>
          <w:p>
            <w:pPr>
              <w:spacing w:after="0"/>
              <w:rPr>
                <w:sz w:val="8"/>
                <w:szCs w:val="8"/>
                <w:color w:val="auto"/>
              </w:rPr>
            </w:pPr>
          </w:p>
        </w:tc>
        <w:tc>
          <w:tcPr>
            <w:tcW w:w="360" w:type="dxa"/>
            <w:vAlign w:val="bottom"/>
            <w:tcBorders>
              <w:top w:val="single" w:sz="8" w:color="0000FF"/>
            </w:tcBorders>
            <w:gridSpan w:val="7"/>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8"/>
              </w:rPr>
            </w:pPr>
            <w:hyperlink r:id="rId73">
              <w:r>
                <w:rPr>
                  <w:rFonts w:ascii="Arial" w:cs="Arial" w:eastAsia="Arial" w:hAnsi="Arial"/>
                  <w:sz w:val="13"/>
                  <w:szCs w:val="13"/>
                  <w:color w:val="0000FF"/>
                  <w:w w:val="98"/>
                </w:rPr>
                <w:t>Description of USCB Financial Holdings, Inc.’s securities (incorporated by reference to Exhibit4.4 to the Registrant's Annual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40" w:type="dxa"/>
            <w:vAlign w:val="bottom"/>
            <w:tcBorders>
              <w:bottom w:val="single" w:sz="8" w:color="0000FF"/>
            </w:tcBorders>
            <w:gridSpan w:val="102"/>
          </w:tcPr>
          <w:p>
            <w:pPr>
              <w:spacing w:after="0" w:line="129" w:lineRule="exact"/>
              <w:rPr>
                <w:rFonts w:ascii="Arial" w:cs="Arial" w:eastAsia="Arial" w:hAnsi="Arial"/>
                <w:sz w:val="13"/>
                <w:szCs w:val="13"/>
                <w:color w:val="0000FF"/>
                <w:w w:val="97"/>
              </w:rPr>
            </w:pPr>
            <w:hyperlink r:id="rId73">
              <w:r>
                <w:rPr>
                  <w:rFonts w:ascii="Arial" w:cs="Arial" w:eastAsia="Arial" w:hAnsi="Arial"/>
                  <w:sz w:val="13"/>
                  <w:szCs w:val="13"/>
                  <w:color w:val="0000FF"/>
                  <w:w w:val="97"/>
                </w:rPr>
                <w:t>Report on Form 10-K (File No. 001-41196) filed with the Securities and Exchange Commission on March 22, 2024).</w:t>
              </w:r>
            </w:hyperlink>
          </w:p>
        </w:tc>
        <w:tc>
          <w:tcPr>
            <w:tcW w:w="4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2"/>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91"/>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auto"/>
                <w:w w:val="97"/>
              </w:rPr>
              <w:t>The following financial statements from the Company’s Quarterly Report on Form 10-Q for the quarter ended June 30, 2024</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auto"/>
              </w:rPr>
              <w:t>formatted in Inline XBRL: (i) Consolidated Balance Sheets (unaudited), (ii) Consolidated Statements of Operations</w:t>
            </w:r>
          </w:p>
        </w:tc>
        <w:tc>
          <w:tcPr>
            <w:tcW w:w="0" w:type="dxa"/>
            <w:vAlign w:val="bottom"/>
          </w:tcPr>
          <w:p>
            <w:pPr>
              <w:spacing w:after="0"/>
              <w:rPr>
                <w:sz w:val="1"/>
                <w:szCs w:val="1"/>
                <w:color w:val="auto"/>
              </w:rPr>
            </w:pPr>
          </w:p>
        </w:tc>
      </w:tr>
    </w:tbl>
    <w:p>
      <w:pPr>
        <w:jc w:val="both"/>
        <w:ind w:left="1480" w:right="619"/>
        <w:spacing w:after="0" w:line="234" w:lineRule="auto"/>
        <w:rPr>
          <w:sz w:val="20"/>
          <w:szCs w:val="20"/>
          <w:color w:val="auto"/>
        </w:rPr>
      </w:pPr>
      <w:r>
        <w:rPr>
          <w:rFonts w:ascii="Arial" w:cs="Arial" w:eastAsia="Arial" w:hAnsi="Arial"/>
          <w:sz w:val="13"/>
          <w:szCs w:val="13"/>
          <w:color w:val="auto"/>
        </w:rPr>
        <w:t>(unaudited), (iii) Consolidated Statements of Comprehensive Income (unaudited), (iv)Consolidated Statements of Changes in Stockholders’ Equity (unaudited), (v) Consolidated Statements of Cash Flows (unaudited), (vi) Notes to Consolidated Financial Statements (unaudited).</w:t>
      </w:r>
    </w:p>
    <w:p>
      <w:pPr>
        <w:ind w:left="1280" w:right="2499" w:hanging="596"/>
        <w:spacing w:after="0" w:line="390" w:lineRule="auto"/>
        <w:tabs>
          <w:tab w:leader="none" w:pos="1483"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ind w:left="1480" w:hanging="251"/>
        <w:spacing w:after="0"/>
        <w:tabs>
          <w:tab w:leader="none" w:pos="14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Furnished herby.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USCB FINANCIAL HOLDINGS, INC.</w:t>
            </w: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77"/>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2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August 12, 2024</w:t>
            </w:r>
          </w:p>
        </w:tc>
      </w:tr>
      <w:tr>
        <w:trPr>
          <w:trHeight w:val="177"/>
        </w:trPr>
        <w:tc>
          <w:tcPr>
            <w:tcW w:w="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4"/>
          </w:tcPr>
          <w:p>
            <w:pPr>
              <w:ind w:left="60"/>
              <w:spacing w:after="0"/>
              <w:rPr>
                <w:sz w:val="20"/>
                <w:szCs w:val="20"/>
                <w:color w:val="auto"/>
              </w:rPr>
            </w:pPr>
            <w:r>
              <w:rPr>
                <w:rFonts w:ascii="Arial" w:cs="Arial" w:eastAsia="Arial" w:hAnsi="Arial"/>
                <w:sz w:val="14"/>
                <w:szCs w:val="14"/>
                <w:color w:val="auto"/>
              </w:rPr>
              <w:t>Executive Vice President and Chief Financial</w:t>
            </w:r>
          </w:p>
        </w:tc>
      </w:tr>
      <w:tr>
        <w:trPr>
          <w:trHeight w:val="174"/>
        </w:trPr>
        <w:tc>
          <w:tcPr>
            <w:tcW w:w="20" w:type="dxa"/>
            <w:vAlign w:val="bottom"/>
          </w:tcPr>
          <w:p>
            <w:pPr>
              <w:spacing w:after="0"/>
              <w:rPr>
                <w:sz w:val="15"/>
                <w:szCs w:val="15"/>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August 12, 2024</w:t>
            </w:r>
          </w:p>
        </w:tc>
      </w:tr>
      <w:tr>
        <w:trPr>
          <w:trHeight w:val="147"/>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ind w:left="60"/>
              <w:spacing w:after="0" w:line="147" w:lineRule="exact"/>
              <w:rPr>
                <w:sz w:val="20"/>
                <w:szCs w:val="20"/>
                <w:color w:val="auto"/>
              </w:rPr>
            </w:pPr>
            <w:r>
              <w:rPr>
                <w:rFonts w:ascii="Arial" w:cs="Arial" w:eastAsia="Arial" w:hAnsi="Arial"/>
                <w:sz w:val="14"/>
                <w:szCs w:val="14"/>
                <w:color w:val="auto"/>
              </w:rPr>
              <w:t>(Principal Financial Officer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Q2 2024 Form 10-Q</w:t>
      </w:r>
    </w:p>
    <w:p>
      <w:pPr>
        <w:sectPr>
          <w:pgSz w:w="11900" w:h="16838" w:orient="portrait"/>
          <w:cols w:equalWidth="0" w:num="1">
            <w:col w:w="9019"/>
          </w:cols>
          <w:pgMar w:left="1440" w:top="477" w:right="1440" w:bottom="1440" w:gutter="0" w:footer="0" w:header="0"/>
        </w:sectPr>
      </w:pPr>
    </w:p>
    <w:bookmarkStart w:id="57" w:name="page58"/>
    <w:bookmarkEnd w:id="57"/>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12, 2024</w:t>
      </w:r>
    </w:p>
    <w:p>
      <w:pPr>
        <w:sectPr>
          <w:pgSz w:w="11900" w:h="16838" w:orient="portrait"/>
          <w:cols w:equalWidth="0" w:num="1">
            <w:col w:w="9019"/>
          </w:cols>
          <w:pgMar w:left="1440" w:top="723" w:right="1440" w:bottom="1440" w:gutter="0" w:footer="0" w:header="0"/>
        </w:sectPr>
      </w:pPr>
    </w:p>
    <w:bookmarkStart w:id="58" w:name="page59"/>
    <w:bookmarkEnd w:id="58"/>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12, 2024</w:t>
      </w:r>
    </w:p>
    <w:p>
      <w:pPr>
        <w:sectPr>
          <w:pgSz w:w="11900" w:h="16838" w:orient="portrait"/>
          <w:cols w:equalWidth="0" w:num="1">
            <w:col w:w="9019"/>
          </w:cols>
          <w:pgMar w:left="1440" w:top="723" w:right="1440" w:bottom="1440" w:gutter="0" w:footer="0" w:header="0"/>
        </w:sectPr>
      </w:pPr>
    </w:p>
    <w:bookmarkStart w:id="59" w:name="page60"/>
    <w:bookmarkEnd w:id="59"/>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2024, as filed with the Securities and Exchange Commission on the date hereof (the “Report”), I, Luis de la Aguilera, as President and Chief Executive Officer of the Company, certify, to the best of my knowledge, pursuant to 18 U.S.C. §1350, as adopted pursuant to Section 906 of the Sarbanes -Oxley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12, 2024</w:t>
      </w:r>
    </w:p>
    <w:p>
      <w:pPr>
        <w:sectPr>
          <w:pgSz w:w="11900" w:h="16838" w:orient="portrait"/>
          <w:cols w:equalWidth="0" w:num="1">
            <w:col w:w="9019"/>
          </w:cols>
          <w:pgMar w:left="1440" w:top="723" w:right="1440" w:bottom="1440" w:gutter="0" w:footer="0" w:header="0"/>
        </w:sectPr>
      </w:pPr>
    </w:p>
    <w:bookmarkStart w:id="60" w:name="page61"/>
    <w:bookmarkEnd w:id="6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2024,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12, 2024</w:t>
      </w:r>
    </w:p>
    <w:p>
      <w:pPr>
        <w:sectPr>
          <w:pgSz w:w="11900" w:h="16838" w:orient="portrait"/>
          <w:cols w:equalWidth="0" w:num="1">
            <w:col w:w="9019"/>
          </w:cols>
          <w:pgMar w:left="1440" w:top="723" w:right="1440"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9"/>
    </w:lvl>
  </w:abstractNum>
  <w:abstractNum w:abstractNumId="13">
    <w:nsid w:val="8EDBDAB"/>
    <w:multiLevelType w:val="hybridMultilevel"/>
    <w:lvl w:ilvl="0">
      <w:lvlJc w:val="left"/>
      <w:lvlText w:val="%1."/>
      <w:numFmt w:val="decimal"/>
      <w:start w:val="10"/>
    </w:lvl>
  </w:abstractNum>
  <w:abstractNum w:abstractNumId="14">
    <w:nsid w:val="79838CB2"/>
    <w:multiLevelType w:val="hybridMultilevel"/>
    <w:lvl w:ilvl="0">
      <w:lvlJc w:val="left"/>
      <w:lvlText w:val="%1."/>
      <w:numFmt w:val="decimal"/>
      <w:start w:val="1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Roman"/>
      <w:start w:val="2"/>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04"/>
    </w:lvl>
    <w:lvl w:ilvl="1">
      <w:lvlJc w:val="left"/>
      <w:lvlText w:val="*"/>
      <w:numFmt w:val="bullet"/>
      <w:start w:val="1"/>
    </w:lvl>
  </w:abstractNum>
  <w:abstractNum w:abstractNumId="30">
    <w:nsid w:val="4516DDE9"/>
    <w:multiLevelType w:val="hybridMultilevel"/>
    <w:lvl w:ilvl="0">
      <w:lvlJc w:val="left"/>
      <w:lvlText w:val="%1"/>
      <w:numFmt w:val="decimal"/>
      <w:start w:val="1"/>
    </w:lvl>
    <w:lvl w:ilvl="1">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66" Type="http://schemas.openxmlformats.org/officeDocument/2006/relationships/hyperlink" Target="http://www.sec.gov/Archives/edgar/data/0001901637/000119312521369812/d628417dex21.htm" TargetMode="External"/><Relationship Id="rId67" Type="http://schemas.openxmlformats.org/officeDocument/2006/relationships/hyperlink" Target="http://www.sec.gov/Archives/edgar/data/1901637/000156276223000333/exhibit31.htm" TargetMode="External"/><Relationship Id="rId68" Type="http://schemas.openxmlformats.org/officeDocument/2006/relationships/hyperlink" Target="http://www.sec.gov/Archives/edgar/data/1901637/000092708923000110/ex_549234.htm" TargetMode="External"/><Relationship Id="rId69" Type="http://schemas.openxmlformats.org/officeDocument/2006/relationships/hyperlink" Target="http://www.sec.gov/Archives/edgar/data/0001901637/000119312521369812/d628417dex41.htm" TargetMode="External"/><Relationship Id="rId70" Type="http://schemas.openxmlformats.org/officeDocument/2006/relationships/hyperlink" Target="http://www.sec.gov/Archives/edgar/data/0001901637/000119312521369812/d628417dex42.htm" TargetMode="External"/><Relationship Id="rId71" Type="http://schemas.openxmlformats.org/officeDocument/2006/relationships/hyperlink" Target="http://www.sec.gov/Archives/edgar/data/0001901637/000119312521369812/d628417dex43.htm" TargetMode="External"/><Relationship Id="rId72" Type="http://schemas.openxmlformats.org/officeDocument/2006/relationships/hyperlink" Target="http://www.sec.gov/Archives/edgar/data/1901637/000156276222000137/exhibit44.htm" TargetMode="External"/><Relationship Id="rId73" Type="http://schemas.openxmlformats.org/officeDocument/2006/relationships/hyperlink" Target="http://www.sec.gov/Archives/edgar/data/1901637/000156276224000061/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2024-08-12T14:12:35Z</dcterms:created>
  <dcterms:modified xsi:type="dcterms:W3CDTF">2024-08-12T14:12:35Z</dcterms:modified>
</cp:coreProperties>
</file>