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15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563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Robert B.</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3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Borders>
              <w:top w:val="single" w:sz="8" w:color="2C2C2C"/>
            </w:tcBorders>
          </w:tcPr>
          <w:p>
            <w:pPr>
              <w:spacing w:after="0"/>
              <w:rPr>
                <w:sz w:val="5"/>
                <w:szCs w:val="5"/>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4"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Executive VP and CFO</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05/23/2024</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05/23/2024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7,000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12.12</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jc w:val="right"/>
              <w:ind w:right="236"/>
              <w:spacing w:after="0"/>
              <w:rPr>
                <w:sz w:val="20"/>
                <w:szCs w:val="20"/>
                <w:color w:val="auto"/>
              </w:rPr>
            </w:pPr>
            <w:r>
              <w:rPr>
                <w:rFonts w:ascii="Times New Roman" w:cs="Times New Roman" w:eastAsia="Times New Roman" w:hAnsi="Times New Roman"/>
                <w:sz w:val="17"/>
                <w:szCs w:val="17"/>
                <w:color w:val="0000FF"/>
              </w:rPr>
              <w:t>86,933</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05/24/2024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271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11.94</w:t>
            </w:r>
            <w:r>
              <w:rPr>
                <w:rFonts w:ascii="Times New Roman" w:cs="Times New Roman" w:eastAsia="Times New Roman" w:hAnsi="Times New Roman"/>
                <w:sz w:val="21"/>
                <w:szCs w:val="21"/>
                <w:color w:val="008000"/>
                <w:vertAlign w:val="superscript"/>
              </w:rPr>
              <w:t>(2)</w:t>
            </w:r>
          </w:p>
        </w:tc>
        <w:tc>
          <w:tcPr>
            <w:tcW w:w="1100" w:type="dxa"/>
            <w:vAlign w:val="bottom"/>
            <w:tcBorders>
              <w:bottom w:val="single" w:sz="8" w:color="2C2C2C"/>
            </w:tcBorders>
          </w:tcPr>
          <w:p>
            <w:pPr>
              <w:jc w:val="center"/>
              <w:ind w:right="156"/>
              <w:spacing w:after="0"/>
              <w:rPr>
                <w:sz w:val="20"/>
                <w:szCs w:val="20"/>
                <w:color w:val="auto"/>
              </w:rPr>
            </w:pPr>
            <w:r>
              <w:rPr>
                <w:rFonts w:ascii="Times New Roman" w:cs="Times New Roman" w:eastAsia="Times New Roman" w:hAnsi="Times New Roman"/>
                <w:sz w:val="17"/>
                <w:szCs w:val="17"/>
                <w:color w:val="0000FF"/>
              </w:rPr>
              <w:t>87,204</w:t>
            </w:r>
            <w:r>
              <w:rPr>
                <w:rFonts w:ascii="Times New Roman" w:cs="Times New Roman" w:eastAsia="Times New Roman" w:hAnsi="Times New Roman"/>
                <w:sz w:val="21"/>
                <w:szCs w:val="21"/>
                <w:color w:val="008000"/>
                <w:vertAlign w:val="superscript"/>
              </w:rPr>
              <w:t>(3)</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8.75</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09/10/2030</w:t>
            </w: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700" w:type="dxa"/>
            <w:vAlign w:val="bottom"/>
          </w:tcPr>
          <w:p>
            <w:pPr>
              <w:spacing w:after="0"/>
              <w:rPr>
                <w:sz w:val="11"/>
                <w:szCs w:val="11"/>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09/10/2021</w:t>
            </w:r>
          </w:p>
        </w:tc>
        <w:tc>
          <w:tcPr>
            <w:tcW w:w="640" w:type="dxa"/>
            <w:vAlign w:val="bottom"/>
            <w:vMerge w:val="continue"/>
          </w:tcPr>
          <w:p>
            <w:pPr>
              <w:spacing w:after="0"/>
              <w:rPr>
                <w:sz w:val="13"/>
                <w:szCs w:val="1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60,000</w:t>
            </w:r>
          </w:p>
        </w:tc>
        <w:tc>
          <w:tcPr>
            <w:tcW w:w="700" w:type="dxa"/>
            <w:vAlign w:val="bottom"/>
          </w:tcPr>
          <w:p>
            <w:pPr>
              <w:spacing w:after="0"/>
              <w:rPr>
                <w:sz w:val="11"/>
                <w:szCs w:val="11"/>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60,000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09/27/2022</w:t>
            </w:r>
          </w:p>
        </w:tc>
        <w:tc>
          <w:tcPr>
            <w:tcW w:w="640" w:type="dxa"/>
            <w:vAlign w:val="bottom"/>
            <w:vMerge w:val="continue"/>
          </w:tcPr>
          <w:p>
            <w:pPr>
              <w:spacing w:after="0"/>
              <w:rPr>
                <w:sz w:val="13"/>
                <w:szCs w:val="1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$11.86 to $12.20, inclusive. The reporting person undertakes to provide to USCB Financial Holdings, Inc. ("USCB"), any securities holder of USCB,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$11.69 to $12.00, inclusive. The reporting person undertakes to provide to USCB, any securities holder of USCB,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4,127 shares of restricted stock which vest at a rate of one-third per year commencing on the first anniversary of the date of grant, which was 1/22/2024, and 5,367 shares of restricted stock which vest at a rate of one-third per year commencing on the first anniversary of the date of grant, which was 3/8/2023.</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at a rate of one-third per year commencing on the first anniversary of the date of grant, which was 9/10/2020.</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Anderson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05/24/2024</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230"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2024-05-24T13:57:12Z</dcterms:created>
  <dcterms:modified xsi:type="dcterms:W3CDTF">2024-05-24T13:57:12Z</dcterms:modified>
</cp:coreProperties>
</file>