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1720" w:type="dxa"/>
            <w:vAlign w:val="bottom"/>
          </w:tcPr>
          <w:p>
            <w:pPr>
              <w:spacing w:after="0"/>
              <w:rPr>
                <w:sz w:val="20"/>
                <w:szCs w:val="20"/>
                <w:color w:val="auto"/>
              </w:rPr>
            </w:pPr>
          </w:p>
        </w:tc>
        <w:tc>
          <w:tcPr>
            <w:tcW w:w="2680" w:type="dxa"/>
            <w:vAlign w:val="bottom"/>
            <w:tcBorders>
              <w:bottom w:val="single" w:sz="8" w:color="auto"/>
            </w:tcBorders>
            <w:gridSpan w:val="2"/>
          </w:tcPr>
          <w:p>
            <w:pPr>
              <w:jc w:val="right"/>
              <w:ind w:right="1540"/>
              <w:spacing w:after="0"/>
              <w:rPr>
                <w:sz w:val="20"/>
                <w:szCs w:val="20"/>
                <w:color w:val="auto"/>
              </w:rPr>
            </w:pPr>
            <w:r>
              <w:rPr>
                <w:rFonts w:ascii="Times New Roman" w:cs="Times New Roman" w:eastAsia="Times New Roman" w:hAnsi="Times New Roman"/>
                <w:sz w:val="18"/>
                <w:szCs w:val="18"/>
                <w:color w:val="auto"/>
                <w:w w:val="97"/>
              </w:rPr>
              <w:t>March 28, 2022</w:t>
            </w:r>
          </w:p>
        </w:tc>
        <w:tc>
          <w:tcPr>
            <w:tcW w:w="3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26"/>
        </w:trPr>
        <w:tc>
          <w:tcPr>
            <w:tcW w:w="37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USCB Financial Holdings, Inc.</w:t>
            </w:r>
          </w:p>
        </w:tc>
        <w:tc>
          <w:tcPr>
            <w:tcW w:w="3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3740" w:type="dxa"/>
            <w:vAlign w:val="bottom"/>
          </w:tcPr>
          <w:p>
            <w:pPr>
              <w:spacing w:after="0"/>
              <w:rPr>
                <w:sz w:val="19"/>
                <w:szCs w:val="19"/>
                <w:color w:val="auto"/>
              </w:rPr>
            </w:pPr>
          </w:p>
        </w:tc>
        <w:tc>
          <w:tcPr>
            <w:tcW w:w="440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4400" w:type="dxa"/>
            <w:vAlign w:val="bottom"/>
            <w:tcBorders>
              <w:bottom w:val="single" w:sz="8" w:color="auto"/>
            </w:tcBorders>
            <w:gridSpan w:val="3"/>
          </w:tcPr>
          <w:p>
            <w:pPr>
              <w:jc w:val="right"/>
              <w:ind w:right="1960"/>
              <w:spacing w:after="0"/>
              <w:rPr>
                <w:sz w:val="20"/>
                <w:szCs w:val="20"/>
                <w:color w:val="auto"/>
              </w:rPr>
            </w:pPr>
            <w:r>
              <w:rPr>
                <w:rFonts w:ascii="Times New Roman" w:cs="Times New Roman" w:eastAsia="Times New Roman" w:hAnsi="Times New Roman"/>
                <w:sz w:val="18"/>
                <w:szCs w:val="18"/>
                <w:color w:val="auto"/>
              </w:rPr>
              <w:t>001-41196</w:t>
            </w:r>
          </w:p>
        </w:tc>
        <w:tc>
          <w:tcPr>
            <w:tcW w:w="310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87-4070846</w:t>
            </w:r>
          </w:p>
        </w:tc>
        <w:tc>
          <w:tcPr>
            <w:tcW w:w="20" w:type="dxa"/>
            <w:vAlign w:val="bottom"/>
          </w:tcPr>
          <w:p>
            <w:pPr>
              <w:spacing w:after="0"/>
              <w:rPr>
                <w:sz w:val="24"/>
                <w:szCs w:val="24"/>
                <w:color w:val="auto"/>
              </w:rPr>
            </w:pPr>
          </w:p>
        </w:tc>
      </w:tr>
      <w:tr>
        <w:trPr>
          <w:trHeight w:val="191"/>
        </w:trPr>
        <w:tc>
          <w:tcPr>
            <w:tcW w:w="3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400" w:type="dxa"/>
            <w:vAlign w:val="bottom"/>
            <w:gridSpan w:val="3"/>
          </w:tcPr>
          <w:p>
            <w:pPr>
              <w:jc w:val="center"/>
              <w:ind w:right="30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100" w:type="dxa"/>
            <w:vAlign w:val="bottom"/>
          </w:tcPr>
          <w:p>
            <w:pPr>
              <w:jc w:val="center"/>
              <w:ind w:right="370"/>
              <w:spacing w:after="0" w:line="191" w:lineRule="exact"/>
              <w:rPr>
                <w:sz w:val="20"/>
                <w:szCs w:val="20"/>
                <w:color w:val="auto"/>
              </w:rPr>
            </w:pPr>
            <w:r>
              <w:rPr>
                <w:rFonts w:ascii="Times New Roman" w:cs="Times New Roman" w:eastAsia="Times New Roman" w:hAnsi="Times New Roman"/>
                <w:sz w:val="18"/>
                <w:szCs w:val="18"/>
                <w:color w:val="auto"/>
                <w:w w:val="98"/>
              </w:rPr>
              <w:t>(IRS Employer</w:t>
            </w:r>
          </w:p>
        </w:tc>
        <w:tc>
          <w:tcPr>
            <w:tcW w:w="20" w:type="dxa"/>
            <w:vAlign w:val="bottom"/>
          </w:tcPr>
          <w:p>
            <w:pPr>
              <w:spacing w:after="0"/>
              <w:rPr>
                <w:sz w:val="16"/>
                <w:szCs w:val="16"/>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1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1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2301 N.W. 87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Miami, Florida</w:t>
            </w:r>
          </w:p>
        </w:tc>
        <w:tc>
          <w:tcPr>
            <w:tcW w:w="17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33172</w:t>
            </w:r>
          </w:p>
        </w:tc>
        <w:tc>
          <w:tcPr>
            <w:tcW w:w="20" w:type="dxa"/>
            <w:vAlign w:val="bottom"/>
          </w:tcPr>
          <w:p>
            <w:pPr>
              <w:spacing w:after="0"/>
              <w:rPr>
                <w:sz w:val="24"/>
                <w:szCs w:val="24"/>
                <w:color w:val="auto"/>
              </w:rPr>
            </w:pP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r>
        <w:trPr>
          <w:trHeight w:val="4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440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(305) 715-5200</w:t>
            </w: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14"/>
        </w:trPr>
        <w:tc>
          <w:tcPr>
            <w:tcW w:w="1380" w:type="dxa"/>
            <w:vAlign w:val="bottom"/>
          </w:tcPr>
          <w:p>
            <w:pPr>
              <w:spacing w:after="0"/>
              <w:rPr>
                <w:sz w:val="24"/>
                <w:szCs w:val="24"/>
                <w:color w:val="auto"/>
              </w:rPr>
            </w:pPr>
          </w:p>
        </w:tc>
        <w:tc>
          <w:tcPr>
            <w:tcW w:w="34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Trading</w:t>
            </w:r>
          </w:p>
        </w:tc>
        <w:tc>
          <w:tcPr>
            <w:tcW w:w="3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138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312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1380" w:type="dxa"/>
            <w:vAlign w:val="bottom"/>
          </w:tcPr>
          <w:p>
            <w:pPr>
              <w:spacing w:after="0"/>
              <w:rPr>
                <w:sz w:val="18"/>
                <w:szCs w:val="18"/>
                <w:color w:val="auto"/>
              </w:rPr>
            </w:pPr>
          </w:p>
        </w:tc>
        <w:tc>
          <w:tcPr>
            <w:tcW w:w="34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Common Stock</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USCB</w:t>
            </w:r>
          </w:p>
        </w:tc>
        <w:tc>
          <w:tcPr>
            <w:tcW w:w="312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12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5.02</w:t>
            </w:r>
          </w:p>
        </w:tc>
        <w:tc>
          <w:tcPr>
            <w:tcW w:w="9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w:t>
            </w:r>
          </w:p>
        </w:tc>
      </w:tr>
      <w:tr>
        <w:trPr>
          <w:trHeight w:val="196"/>
        </w:trPr>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Arrangements of Certain Officers.</w:t>
            </w:r>
          </w:p>
        </w:tc>
      </w:tr>
      <w:tr>
        <w:trPr>
          <w:trHeight w:val="434"/>
        </w:trPr>
        <w:tc>
          <w:tcPr>
            <w:tcW w:w="920" w:type="dxa"/>
            <w:vAlign w:val="bottom"/>
          </w:tcPr>
          <w:p>
            <w:pPr>
              <w:spacing w:after="0"/>
              <w:rPr>
                <w:sz w:val="24"/>
                <w:szCs w:val="24"/>
                <w:color w:val="auto"/>
              </w:rPr>
            </w:pPr>
          </w:p>
        </w:tc>
        <w:tc>
          <w:tcPr>
            <w:tcW w:w="1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w:t>
            </w:r>
          </w:p>
        </w:tc>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646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1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w:t>
            </w: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920" w:type="dxa"/>
            <w:vAlign w:val="bottom"/>
          </w:tcPr>
          <w:p>
            <w:pPr>
              <w:spacing w:after="0"/>
              <w:rPr>
                <w:sz w:val="18"/>
                <w:szCs w:val="18"/>
                <w:color w:val="auto"/>
              </w:rPr>
            </w:pPr>
          </w:p>
        </w:tc>
        <w:tc>
          <w:tcPr>
            <w:tcW w:w="1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w:t>
            </w: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920" w:type="dxa"/>
            <w:vAlign w:val="bottom"/>
          </w:tcPr>
          <w:p>
            <w:pPr>
              <w:spacing w:after="0"/>
              <w:rPr>
                <w:sz w:val="18"/>
                <w:szCs w:val="18"/>
                <w:color w:val="auto"/>
              </w:rPr>
            </w:pPr>
          </w:p>
        </w:tc>
        <w:tc>
          <w:tcPr>
            <w:tcW w:w="1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w:t>
            </w: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March 28, 2022, the Board of Directors (the “Board”) of USCB Financial Holdings, Inc. (the “Company”) appointed Mr.</w:t>
            </w:r>
          </w:p>
        </w:tc>
      </w:tr>
      <w:tr>
        <w:trPr>
          <w:trHeight w:val="216"/>
        </w:trPr>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Robert E. Kafafian to the Board of the Company effective, March 28, 2022. Mr. Kafafian’s initial term will expire at the 2022</w:t>
            </w:r>
          </w:p>
        </w:tc>
      </w:tr>
      <w:tr>
        <w:trPr>
          <w:trHeight w:val="216"/>
        </w:trPr>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meeting of shareholders of the Company. Mr. Kafafian was also appointed to the Board of Directors (the “Bank</w:t>
            </w:r>
          </w:p>
        </w:tc>
      </w:tr>
      <w:tr>
        <w:trPr>
          <w:trHeight w:val="216"/>
        </w:trPr>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of U.S. Century Bank (the “Bank”), the Company’s wholly owned subsidiary.</w:t>
            </w:r>
          </w:p>
        </w:tc>
      </w:tr>
      <w:tr>
        <w:trPr>
          <w:trHeight w:val="216"/>
        </w:trPr>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Kafafian was initially appointed as a member of the Asset and Liability Committee of the Bank Board. No determination</w:t>
            </w:r>
          </w:p>
        </w:tc>
      </w:tr>
      <w:tr>
        <w:trPr>
          <w:trHeight w:val="216"/>
        </w:trPr>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has been made as of the date hereof regarding his appointment to other committees of the Board of the Company or of the</w:t>
            </w:r>
          </w:p>
        </w:tc>
      </w:tr>
      <w:tr>
        <w:trPr>
          <w:trHeight w:val="216"/>
        </w:trPr>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Board to which Mr. Kafafian may be appointed.</w:t>
            </w:r>
          </w:p>
        </w:tc>
      </w:tr>
      <w:tr>
        <w:trPr>
          <w:trHeight w:val="216"/>
        </w:trPr>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 are no arrangements or understandings between a director or executive officer of the Company or the Bank and Mr.</w:t>
            </w:r>
          </w:p>
        </w:tc>
      </w:tr>
      <w:tr>
        <w:trPr>
          <w:trHeight w:val="216"/>
        </w:trPr>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Kafafian pursuant to which he was elected as a director of the Company and the Bank.</w:t>
            </w:r>
          </w:p>
        </w:tc>
      </w:tr>
      <w:tr>
        <w:trPr>
          <w:trHeight w:val="216"/>
        </w:trPr>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directors or executive officers of the Company or the Bank are related to Mr. Kafafian by blood, marriage or adoption.</w:t>
            </w:r>
          </w:p>
        </w:tc>
      </w:tr>
      <w:tr>
        <w:trPr>
          <w:trHeight w:val="216"/>
        </w:trPr>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Kafafian has not engaged in any transactions with the Company or any of its subsidiaries that would be required to be</w:t>
            </w:r>
          </w:p>
        </w:tc>
      </w:tr>
      <w:tr>
        <w:trPr>
          <w:trHeight w:val="216"/>
        </w:trPr>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reported under Item 404(a) of Regulation S-K promulgated by the Securities and Exchange Commission.</w:t>
            </w:r>
          </w:p>
        </w:tc>
      </w:tr>
      <w:tr>
        <w:trPr>
          <w:trHeight w:val="216"/>
        </w:trPr>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connection with his appointment, Mr. Kafafian was granted an option covering 5,000 shares of Class A Voting Common</w:t>
            </w:r>
          </w:p>
        </w:tc>
      </w:tr>
      <w:tr>
        <w:trPr>
          <w:trHeight w:val="216"/>
        </w:trPr>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which grant will vest upon the first anniversary of the date of grant (March 31, 2023).</w:t>
            </w:r>
          </w:p>
        </w:tc>
      </w:tr>
      <w:tr>
        <w:trPr>
          <w:trHeight w:val="216"/>
        </w:trPr>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 copy of the press release announcing the election of Mr. Kafafian dated April 1, 2022 is attached hereto as Exhibit 99.1 and</w:t>
            </w:r>
          </w:p>
        </w:tc>
      </w:tr>
      <w:tr>
        <w:trPr>
          <w:trHeight w:val="216"/>
        </w:trPr>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 incorporated herein by reference thereto.</w:t>
            </w:r>
          </w:p>
        </w:tc>
      </w:tr>
      <w:tr>
        <w:trPr>
          <w:trHeight w:val="216"/>
        </w:trPr>
        <w:tc>
          <w:tcPr>
            <w:tcW w:w="920" w:type="dxa"/>
            <w:vAlign w:val="bottom"/>
          </w:tcPr>
          <w:p>
            <w:pPr>
              <w:spacing w:after="0"/>
              <w:rPr>
                <w:sz w:val="18"/>
                <w:szCs w:val="18"/>
                <w:color w:val="auto"/>
              </w:rPr>
            </w:pPr>
          </w:p>
        </w:tc>
        <w:tc>
          <w:tcPr>
            <w:tcW w:w="1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w:t>
            </w: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34"/>
        </w:trPr>
        <w:tc>
          <w:tcPr>
            <w:tcW w:w="920" w:type="dxa"/>
            <w:vAlign w:val="bottom"/>
          </w:tcPr>
          <w:p>
            <w:pPr>
              <w:spacing w:after="0"/>
              <w:rPr>
                <w:sz w:val="20"/>
                <w:szCs w:val="20"/>
                <w:color w:val="auto"/>
              </w:rPr>
            </w:pPr>
          </w:p>
        </w:tc>
        <w:tc>
          <w:tcPr>
            <w:tcW w:w="1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w:t>
            </w:r>
          </w:p>
        </w:tc>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r>
    </w:tbl>
    <w:p>
      <w:pPr>
        <w:spacing w:after="0" w:line="194" w:lineRule="exact"/>
        <w:rPr>
          <w:sz w:val="20"/>
          <w:szCs w:val="20"/>
          <w:color w:val="auto"/>
        </w:rPr>
      </w:pPr>
    </w:p>
    <w:p>
      <w:pPr>
        <w:spacing w:after="0"/>
        <w:tabs>
          <w:tab w:leader="none" w:pos="1400" w:val="left"/>
          <w:tab w:leader="none" w:pos="2160"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8"/>
          <w:szCs w:val="18"/>
          <w:b w:val="1"/>
          <w:bCs w:val="1"/>
          <w:color w:val="auto"/>
        </w:rPr>
        <w:t>9.01</w:t>
      </w:r>
      <w:r>
        <w:rPr>
          <w:sz w:val="20"/>
          <w:szCs w:val="20"/>
          <w:color w:val="auto"/>
        </w:rPr>
        <w:tab/>
      </w:r>
      <w:r>
        <w:rPr>
          <w:rFonts w:ascii="Times New Roman" w:cs="Times New Roman" w:eastAsia="Times New Roman" w:hAnsi="Times New Roman"/>
          <w:sz w:val="18"/>
          <w:szCs w:val="18"/>
          <w:b w:val="1"/>
          <w:bCs w:val="1"/>
          <w:u w:val="single" w:color="auto"/>
          <w:color w:val="auto"/>
        </w:rPr>
        <w:t>Financial Statements and Exhibits</w:t>
      </w:r>
    </w:p>
    <w:p>
      <w:pPr>
        <w:spacing w:after="0" w:line="31" w:lineRule="exact"/>
        <w:rPr>
          <w:sz w:val="20"/>
          <w:szCs w:val="20"/>
          <w:color w:val="auto"/>
        </w:rPr>
      </w:pPr>
    </w:p>
    <w:p>
      <w:pPr>
        <w:ind w:left="2180" w:hanging="768"/>
        <w:spacing w:after="0"/>
        <w:tabs>
          <w:tab w:leader="none" w:pos="2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2180" w:hanging="768"/>
        <w:spacing w:after="0"/>
        <w:tabs>
          <w:tab w:leader="none" w:pos="2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2180" w:hanging="768"/>
        <w:spacing w:after="0"/>
        <w:tabs>
          <w:tab w:leader="none" w:pos="2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2180" w:hanging="768"/>
        <w:spacing w:after="0"/>
        <w:tabs>
          <w:tab w:leader="none" w:pos="2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0" w:type="dxa"/>
            <w:vAlign w:val="bottom"/>
          </w:tcPr>
          <w:p>
            <w:pPr>
              <w:jc w:val="right"/>
              <w:ind w:right="113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Press Release dated April 1, 2022</w:t>
              </w:r>
            </w:hyperlink>
          </w:p>
        </w:tc>
        <w:tc>
          <w:tcPr>
            <w:tcW w:w="5360" w:type="dxa"/>
            <w:vAlign w:val="bottom"/>
          </w:tcPr>
          <w:p>
            <w:pPr>
              <w:spacing w:after="0"/>
              <w:rPr>
                <w:sz w:val="17"/>
                <w:szCs w:val="17"/>
                <w:color w:val="auto"/>
              </w:rPr>
            </w:pPr>
          </w:p>
        </w:tc>
      </w:tr>
      <w:tr>
        <w:trPr>
          <w:trHeight w:val="237"/>
        </w:trPr>
        <w:tc>
          <w:tcPr>
            <w:tcW w:w="3460" w:type="dxa"/>
            <w:vAlign w:val="bottom"/>
            <w:gridSpan w:val="3"/>
          </w:tcPr>
          <w:p>
            <w:pPr>
              <w:jc w:val="right"/>
              <w:ind w:right="1150"/>
              <w:spacing w:after="0"/>
              <w:rPr>
                <w:sz w:val="20"/>
                <w:szCs w:val="20"/>
                <w:color w:val="auto"/>
              </w:rPr>
            </w:pPr>
            <w:r>
              <w:rPr>
                <w:rFonts w:ascii="Times New Roman" w:cs="Times New Roman" w:eastAsia="Times New Roman" w:hAnsi="Times New Roman"/>
                <w:sz w:val="18"/>
                <w:szCs w:val="18"/>
                <w:color w:val="auto"/>
              </w:rPr>
              <w:t>104</w:t>
            </w: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87"/>
        </w:trPr>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2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1</w:t>
            </w:r>
          </w:p>
        </w:tc>
        <w:tc>
          <w:tcPr>
            <w:tcW w:w="5360" w:type="dxa"/>
            <w:vAlign w:val="bottom"/>
          </w:tcPr>
          <w:p>
            <w:pPr>
              <w:spacing w:after="0"/>
              <w:rPr>
                <w:sz w:val="24"/>
                <w:szCs w:val="24"/>
                <w:color w:val="auto"/>
              </w:rPr>
            </w:pPr>
          </w:p>
        </w:tc>
      </w:tr>
      <w:tr>
        <w:trPr>
          <w:trHeight w:val="103"/>
        </w:trPr>
        <w:tc>
          <w:tcPr>
            <w:tcW w:w="10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536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783" w:right="339" w:bottom="1440" w:gutter="0" w:footer="0" w:header="0"/>
        </w:sectPr>
      </w:pPr>
    </w:p>
    <w:bookmarkStart w:id="2" w:name="page3"/>
    <w:bookmarkEnd w:id="2"/>
    <w:p>
      <w:pPr>
        <w:ind w:left="1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410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/s/Robert Anderson</w:t>
            </w:r>
          </w:p>
        </w:tc>
      </w:tr>
      <w:tr>
        <w:trPr>
          <w:trHeight w:val="191"/>
        </w:trPr>
        <w:tc>
          <w:tcPr>
            <w:tcW w:w="1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6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Anderson</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right"/>
        <w:ind w:right="2760"/>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2905760" cy="848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5760" cy="848995"/>
                    </a:xfrm>
                    <a:prstGeom prst="rect">
                      <a:avLst/>
                    </a:prstGeom>
                    <a:noFill/>
                  </pic:spPr>
                </pic:pic>
              </a:graphicData>
            </a:graphic>
          </wp:anchor>
        </w:drawing>
      </w:r>
    </w:p>
    <w:p>
      <w:pPr>
        <w:spacing w:after="0" w:line="11" w:lineRule="exact"/>
        <w:rPr>
          <w:sz w:val="20"/>
          <w:szCs w:val="20"/>
          <w:color w:val="auto"/>
        </w:rPr>
      </w:pPr>
    </w:p>
    <w:p>
      <w:pPr>
        <w:jc w:val="right"/>
        <w:ind w:right="2760"/>
        <w:spacing w:after="0"/>
        <w:rPr>
          <w:sz w:val="20"/>
          <w:szCs w:val="20"/>
          <w:color w:val="auto"/>
        </w:rPr>
      </w:pPr>
      <w:r>
        <w:rPr>
          <w:rFonts w:ascii="Times New Roman" w:cs="Times New Roman" w:eastAsia="Times New Roman" w:hAnsi="Times New Roman"/>
          <w:sz w:val="18"/>
          <w:szCs w:val="18"/>
          <w:color w:val="auto"/>
        </w:rPr>
        <w:t>Martha Guerra-Kattou</w:t>
      </w:r>
    </w:p>
    <w:p>
      <w:pPr>
        <w:spacing w:after="0" w:line="9" w:lineRule="exact"/>
        <w:rPr>
          <w:sz w:val="20"/>
          <w:szCs w:val="20"/>
          <w:color w:val="auto"/>
        </w:rPr>
      </w:pPr>
    </w:p>
    <w:p>
      <w:pPr>
        <w:jc w:val="right"/>
        <w:ind w:right="2760"/>
        <w:spacing w:after="0"/>
        <w:rPr>
          <w:sz w:val="20"/>
          <w:szCs w:val="20"/>
          <w:color w:val="auto"/>
        </w:rPr>
      </w:pPr>
      <w:r>
        <w:rPr>
          <w:rFonts w:ascii="Times New Roman" w:cs="Times New Roman" w:eastAsia="Times New Roman" w:hAnsi="Times New Roman"/>
          <w:sz w:val="18"/>
          <w:szCs w:val="18"/>
          <w:color w:val="auto"/>
        </w:rPr>
        <w:t>(305) 715-5141</w:t>
      </w:r>
    </w:p>
    <w:p>
      <w:pPr>
        <w:spacing w:after="0" w:line="9" w:lineRule="exact"/>
        <w:rPr>
          <w:sz w:val="20"/>
          <w:szCs w:val="20"/>
          <w:color w:val="auto"/>
        </w:rPr>
      </w:pPr>
    </w:p>
    <w:p>
      <w:pPr>
        <w:jc w:val="right"/>
        <w:ind w:right="2760"/>
        <w:spacing w:after="0"/>
        <w:rPr>
          <w:sz w:val="20"/>
          <w:szCs w:val="20"/>
          <w:color w:val="auto"/>
        </w:rPr>
      </w:pPr>
      <w:r>
        <w:rPr>
          <w:rFonts w:ascii="Times New Roman" w:cs="Times New Roman" w:eastAsia="Times New Roman" w:hAnsi="Times New Roman"/>
          <w:sz w:val="18"/>
          <w:szCs w:val="18"/>
          <w:color w:val="auto"/>
        </w:rPr>
        <w:t>MGuerra@uscentury.com</w:t>
      </w:r>
    </w:p>
    <w:p>
      <w:pPr>
        <w:spacing w:after="0" w:line="9" w:lineRule="exact"/>
        <w:rPr>
          <w:sz w:val="20"/>
          <w:szCs w:val="20"/>
          <w:color w:val="auto"/>
        </w:rPr>
      </w:pPr>
    </w:p>
    <w:p>
      <w:pPr>
        <w:jc w:val="right"/>
        <w:ind w:right="2760"/>
        <w:spacing w:after="0"/>
        <w:rPr>
          <w:sz w:val="20"/>
          <w:szCs w:val="20"/>
          <w:color w:val="auto"/>
        </w:rPr>
      </w:pPr>
      <w:r>
        <w:rPr>
          <w:rFonts w:ascii="Times New Roman" w:cs="Times New Roman" w:eastAsia="Times New Roman" w:hAnsi="Times New Roman"/>
          <w:sz w:val="18"/>
          <w:szCs w:val="18"/>
          <w:color w:val="auto"/>
        </w:rPr>
        <w:t>Aymee Zubizarreta, MBA</w:t>
      </w:r>
    </w:p>
    <w:p>
      <w:pPr>
        <w:spacing w:after="0" w:line="9" w:lineRule="exact"/>
        <w:rPr>
          <w:sz w:val="20"/>
          <w:szCs w:val="20"/>
          <w:color w:val="auto"/>
        </w:rPr>
      </w:pPr>
    </w:p>
    <w:p>
      <w:pPr>
        <w:jc w:val="right"/>
        <w:ind w:right="2760"/>
        <w:spacing w:after="0"/>
        <w:rPr>
          <w:sz w:val="20"/>
          <w:szCs w:val="20"/>
          <w:color w:val="auto"/>
        </w:rPr>
      </w:pPr>
      <w:r>
        <w:rPr>
          <w:rFonts w:ascii="Times New Roman" w:cs="Times New Roman" w:eastAsia="Times New Roman" w:hAnsi="Times New Roman"/>
          <w:sz w:val="18"/>
          <w:szCs w:val="18"/>
          <w:color w:val="auto"/>
        </w:rPr>
        <w:t>(305) 799-0750</w:t>
      </w:r>
    </w:p>
    <w:p>
      <w:pPr>
        <w:spacing w:after="0" w:line="9" w:lineRule="exact"/>
        <w:rPr>
          <w:sz w:val="20"/>
          <w:szCs w:val="20"/>
          <w:color w:val="auto"/>
        </w:rPr>
      </w:pPr>
    </w:p>
    <w:p>
      <w:pPr>
        <w:jc w:val="right"/>
        <w:ind w:right="2760"/>
        <w:spacing w:after="0"/>
        <w:rPr>
          <w:sz w:val="20"/>
          <w:szCs w:val="20"/>
          <w:color w:val="auto"/>
        </w:rPr>
      </w:pPr>
      <w:r>
        <w:rPr>
          <w:rFonts w:ascii="Times New Roman" w:cs="Times New Roman" w:eastAsia="Times New Roman" w:hAnsi="Times New Roman"/>
          <w:sz w:val="18"/>
          <w:szCs w:val="18"/>
          <w:color w:val="auto"/>
        </w:rPr>
        <w:t>AZubizarreta@chemistryagency.com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USCB FINANCIAL HOLDINGS, INC. APPOINTS ROBERT E. KAFAFIAN TO ITS BOARD OF DIRECTORS</w:t>
      </w:r>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Miami, FL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April 1, 2022 </w:t>
      </w:r>
      <w:r>
        <w:rPr>
          <w:rFonts w:ascii="Times New Roman" w:cs="Times New Roman" w:eastAsia="Times New Roman" w:hAnsi="Times New Roman"/>
          <w:sz w:val="18"/>
          <w:szCs w:val="18"/>
          <w:color w:val="auto"/>
        </w:rPr>
        <w:t>– USCB Financial Holdings, Inc. (the “Company”) (NASDAQ: USCB) and its wholly owned subsidiary, U.S. Century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 announced today the appointment of Robert (“Bob”) E. Kafafian as an independent director of both the Company and the Bank. He will also serve on the Bank’s Asset and Liability Committee.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Kafafian is the Founder, Chairman and Chief Executive Officer (“CEO”) of The Kafafian Group, Inc. and a recognized banking industry leader in performance measurement. He has a distinguished 40-year career consulting and advising more than 500 financial institutions across the United States and has been instrumental in the design and development of a nationally recognized bank profitability software product. Mr. Kafafian is a frequent speaker and writer on a variety of banking subjects and is often quoted in banking periodicals. He teaches at numerous state, regional, and national banking schools.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“Bob exemplifies the qualities we are seeking in a new director – a broad and robust knowledge of the banking industry, as well as significant expertise in performance management metrics. His unique insight will help us continue the progress we have made to strengthen our competitive position and profitability,” said Luis de la Aguilera, President and CEO of USCB Financial Holdings, Inc. and U.S. Century Bank.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Kafafian’s previous professional experience includes: President-Consulting Services and Managing Director, Tucker Anthony Capital Markets (now RBC Capital Markets); President &amp; CEO, The Q Group, Inc. (merged with Hopper Soliday &amp; Co./Tucker Anthony Capital Markets); Vice President, Bradford Trust Company (merged into The Bank of New York Mellon Corporation); Director of Budgeting and Profit Planning, United Jersey Bank (merged into Bank of America Corporation); Controller, First National State Bank Corporation (merged into Wells Fargo &amp;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am excited about the opportunity to serve alongside such a talented group of directors,” said Mr. Kafafian. “I have dedicated my career to helping community banks build long-term value for their stakeholders and look forward to working with the talented, committed leadership team at U.S. Century Bank.”</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Kafafian has served as President of the Board of Directors of the Association for Management Information in Financial Services (“AMI</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s”), is a member of the Financial Managers Society Strategic Issues Council, and is a board member of other companies as well as professional, community, and academic organizations. He has also written a book, published by AMI</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 xml:space="preserve">s, entitled </w:t>
      </w:r>
      <w:r>
        <w:rPr>
          <w:rFonts w:ascii="Times New Roman" w:cs="Times New Roman" w:eastAsia="Times New Roman" w:hAnsi="Times New Roman"/>
          <w:sz w:val="18"/>
          <w:szCs w:val="18"/>
          <w:i w:val="1"/>
          <w:iCs w:val="1"/>
          <w:color w:val="auto"/>
        </w:rPr>
        <w:t>KEYS TO COMMUNITY BANK SUCCESS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Utilizing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to Make Informed Decisions.</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Kafafian received a B.A. degree in Business/Economics from Moravian University and an M.B.A. in Finance from Fairleigh Dickinson University. He was awarded AMI</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s’ Lifetime Achievement award and is a Certified Profitability Professional.</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USCB Financial Holdings, Inc. and U.S. Century Bank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USCB Financial Holdings, Inc. is the bank holding company for U.S. Century Bank. Established in 2002, U.S. Century Bank is one of the largest community banks headquartered in Miami, and one of the largest community banks in the state. U.S. Century Bank is rated 5-star by BauerFinancial, the nation’s leading independent bank rating firm. U.S. Century Bank offers customers a wide range of financial products and services. U.S. Century Bank has received awards and accolades from numerous organizations for its philanthropic support and leadership, including the Beacon Council, Greater Miami Chamber of Commerce, South Florida Hispanic Chamber of Commerce and others. For more information or to find a U.S. Century Bank banking center near you, please call (305) 715-5200 or visit www.uscentury.com.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2022-04-01T16:19:57Z</dcterms:created>
  <dcterms:modified xsi:type="dcterms:W3CDTF">2022-04-01T16:19:57Z</dcterms:modified>
</cp:coreProperties>
</file>