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 TO RULE 13d-1(a)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AMENDMENTS THERETO FILED PURSUANT TO RULE 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__)</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314"/>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jc w:val="center"/>
              <w:ind w:right="2987"/>
              <w:spacing w:after="0"/>
              <w:rPr>
                <w:sz w:val="20"/>
                <w:szCs w:val="20"/>
                <w:color w:val="auto"/>
              </w:rPr>
            </w:pPr>
            <w:r>
              <w:rPr>
                <w:rFonts w:ascii="Arial" w:cs="Arial" w:eastAsia="Arial" w:hAnsi="Arial"/>
                <w:sz w:val="25"/>
                <w:szCs w:val="25"/>
                <w:color w:val="auto"/>
                <w:w w:val="94"/>
              </w:rPr>
              <w:t>USCB Financial Holdings, Inc.</w:t>
            </w:r>
          </w:p>
        </w:tc>
      </w:tr>
      <w:tr>
        <w:trPr>
          <w:trHeight w:val="224"/>
        </w:trPr>
        <w:tc>
          <w:tcPr>
            <w:tcW w:w="3080" w:type="dxa"/>
            <w:vAlign w:val="bottom"/>
          </w:tcPr>
          <w:p>
            <w:pPr>
              <w:spacing w:after="0"/>
              <w:rPr>
                <w:sz w:val="19"/>
                <w:szCs w:val="19"/>
                <w:color w:val="auto"/>
              </w:rPr>
            </w:pPr>
          </w:p>
        </w:tc>
        <w:tc>
          <w:tcPr>
            <w:tcW w:w="8160" w:type="dxa"/>
            <w:vAlign w:val="bottom"/>
          </w:tcPr>
          <w:p>
            <w:pPr>
              <w:jc w:val="center"/>
              <w:ind w:right="2967"/>
              <w:spacing w:after="0"/>
              <w:rPr>
                <w:sz w:val="20"/>
                <w:szCs w:val="20"/>
                <w:color w:val="auto"/>
              </w:rPr>
            </w:pPr>
            <w:r>
              <w:rPr>
                <w:rFonts w:ascii="Arial" w:cs="Arial" w:eastAsia="Arial" w:hAnsi="Arial"/>
                <w:sz w:val="18"/>
                <w:szCs w:val="18"/>
                <w:color w:val="auto"/>
                <w:w w:val="90"/>
              </w:rPr>
              <w:t>(Name of Issuer)</w:t>
            </w:r>
          </w:p>
        </w:tc>
      </w:tr>
      <w:tr>
        <w:trPr>
          <w:trHeight w:val="425"/>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jc w:val="center"/>
              <w:ind w:right="2987"/>
              <w:spacing w:after="0"/>
              <w:rPr>
                <w:sz w:val="20"/>
                <w:szCs w:val="20"/>
                <w:color w:val="auto"/>
              </w:rPr>
            </w:pPr>
            <w:r>
              <w:rPr>
                <w:rFonts w:ascii="Arial" w:cs="Arial" w:eastAsia="Arial" w:hAnsi="Arial"/>
                <w:sz w:val="18"/>
                <w:szCs w:val="18"/>
                <w:color w:val="auto"/>
                <w:w w:val="89"/>
              </w:rPr>
              <w:t>Class A Common Stock, Par Value $1.00 Per Share</w:t>
            </w:r>
          </w:p>
        </w:tc>
      </w:tr>
      <w:tr>
        <w:trPr>
          <w:trHeight w:val="230"/>
        </w:trPr>
        <w:tc>
          <w:tcPr>
            <w:tcW w:w="3080" w:type="dxa"/>
            <w:vAlign w:val="bottom"/>
          </w:tcPr>
          <w:p>
            <w:pPr>
              <w:spacing w:after="0"/>
              <w:rPr>
                <w:sz w:val="20"/>
                <w:szCs w:val="20"/>
                <w:color w:val="auto"/>
              </w:rPr>
            </w:pPr>
          </w:p>
        </w:tc>
        <w:tc>
          <w:tcPr>
            <w:tcW w:w="8160" w:type="dxa"/>
            <w:vAlign w:val="bottom"/>
          </w:tcPr>
          <w:p>
            <w:pPr>
              <w:jc w:val="center"/>
              <w:ind w:right="2987"/>
              <w:spacing w:after="0"/>
              <w:rPr>
                <w:sz w:val="20"/>
                <w:szCs w:val="20"/>
                <w:color w:val="auto"/>
              </w:rPr>
            </w:pPr>
            <w:r>
              <w:rPr>
                <w:rFonts w:ascii="Arial" w:cs="Arial" w:eastAsia="Arial" w:hAnsi="Arial"/>
                <w:sz w:val="18"/>
                <w:szCs w:val="18"/>
                <w:color w:val="auto"/>
                <w:w w:val="92"/>
              </w:rPr>
              <w:t>(Title of Class of Securities)</w:t>
            </w:r>
          </w:p>
        </w:tc>
      </w:tr>
      <w:tr>
        <w:trPr>
          <w:trHeight w:val="418"/>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jc w:val="center"/>
              <w:ind w:right="2987"/>
              <w:spacing w:after="0"/>
              <w:rPr>
                <w:sz w:val="20"/>
                <w:szCs w:val="20"/>
                <w:color w:val="auto"/>
              </w:rPr>
            </w:pPr>
            <w:r>
              <w:rPr>
                <w:rFonts w:ascii="Arial" w:cs="Arial" w:eastAsia="Arial" w:hAnsi="Arial"/>
                <w:sz w:val="18"/>
                <w:szCs w:val="18"/>
                <w:color w:val="auto"/>
                <w:w w:val="91"/>
              </w:rPr>
              <w:t>90355N10</w:t>
            </w:r>
          </w:p>
        </w:tc>
      </w:tr>
      <w:tr>
        <w:trPr>
          <w:trHeight w:val="224"/>
        </w:trPr>
        <w:tc>
          <w:tcPr>
            <w:tcW w:w="3080" w:type="dxa"/>
            <w:vAlign w:val="bottom"/>
          </w:tcPr>
          <w:p>
            <w:pPr>
              <w:spacing w:after="0"/>
              <w:rPr>
                <w:sz w:val="19"/>
                <w:szCs w:val="19"/>
                <w:color w:val="auto"/>
              </w:rPr>
            </w:pPr>
          </w:p>
        </w:tc>
        <w:tc>
          <w:tcPr>
            <w:tcW w:w="8160" w:type="dxa"/>
            <w:vAlign w:val="bottom"/>
          </w:tcPr>
          <w:p>
            <w:pPr>
              <w:jc w:val="center"/>
              <w:ind w:right="2967"/>
              <w:spacing w:after="0"/>
              <w:rPr>
                <w:sz w:val="20"/>
                <w:szCs w:val="20"/>
                <w:color w:val="auto"/>
              </w:rPr>
            </w:pPr>
            <w:r>
              <w:rPr>
                <w:rFonts w:ascii="Arial" w:cs="Arial" w:eastAsia="Arial" w:hAnsi="Arial"/>
                <w:sz w:val="18"/>
                <w:szCs w:val="18"/>
                <w:color w:val="auto"/>
                <w:w w:val="92"/>
              </w:rPr>
              <w:t>(CUSIP Number)</w:t>
            </w:r>
          </w:p>
        </w:tc>
      </w:tr>
      <w:tr>
        <w:trPr>
          <w:trHeight w:val="403"/>
        </w:trPr>
        <w:tc>
          <w:tcPr>
            <w:tcW w:w="3080" w:type="dxa"/>
            <w:vAlign w:val="bottom"/>
          </w:tcPr>
          <w:p>
            <w:pPr>
              <w:spacing w:after="0"/>
              <w:rPr>
                <w:sz w:val="24"/>
                <w:szCs w:val="24"/>
                <w:color w:val="auto"/>
              </w:rPr>
            </w:pPr>
          </w:p>
        </w:tc>
        <w:tc>
          <w:tcPr>
            <w:tcW w:w="8160" w:type="dxa"/>
            <w:vAlign w:val="bottom"/>
          </w:tcPr>
          <w:p>
            <w:pPr>
              <w:ind w:left="2540"/>
              <w:spacing w:after="0"/>
              <w:rPr>
                <w:sz w:val="20"/>
                <w:szCs w:val="20"/>
                <w:color w:val="auto"/>
              </w:rPr>
            </w:pPr>
            <w:r>
              <w:rPr>
                <w:rFonts w:ascii="Arial" w:cs="Arial" w:eastAsia="Arial" w:hAnsi="Arial"/>
                <w:sz w:val="18"/>
                <w:szCs w:val="18"/>
                <w:color w:val="auto"/>
              </w:rPr>
              <w:t>Copies to:</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 Kirk Wycoff</w:t>
            </w:r>
          </w:p>
        </w:tc>
        <w:tc>
          <w:tcPr>
            <w:tcW w:w="8160" w:type="dxa"/>
            <w:vAlign w:val="bottom"/>
          </w:tcPr>
          <w:p>
            <w:pPr>
              <w:ind w:left="2540"/>
              <w:spacing w:after="0"/>
              <w:rPr>
                <w:sz w:val="20"/>
                <w:szCs w:val="20"/>
                <w:color w:val="auto"/>
              </w:rPr>
            </w:pPr>
            <w:r>
              <w:rPr>
                <w:rFonts w:ascii="Arial" w:cs="Arial" w:eastAsia="Arial" w:hAnsi="Arial"/>
                <w:sz w:val="18"/>
                <w:szCs w:val="18"/>
                <w:color w:val="auto"/>
              </w:rPr>
              <w:t>Philip Ross Bevan, Esq.</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Patriot Financial Partners II, L.P.</w:t>
            </w:r>
          </w:p>
        </w:tc>
        <w:tc>
          <w:tcPr>
            <w:tcW w:w="8160" w:type="dxa"/>
            <w:vAlign w:val="bottom"/>
          </w:tcPr>
          <w:p>
            <w:pPr>
              <w:ind w:left="2540"/>
              <w:spacing w:after="0"/>
              <w:rPr>
                <w:sz w:val="20"/>
                <w:szCs w:val="20"/>
                <w:color w:val="auto"/>
              </w:rPr>
            </w:pPr>
            <w:r>
              <w:rPr>
                <w:rFonts w:ascii="Arial" w:cs="Arial" w:eastAsia="Arial" w:hAnsi="Arial"/>
                <w:sz w:val="18"/>
                <w:szCs w:val="18"/>
                <w:color w:val="auto"/>
              </w:rPr>
              <w:t>Kenneth B. Tabach, Esq.</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Four Radnor Corporate Center</w:t>
            </w:r>
          </w:p>
        </w:tc>
        <w:tc>
          <w:tcPr>
            <w:tcW w:w="8160" w:type="dxa"/>
            <w:vAlign w:val="bottom"/>
          </w:tcPr>
          <w:p>
            <w:pPr>
              <w:ind w:left="2540"/>
              <w:spacing w:after="0"/>
              <w:rPr>
                <w:sz w:val="20"/>
                <w:szCs w:val="20"/>
                <w:color w:val="auto"/>
              </w:rPr>
            </w:pPr>
            <w:r>
              <w:rPr>
                <w:rFonts w:ascii="Arial" w:cs="Arial" w:eastAsia="Arial" w:hAnsi="Arial"/>
                <w:sz w:val="18"/>
                <w:szCs w:val="18"/>
                <w:color w:val="auto"/>
              </w:rPr>
              <w:t>Silver, Freedman, Taff &amp; Tiernan LLP</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Suite 210</w:t>
            </w:r>
          </w:p>
        </w:tc>
        <w:tc>
          <w:tcPr>
            <w:tcW w:w="8160" w:type="dxa"/>
            <w:vAlign w:val="bottom"/>
          </w:tcPr>
          <w:p>
            <w:pPr>
              <w:ind w:left="2540"/>
              <w:spacing w:after="0"/>
              <w:rPr>
                <w:sz w:val="20"/>
                <w:szCs w:val="20"/>
                <w:color w:val="auto"/>
              </w:rPr>
            </w:pPr>
            <w:r>
              <w:rPr>
                <w:rFonts w:ascii="Arial" w:cs="Arial" w:eastAsia="Arial" w:hAnsi="Arial"/>
                <w:sz w:val="18"/>
                <w:szCs w:val="18"/>
                <w:color w:val="auto"/>
              </w:rPr>
              <w:t>3299 K Street, N.W., Suite 100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Radnor, Pennsylvania 19087</w:t>
            </w:r>
          </w:p>
        </w:tc>
        <w:tc>
          <w:tcPr>
            <w:tcW w:w="8160" w:type="dxa"/>
            <w:vAlign w:val="bottom"/>
          </w:tcPr>
          <w:p>
            <w:pPr>
              <w:ind w:left="2540"/>
              <w:spacing w:after="0"/>
              <w:rPr>
                <w:sz w:val="20"/>
                <w:szCs w:val="20"/>
                <w:color w:val="auto"/>
              </w:rPr>
            </w:pPr>
            <w:r>
              <w:rPr>
                <w:rFonts w:ascii="Arial" w:cs="Arial" w:eastAsia="Arial" w:hAnsi="Arial"/>
                <w:sz w:val="18"/>
                <w:szCs w:val="18"/>
                <w:color w:val="auto"/>
              </w:rPr>
              <w:t>Washington, D.C. 20007</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(215) 399-4650</w:t>
            </w:r>
          </w:p>
        </w:tc>
        <w:tc>
          <w:tcPr>
            <w:tcW w:w="8160" w:type="dxa"/>
            <w:vAlign w:val="bottom"/>
          </w:tcPr>
          <w:p>
            <w:pPr>
              <w:ind w:left="2540"/>
              <w:spacing w:after="0"/>
              <w:rPr>
                <w:sz w:val="20"/>
                <w:szCs w:val="20"/>
                <w:color w:val="auto"/>
              </w:rPr>
            </w:pPr>
            <w:r>
              <w:rPr>
                <w:rFonts w:ascii="Arial" w:cs="Arial" w:eastAsia="Arial" w:hAnsi="Arial"/>
                <w:sz w:val="18"/>
                <w:szCs w:val="18"/>
                <w:color w:val="auto"/>
              </w:rPr>
              <w:t>(202) 295-4500</w:t>
            </w:r>
          </w:p>
        </w:tc>
      </w:tr>
    </w:tbl>
    <w:p>
      <w:pPr>
        <w:jc w:val="center"/>
        <w:spacing w:after="0"/>
        <w:rPr>
          <w:sz w:val="20"/>
          <w:szCs w:val="20"/>
          <w:color w:val="auto"/>
        </w:rPr>
      </w:pPr>
      <w:r>
        <w:rPr>
          <w:rFonts w:ascii="Arial" w:cs="Arial" w:eastAsia="Arial" w:hAnsi="Arial"/>
          <w:sz w:val="18"/>
          <w:szCs w:val="18"/>
          <w:color w:val="auto"/>
        </w:rPr>
        <w:t>(Name, Address, Telephone Number of Person 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both"/>
        <w:ind w:right="2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ind w:right="20" w:firstLine="656"/>
        <w:spacing w:after="0" w:line="277" w:lineRule="auto"/>
        <w:tabs>
          <w:tab w:leader="none" w:pos="80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2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Patriot Financial Partners II, L.P.</w:t>
            </w: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3,398,637</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3,398,637</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3,398,637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PN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3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Patriot Financial Partners Parallel II, L.P.</w:t>
            </w: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1,087,272</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1,087,272</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1,087,272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PN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4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Patriot Financial Partners GP II, L.P.</w:t>
            </w: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PN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5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Patriot Financial Partners GP II, LLC</w:t>
            </w: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6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W. Kirk Wycoff</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11,500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11,500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4,497,409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7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Ira M. Lubert</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8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James J. Lynch</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AF</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3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CUSIP No. 90355N10</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196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84"/>
              </w:rPr>
              <w:t>Page 9 of 15 Pages</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NAMES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James F. Deutsch</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1"/>
                <w:szCs w:val="21"/>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8"/>
              </w:rPr>
              <w:t>SOURCE OF FUNDS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OO</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w w:val="99"/>
              </w:rPr>
              <w:t>CHECK BOX IF DISCLOSURE OF LEGAL PROCEEDINGS IS REQUIRED PURSUANT TO ITEM 2(d) OR 2(e)</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668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4,485,909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4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920" w:type="dxa"/>
            <w:vAlign w:val="bottom"/>
            <w:tcBorders>
              <w:bottom w:val="single" w:sz="8" w:color="auto"/>
            </w:tcBorders>
            <w:gridSpan w:val="6"/>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4"/>
                <w:szCs w:val="24"/>
                <w:color w:val="auto"/>
              </w:rPr>
            </w:pPr>
          </w:p>
        </w:tc>
        <w:tc>
          <w:tcPr>
            <w:tcW w:w="89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85"/>
              </w:rPr>
              <w:t>Page 10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The title and class of equity security to which this Schedule 13D relates is the Class A common stock, par value $1.00 per share (“Class A Common Stock”), of USCB Financial Holdings, Inc. (the “Issuer” or the “Company”), whose principal executive offices are located at 2301 N.W. 87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Miami, Florida 33172.</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Schedule 13D is being jointly filed by the parties identified below. All of the filers of this Schedule 13D are collectively referred to as the “Patriot Financial Group II.” The Joint Filing Agreement of the members of the Patriot Financial Group II is filed as Exhibit 1 to this Schedule 13D.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 (c) The following are members of the Patriot Financial Group II:</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Patriot Financial Partners II, L.P., a Delaware limited partnership (the “Patriot Fund II”);</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Patriot Financial Partners Parallel II, L.P., a Delaware limited partnership (the “Patriot Parallel Fund II” and together with the Patriot Fund II, the “Patriot Funds”);</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Patriot Financial Partners GP II, L.P., a Delaware limited partnership and general partner of the Funds (“Patriot GP II”);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Patriot Financial Partners GP II, LLC, a Delaware limited liability company and general partner of Patriot GP II (“Patriot II LLC”);</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 Kirk Wycoff, Ira M. Lubert and James J. Lynch, each of whom serve as general partners of the Funds and Patriot GP II and are members of Patriot II LLC; and</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James F. Deutsch, who is a member of the Patriot Funds’ Investment Committee.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Patriot Funds are private equity funds focused on investing in community banks and financial service-related companies throughout the United States. The principal business of Patriot GP II is to serve as the general partner of and to manage the Patriot Funds. The principal business of Patriot</w:t>
      </w:r>
    </w:p>
    <w:p>
      <w:pPr>
        <w:ind w:right="20" w:firstLine="8"/>
        <w:spacing w:after="0" w:line="260"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is to serve as the general partner of and to manage Patriot GP II. The principal employment of Messrs. Wycoff, Lubert, Lynch and Deutsch is investment management with each of the Patriot Funds, Patriot GP II and Patriot II LLC.</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business address of each member of the Patriot Financial Group II is c/o Patriot Financial Partners II, L.P., Four Radnor Corporate Center, Suite 210,100 Matsonford Road, Radnor, PA 19087.</w:t>
      </w:r>
    </w:p>
    <w:p>
      <w:pPr>
        <w:spacing w:after="0" w:line="170" w:lineRule="exact"/>
        <w:rPr>
          <w:sz w:val="20"/>
          <w:szCs w:val="20"/>
          <w:color w:val="auto"/>
        </w:rPr>
      </w:pPr>
    </w:p>
    <w:p>
      <w:pPr>
        <w:ind w:firstLine="656"/>
        <w:spacing w:after="0" w:line="277" w:lineRule="auto"/>
        <w:tabs>
          <w:tab w:leader="none" w:pos="936"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no member of the Patriot Financial Group II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6"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last five years, no member of the Patriot Financial Group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natural person who is a member of the Patriot Financial Group II is a citizen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Arial" w:cs="Arial" w:eastAsia="Arial" w:hAnsi="Arial"/>
                <w:sz w:val="18"/>
                <w:szCs w:val="18"/>
                <w:color w:val="auto"/>
                <w:w w:val="84"/>
              </w:rPr>
              <w:t>Page 11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30, 2021, U.S. Century Bank, a Florida state-chartered bank (the “Bank”) completed its reorganization to the holding company form of ownership (the “Reorganization). On such date, the Company acquired all of the issued and outstanding shares of the Class A voting common stock, par value $1.00 per share of the Bank (the “Bank Class A Common Stock”), in a share exchange whereby each issued and outstanding share of Bank Class A Common Stock was converted into and exchanged for one share of the Company’s Class A Common Stock and the Bank became a subsidiary of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Patriot Fund II owned 3,398,637 shares of Bank Class A Common Stock that were exchanged for 3,398,637 shares of Class A Common Stock in the Reorganization and Patriot Parallel II owned 1,087,272 shares of Bank Class A Common Stock that were exchanged for 1,087,272 shares of Class A Common Stock in the Reorganization.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director of the Bank, Mr. Wycoff was granted and held options to purchase 11,500 shares of Bank Class A Common Stock, which were exchanged for options to purchase 11,500 shares of Class A Common Stock of the Company in the Reorganization.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Patriot Funds acquired the Class A Common Stock reported herein for investment purposes and the acquisition of shares of Class A Common Stock was not motivated by an intent to exercise control, directly or indirectly, over the management, policies or business operations of the Issuer. Subject to applicable federal and state securities laws, Patriot Financial Group II may dispose of shares of the Class A Common Stock from time to time, subject to market conditions and other investment considerations, and may cause shares of the Class A Common Stock to be distributed in kind to investors. To the extent permitted by applicable bank regulatory limitations, each member of the Patriot Financial Group II may directly or indirectly acquire additional shares of Class A Common Stock or associated rights or securities exercisable for or convertible into Class A Common Stock, depending upon an ongoing evaluation of its investment in the Class A Common Stock and securities exercisable for or convertible into Class A Common Stock, applicable legal restrictions, prevailing market conditions, liquidity requirements of such member of the Patriot Financial Group II and/or investment considerations.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in this Item 4, each member of the Patriot Financial Group II has no present plans or proposals that relate to or would result in any of the events set forth in Items 4(a) through (j) of Schedule 13D. However, each member of the Patriot Financial Group II reserves the right to change its plans at any time, as it deems appropriate, in light of its ongoing evaluation of (i) its business and liquidity objectives; (ii) the Company’s financial condition, business, operations, competitive position, prospects and/or share price; (iii) industry, economic and/or securities markets conditions; (iv) alternative investment opportunities; and (v)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85"/>
              </w:rPr>
              <w:t>Page 12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contained on the cover pages to this Schedule 13D and the information set forth or incorporated in Items 2, 3, 4 and 6 is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(a) and (b)</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Sole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Shared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Sole Power</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Shared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Percent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Power to</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Power to</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to Dispose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Power to</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1"/>
              </w:rPr>
              <w:t>Amount</w:t>
            </w:r>
          </w:p>
        </w:tc>
        <w:tc>
          <w:tcPr>
            <w:tcW w:w="1480" w:type="dxa"/>
            <w:vAlign w:val="bottom"/>
            <w:gridSpan w:val="2"/>
            <w:vMerge w:val="continue"/>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Vote or</w:t>
            </w:r>
          </w:p>
        </w:tc>
        <w:tc>
          <w:tcPr>
            <w:tcW w:w="144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0"/>
              </w:rPr>
              <w:t>Vote or</w:t>
            </w:r>
          </w:p>
        </w:tc>
        <w:tc>
          <w:tcPr>
            <w:tcW w:w="144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4"/>
              </w:rPr>
              <w:t>or Direct</w:t>
            </w:r>
          </w:p>
        </w:tc>
        <w:tc>
          <w:tcPr>
            <w:tcW w:w="13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5"/>
              </w:rPr>
              <w:t>Dispose or</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Direct</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Direct the</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the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Direct the</w:t>
            </w:r>
          </w:p>
        </w:tc>
        <w:tc>
          <w:tcPr>
            <w:tcW w:w="0" w:type="dxa"/>
            <w:vAlign w:val="bottom"/>
          </w:tcPr>
          <w:p>
            <w:pPr>
              <w:spacing w:after="0"/>
              <w:rPr>
                <w:sz w:val="1"/>
                <w:szCs w:val="1"/>
                <w:color w:val="auto"/>
              </w:rPr>
            </w:pPr>
          </w:p>
        </w:tc>
      </w:tr>
      <w:tr>
        <w:trPr>
          <w:trHeight w:val="270"/>
        </w:trPr>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Entity</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0"/>
              </w:rPr>
              <w:t>Class</w:t>
            </w:r>
            <w:r>
              <w:rPr>
                <w:rFonts w:ascii="Arial" w:cs="Arial" w:eastAsia="Arial" w:hAnsi="Arial"/>
                <w:sz w:val="29"/>
                <w:szCs w:val="29"/>
                <w:b w:val="1"/>
                <w:bCs w:val="1"/>
                <w:color w:val="auto"/>
                <w:w w:val="80"/>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the Vote</w:t>
            </w: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w:t>
            </w: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Patriot Fund II</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3,398,637</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3,398,637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Patriot Parallel Fund II</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1,087,272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1,087,272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1,087,272</w:t>
            </w: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Patriot GP II</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4,485,909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r>
        <w:trPr>
          <w:trHeight w:val="257"/>
        </w:trPr>
        <w:tc>
          <w:tcPr>
            <w:tcW w:w="2620" w:type="dxa"/>
            <w:vAlign w:val="bottom"/>
            <w:gridSpan w:val="2"/>
          </w:tcPr>
          <w:p>
            <w:pPr>
              <w:spacing w:after="0" w:line="256" w:lineRule="exact"/>
              <w:rPr>
                <w:sz w:val="20"/>
                <w:szCs w:val="20"/>
                <w:color w:val="auto"/>
              </w:rPr>
            </w:pPr>
            <w:r>
              <w:rPr>
                <w:rFonts w:ascii="Arial" w:cs="Arial" w:eastAsia="Arial" w:hAnsi="Arial"/>
                <w:sz w:val="18"/>
                <w:szCs w:val="18"/>
                <w:color w:val="auto"/>
              </w:rPr>
              <w:t>Patriot II LLC</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r>
        <w:trPr>
          <w:trHeight w:val="256"/>
        </w:trPr>
        <w:tc>
          <w:tcPr>
            <w:tcW w:w="2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 Kirk Wycoff</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4,497,409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r>
        <w:trPr>
          <w:trHeight w:val="257"/>
        </w:trPr>
        <w:tc>
          <w:tcPr>
            <w:tcW w:w="2620" w:type="dxa"/>
            <w:vAlign w:val="bottom"/>
            <w:gridSpan w:val="2"/>
          </w:tcPr>
          <w:p>
            <w:pPr>
              <w:spacing w:after="0" w:line="256" w:lineRule="exact"/>
              <w:rPr>
                <w:sz w:val="20"/>
                <w:szCs w:val="20"/>
                <w:color w:val="auto"/>
              </w:rPr>
            </w:pPr>
            <w:r>
              <w:rPr>
                <w:rFonts w:ascii="Arial" w:cs="Arial" w:eastAsia="Arial" w:hAnsi="Arial"/>
                <w:sz w:val="18"/>
                <w:szCs w:val="18"/>
                <w:color w:val="auto"/>
              </w:rPr>
              <w:t>Ira M. Lubert</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James J. Lynch</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4,485,909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r>
        <w:trPr>
          <w:trHeight w:val="390"/>
        </w:trPr>
        <w:tc>
          <w:tcPr>
            <w:tcW w:w="2620" w:type="dxa"/>
            <w:vAlign w:val="bottom"/>
            <w:gridSpan w:val="2"/>
          </w:tcPr>
          <w:p>
            <w:pPr>
              <w:spacing w:after="0"/>
              <w:rPr>
                <w:sz w:val="20"/>
                <w:szCs w:val="20"/>
                <w:color w:val="auto"/>
              </w:rPr>
            </w:pPr>
            <w:r>
              <w:rPr>
                <w:rFonts w:ascii="Arial" w:cs="Arial" w:eastAsia="Arial" w:hAnsi="Arial"/>
                <w:sz w:val="18"/>
                <w:szCs w:val="18"/>
                <w:color w:val="auto"/>
              </w:rPr>
              <w:t>James F. Deutsch</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4,485,909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4,485,909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Patriot II GP, Patriot II LLC, Mr. Wycoff, Mr. Lubert, Mr. Lynch and Mr. Deutsch disclaims beneficial ownership of the voting common stock owned by the Patriot Funds, except to the extent of its or his pecuniary interest therein.</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is based on 19,991,753 shares of Class A Common Stock of the Company outstanding as of December 30, 2021 following the Reorganization (20,003,253 shares of Class A Common Stock in the case of Mr. Wycoff assuming his options to purchase Class A Common Stock were exercised).</w:t>
      </w:r>
    </w:p>
    <w:p>
      <w:pPr>
        <w:spacing w:after="0" w:line="184" w:lineRule="exact"/>
        <w:rPr>
          <w:sz w:val="20"/>
          <w:szCs w:val="20"/>
          <w:color w:val="auto"/>
        </w:rPr>
      </w:pPr>
    </w:p>
    <w:p>
      <w:pPr>
        <w:ind w:firstLine="8"/>
        <w:spacing w:after="0" w:line="277"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members of the Patriot Financial Group II had any transactions in the Class A Common Stock (or securities convertible into Class A Common Stock) during the past 60 days, except as described and referenced in Item 3 of this Schedule 13D.</w:t>
      </w:r>
    </w:p>
    <w:p>
      <w:pPr>
        <w:spacing w:after="0" w:line="170" w:lineRule="exact"/>
        <w:rPr>
          <w:rFonts w:ascii="Arial" w:cs="Arial" w:eastAsia="Arial" w:hAnsi="Arial"/>
          <w:sz w:val="18"/>
          <w:szCs w:val="18"/>
          <w:color w:val="auto"/>
        </w:rPr>
      </w:pPr>
    </w:p>
    <w:p>
      <w:pPr>
        <w:ind w:firstLine="8"/>
        <w:spacing w:after="0" w:line="277" w:lineRule="auto"/>
        <w:tabs>
          <w:tab w:leader="none" w:pos="263"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the Patriot Financial Group II, no other person has the right to receive or the power to direct the receipt of dividends from, or the proceeds from the sale of, the securities of the Company referred to in this Item 5.</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Side Letter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30, 2021, in connection with the Reorganization, the Company entered into a side letter agreement (the “Side Letter Agreement”) with Priam Capital Fund II, LP ("Priam") and the Patriot Funds (each a “Large Investor” and collectively referred to herein as the “Large Investors”), applying the investor rights that the Large Investors had immediately prior to the Reorganization to the Company, in substantially similar form as previously set forth in an Amended and Restated Investment Agreement, dated February 19, 2015 (the "Investment Agreement"), between the Bank and the Large Investors that was entered into in connection with the Bank’s recapitalization (the “2015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85"/>
              </w:rPr>
              <w:t>Page 13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Side Letter Agreement requires the Company to maintain its Board of Directors at no less than five nor more than seven directors, and requires the Company to cause one person nominated by each Large Investor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Large Investor beneficially owns shares of the Company’s common stock representing 50% or more of the common shares purchased by the Large Investor in the 2015 Recapitalization, as adjusted from time to time as a result of changes in capitalization, as well as the power to designate a Board observer to attend meetings in a nonvoting capacity in the event any applicable Board Representative is unable to attend such meetings or if the Large Investor does not have a Board Representative on the Board on the date of any meeting. During the period during which a Large Investor is entitled to the various corporate governance rights described above, the Large Investor will have essentially the same rights with respect to the Bank consistent with the terms of the Investment Agreement.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Side Letter Agreement provides each Large Investor (or affiliate) with matching stock rights for so long as each Large Investor beneficially owns shares of the Company’s common stock representing 50% or more of the common shares purchased by the Large Investor in the 2015 Recapitalization, as adjusted from time to time as a result of changes in capitalization. The matching stock rights permit each Large Investor to purchase new equity securities offered by the Company for the same price and on the same terms are proposed to be offered by others, subject to specified exceptions, procedural requirements and compliance with applicable bank regulatory ownership requirements as further described in the Side Letter. The Side Letter Agreement also provides customary information rights to the Large Investors.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summary of the Side Letter Agreement is qualified in its entirety by reference to the Side Letter Agreement, which is included as Exhibit 2 to this Schedule 13D and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and Assumption of Registration Rights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30, 2021, the Company and the Bank entered into an Assignment and Assumption Agreement (the “Assignment and Assumption Agreement”), pursuant to which the Company assumed all of the Bank’s obligations under a Registration Rights Agreement, dated March 17, 2015 (the “Registration Rights Agreement”), between the Bank, the Large Investors and certain other former shareholders of the Bank who are now shareholders of the Company. The Registration Rights Agreement, as assumed by the Company, included certain demand registration rights for one or both of the Large Investors to effect a registration of all or part of their respective shares of Class A Common Stock of the Company or its equivalents, which rights were exercisable at any time after the fifth anniversary of the Registration Rights Agreement or March 17, 2020. The Registration Rights Agreement also provides the shareholders that are a party to the agreement with certain “piggyback” registration rights, allowing such shareholders to have their registerable securities included as part of any registration statement the Company may file other than pursuant to the demand registrations described above. The piggyback registration rights are subject to accepting the terms of any underwriting applicable to the offering as agreed upon between the Company and the underwriters that are selected for such offering. In addition, the number of registerable shares that the Large Investors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85"/>
              </w:rPr>
              <w:t>Page 14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above summary of the Assignment and Assumption Agreement and the related Registration Rights Agreement are qualified in their entirety by reference to the Assignment and Assumption Agreement and the Registration Rights Agreement, which are included as Exhibits 3 and 4 respectively, to this Schedule 13D and incorporated by reference herein.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20"/>
        <w:spacing w:after="0"/>
        <w:tabs>
          <w:tab w:leader="none" w:pos="16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Exhibit</w:t>
      </w:r>
    </w:p>
    <w:p>
      <w:pPr>
        <w:spacing w:after="0" w:line="36" w:lineRule="exact"/>
        <w:rPr>
          <w:sz w:val="20"/>
          <w:szCs w:val="20"/>
          <w:color w:val="auto"/>
        </w:rPr>
      </w:pPr>
    </w:p>
    <w:p>
      <w:pPr>
        <w:ind w:left="1700" w:hanging="1001"/>
        <w:spacing w:after="0"/>
        <w:tabs>
          <w:tab w:leader="none" w:pos="1700" w:val="left"/>
        </w:tabs>
        <w:numPr>
          <w:ilvl w:val="0"/>
          <w:numId w:val="7"/>
        </w:numPr>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Joint Filing Agreement, dated as of January 6, 2022, by and among Patriot Financial Partners II LP, Patriot Financial Partners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ind w:left="1700"/>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Parallel II, LP, Patriot Financial Partners GP II, LP, Patriot Financial Partners GP, LLC, W. Kirk Wycoff, Ira M. Lubert, James J.</w:t>
        </w:r>
      </w:hyperlink>
    </w:p>
    <w:p>
      <w:pPr>
        <w:spacing w:after="0" w:line="21" w:lineRule="exact"/>
        <w:rPr>
          <w:sz w:val="20"/>
          <w:szCs w:val="20"/>
          <w:color w:val="auto"/>
        </w:rPr>
      </w:pPr>
    </w:p>
    <w:p>
      <w:pPr>
        <w:ind w:left="17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Lynch and James F. Deutsch.</w:t>
        </w:r>
      </w:hyperlink>
    </w:p>
    <w:p>
      <w:pPr>
        <w:spacing w:after="0" w:line="9" w:lineRule="exact"/>
        <w:rPr>
          <w:sz w:val="20"/>
          <w:szCs w:val="20"/>
          <w:color w:val="auto"/>
        </w:rPr>
      </w:pPr>
    </w:p>
    <w:p>
      <w:pPr>
        <w:ind w:left="1700" w:hanging="1001"/>
        <w:spacing w:after="0" w:line="250" w:lineRule="auto"/>
        <w:tabs>
          <w:tab w:leader="none" w:pos="1700" w:val="left"/>
        </w:tabs>
        <w:numPr>
          <w:ilvl w:val="0"/>
          <w:numId w:val="8"/>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Side Letter Agreement, dated December 30, 2021, between USCB Financial Holdings, Inc., U.S. Century Bank, Priam Capital Fund</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II, LP, Patriot Financial Partners II, L.P. and Patriot Financial Partners Parallel II, L.P.*</w:t>
        </w:r>
      </w:hyperlink>
    </w:p>
    <w:p>
      <w:pPr>
        <w:spacing w:after="0" w:line="1" w:lineRule="exact"/>
        <w:rPr>
          <w:rFonts w:ascii="Arial" w:cs="Arial" w:eastAsia="Arial" w:hAnsi="Arial"/>
          <w:sz w:val="18"/>
          <w:szCs w:val="18"/>
          <w:u w:val="single" w:color="auto"/>
          <w:color w:val="0000EE"/>
        </w:rPr>
      </w:pPr>
    </w:p>
    <w:p>
      <w:pPr>
        <w:ind w:left="1700" w:hanging="1001"/>
        <w:spacing w:after="0" w:line="265" w:lineRule="auto"/>
        <w:tabs>
          <w:tab w:leader="none" w:pos="1700" w:val="left"/>
        </w:tabs>
        <w:numPr>
          <w:ilvl w:val="0"/>
          <w:numId w:val="9"/>
        </w:numPr>
        <w:rPr>
          <w:rFonts w:ascii="Arial" w:cs="Arial" w:eastAsia="Arial" w:hAnsi="Arial"/>
          <w:sz w:val="17"/>
          <w:szCs w:val="17"/>
          <w:u w:val="single" w:color="auto"/>
          <w:color w:val="0000EE"/>
        </w:rPr>
      </w:pPr>
      <w:hyperlink r:id="rId21">
        <w:r>
          <w:rPr>
            <w:rFonts w:ascii="Arial" w:cs="Arial" w:eastAsia="Arial" w:hAnsi="Arial"/>
            <w:sz w:val="17"/>
            <w:szCs w:val="17"/>
            <w:u w:val="single" w:color="auto"/>
            <w:color w:val="0000EE"/>
          </w:rPr>
          <w:t>Registration Rights Agreement, dated March 17, 2015, between U.S. Century Bank, Priam Capital Fund II, LP, Patriot Financial</w:t>
        </w:r>
      </w:hyperlink>
      <w:r>
        <w:rPr>
          <w:rFonts w:ascii="Arial" w:cs="Arial" w:eastAsia="Arial" w:hAnsi="Arial"/>
          <w:sz w:val="17"/>
          <w:szCs w:val="17"/>
          <w:u w:val="single" w:color="auto"/>
          <w:color w:val="0000EE"/>
        </w:rPr>
        <w:t xml:space="preserve"> </w:t>
      </w:r>
      <w:hyperlink r:id="rId21">
        <w:r>
          <w:rPr>
            <w:rFonts w:ascii="Arial" w:cs="Arial" w:eastAsia="Arial" w:hAnsi="Arial"/>
            <w:sz w:val="17"/>
            <w:szCs w:val="17"/>
            <w:u w:val="single" w:color="auto"/>
            <w:color w:val="0000EE"/>
          </w:rPr>
          <w:t>Partners II, L.P., Patriot Financial Partners Parallel II, L.P., and certain other shareholders of U.S. Century Bank.*</w:t>
        </w:r>
      </w:hyperlink>
    </w:p>
    <w:p>
      <w:pPr>
        <w:ind w:left="1700" w:hanging="1001"/>
        <w:spacing w:after="0" w:line="260" w:lineRule="auto"/>
        <w:tabs>
          <w:tab w:leader="none" w:pos="1700" w:val="left"/>
        </w:tabs>
        <w:numPr>
          <w:ilvl w:val="1"/>
          <w:numId w:val="10"/>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Assignment and Assumption of Agreement, dated December 30, 2021, between U.S. Century Bank and USCB Financial Holdings,</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Inc.*</w:t>
        </w:r>
      </w:hyperlink>
    </w:p>
    <w:p>
      <w:pPr>
        <w:spacing w:after="0" w:line="21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7"/>
          <w:szCs w:val="17"/>
          <w:color w:val="auto"/>
        </w:rPr>
        <w:t>*   Incorporated by reference from the Current Report on Form 8-K12B filed by USCB Financial Holdings, Inc. with the SEC on December 30, 2021.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90355N10</w:t>
            </w:r>
          </w:p>
        </w:tc>
        <w:tc>
          <w:tcPr>
            <w:tcW w:w="3580" w:type="dxa"/>
            <w:vAlign w:val="bottom"/>
            <w:tcBorders>
              <w:right w:val="single" w:sz="8" w:color="auto"/>
            </w:tcBorders>
          </w:tcPr>
          <w:p>
            <w:pPr>
              <w:ind w:left="1620"/>
              <w:spacing w:after="0"/>
              <w:rPr>
                <w:sz w:val="20"/>
                <w:szCs w:val="20"/>
                <w:color w:val="auto"/>
              </w:rPr>
            </w:pPr>
            <w:r>
              <w:rPr>
                <w:rFonts w:ascii="Arial" w:cs="Arial" w:eastAsia="Arial" w:hAnsi="Arial"/>
                <w:sz w:val="18"/>
                <w:szCs w:val="18"/>
                <w:color w:val="auto"/>
              </w:rPr>
              <w:t>13D</w:t>
            </w:r>
          </w:p>
        </w:tc>
        <w:tc>
          <w:tcPr>
            <w:tcW w:w="3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85"/>
              </w:rPr>
              <w:t>Page 15 of 15 Pages</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6,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PATRIOT FINANCIAL PARTNERS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 Kirk Wycoff, a member of Patriot Financial Partners GP II, LLC, the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general partner of Patriot Financial Partners GP II, L.P., the general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partner of Patriot Financial Partners II,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PATRIOT FINANCIAL PARTNERS PARALLEL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 Kirk Wycoff, a member of Patriot Financial Partners GP II, LLC, the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general partner of Patriot Financial Partners GP II, L.P., the general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partner of Patriot Financial Partners Parallel II,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PATRIOT FINANCIAL PARTNERS GP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 Kirk Wycoff, a member of Patriot Financial Partners GP II, LLC., the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partner of Patriot Financial Partners GP II,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PATRIOT FINANCIAL PARTNERS GP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 Kirk Wycoff, member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 Kirk Wycoff</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Ira M. Lubert</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J. Lynch</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620"/>
        <w:spacing w:after="0"/>
        <w:tabs>
          <w:tab w:leader="none" w:pos="16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Exhibit</w:t>
      </w:r>
    </w:p>
    <w:p>
      <w:pPr>
        <w:spacing w:after="0" w:line="36" w:lineRule="exact"/>
        <w:rPr>
          <w:sz w:val="20"/>
          <w:szCs w:val="20"/>
          <w:color w:val="auto"/>
        </w:rPr>
      </w:pPr>
    </w:p>
    <w:p>
      <w:pPr>
        <w:ind w:left="1700" w:hanging="1001"/>
        <w:spacing w:after="0"/>
        <w:tabs>
          <w:tab w:leader="none" w:pos="1700" w:val="left"/>
        </w:tabs>
        <w:numPr>
          <w:ilvl w:val="0"/>
          <w:numId w:val="11"/>
        </w:numPr>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Joint Filing Agreement, dated as of January 6, 2022, by and among Patriot Financial Partners II LP, Patriot Financial Partners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ind w:left="1700"/>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Parallel II, LP, Patriot Financial Partners GP II, LP, Patriot Financial Partners GP, LLC, W. Kirk Wycoff, Ira M. Lubert, James J.</w:t>
        </w:r>
      </w:hyperlink>
    </w:p>
    <w:p>
      <w:pPr>
        <w:spacing w:after="0" w:line="21" w:lineRule="exact"/>
        <w:rPr>
          <w:sz w:val="20"/>
          <w:szCs w:val="20"/>
          <w:color w:val="auto"/>
        </w:rPr>
      </w:pPr>
    </w:p>
    <w:p>
      <w:pPr>
        <w:ind w:left="17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Lynch and James F. Deutsch.</w:t>
        </w:r>
      </w:hyperlink>
    </w:p>
    <w:p>
      <w:pPr>
        <w:spacing w:after="0" w:line="9" w:lineRule="exact"/>
        <w:rPr>
          <w:sz w:val="20"/>
          <w:szCs w:val="20"/>
          <w:color w:val="auto"/>
        </w:rPr>
      </w:pPr>
    </w:p>
    <w:p>
      <w:pPr>
        <w:ind w:left="1700" w:hanging="1001"/>
        <w:spacing w:after="0" w:line="250" w:lineRule="auto"/>
        <w:tabs>
          <w:tab w:leader="none" w:pos="1700" w:val="left"/>
        </w:tabs>
        <w:numPr>
          <w:ilvl w:val="0"/>
          <w:numId w:val="12"/>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Side Letter Agreement, dated December 30, 2021, between USCB Financial Holdings, Inc., U.S. Century Bank, Priam Capital Fund</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II, LP, Patriot Financial Partners II, L.P. and Patriot Financial Partners Parallel II, L.P.*</w:t>
        </w:r>
      </w:hyperlink>
    </w:p>
    <w:p>
      <w:pPr>
        <w:spacing w:after="0" w:line="1" w:lineRule="exact"/>
        <w:rPr>
          <w:rFonts w:ascii="Arial" w:cs="Arial" w:eastAsia="Arial" w:hAnsi="Arial"/>
          <w:sz w:val="18"/>
          <w:szCs w:val="18"/>
          <w:u w:val="single" w:color="auto"/>
          <w:color w:val="0000EE"/>
        </w:rPr>
      </w:pPr>
    </w:p>
    <w:p>
      <w:pPr>
        <w:ind w:left="1700" w:hanging="1001"/>
        <w:spacing w:after="0" w:line="265" w:lineRule="auto"/>
        <w:tabs>
          <w:tab w:leader="none" w:pos="1700" w:val="left"/>
        </w:tabs>
        <w:numPr>
          <w:ilvl w:val="0"/>
          <w:numId w:val="13"/>
        </w:numPr>
        <w:rPr>
          <w:rFonts w:ascii="Arial" w:cs="Arial" w:eastAsia="Arial" w:hAnsi="Arial"/>
          <w:sz w:val="17"/>
          <w:szCs w:val="17"/>
          <w:u w:val="single" w:color="auto"/>
          <w:color w:val="0000EE"/>
        </w:rPr>
      </w:pPr>
      <w:hyperlink r:id="rId21">
        <w:r>
          <w:rPr>
            <w:rFonts w:ascii="Arial" w:cs="Arial" w:eastAsia="Arial" w:hAnsi="Arial"/>
            <w:sz w:val="17"/>
            <w:szCs w:val="17"/>
            <w:u w:val="single" w:color="auto"/>
            <w:color w:val="0000EE"/>
          </w:rPr>
          <w:t>Registration Rights Agreement, dated March 17, 2015, between U.S. Century Bank, Priam Capital Fund II, LP, Patriot Financial</w:t>
        </w:r>
      </w:hyperlink>
      <w:r>
        <w:rPr>
          <w:rFonts w:ascii="Arial" w:cs="Arial" w:eastAsia="Arial" w:hAnsi="Arial"/>
          <w:sz w:val="17"/>
          <w:szCs w:val="17"/>
          <w:u w:val="single" w:color="auto"/>
          <w:color w:val="0000EE"/>
        </w:rPr>
        <w:t xml:space="preserve"> </w:t>
      </w:r>
      <w:hyperlink r:id="rId21">
        <w:r>
          <w:rPr>
            <w:rFonts w:ascii="Arial" w:cs="Arial" w:eastAsia="Arial" w:hAnsi="Arial"/>
            <w:sz w:val="17"/>
            <w:szCs w:val="17"/>
            <w:u w:val="single" w:color="auto"/>
            <w:color w:val="0000EE"/>
          </w:rPr>
          <w:t>Partners II, L.P., Patriot Financial Partners Parallel II, L.P., and certain other shareholders of U.S. Century Bank.*</w:t>
        </w:r>
      </w:hyperlink>
    </w:p>
    <w:p>
      <w:pPr>
        <w:ind w:left="1700" w:hanging="1001"/>
        <w:spacing w:after="0" w:line="260" w:lineRule="auto"/>
        <w:tabs>
          <w:tab w:leader="none" w:pos="1700" w:val="left"/>
        </w:tabs>
        <w:numPr>
          <w:ilvl w:val="1"/>
          <w:numId w:val="14"/>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Assignment and Assumption of Agreement, dated December 30, 2021, between U.S. Century Bank and USCB Financial Holdings,</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Inc.*</w:t>
        </w:r>
      </w:hyperlink>
    </w:p>
    <w:p>
      <w:pPr>
        <w:spacing w:after="0" w:line="21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7"/>
          <w:szCs w:val="17"/>
          <w:color w:val="auto"/>
        </w:rPr>
        <w:t>*   Incorporated by reference from the Current Report on Form 8-K12B filed by USCB Financial Holdings, Inc. with the SEC on December 30, 2021.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Rule 13d-1(k)(1) under the Securities Exchange Act of 1934, as amended, the undersigned hereby agree that the Schedule 13D to which this Joint Filing Agreement is being filed as an exhibit shall be a joint statement filed on behalf of each of the undersigned.</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January 6, 2022</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PATRIOT FINANCIAL PARTNERS II, L.P.</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right="140"/>
        <w:spacing w:after="0" w:line="263" w:lineRule="auto"/>
        <w:rPr>
          <w:sz w:val="20"/>
          <w:szCs w:val="20"/>
          <w:color w:val="auto"/>
        </w:rPr>
      </w:pPr>
      <w:r>
        <w:rPr>
          <w:rFonts w:ascii="Arial" w:cs="Arial" w:eastAsia="Arial" w:hAnsi="Arial"/>
          <w:sz w:val="18"/>
          <w:szCs w:val="18"/>
          <w:color w:val="auto"/>
        </w:rPr>
        <w:t>W. Kirk Wycoff, a member of Patriot Financial Partners GP II, LLC, the general partner of Patriot Financial Partners GP II, L.P., the general partner of Patriot Financial Partners II, L.P.</w:t>
      </w:r>
    </w:p>
    <w:p>
      <w:pPr>
        <w:spacing w:after="0" w:line="1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PATRIOT FINANCIAL PARTNERS PARALLEL II, L.P.</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right="140"/>
        <w:spacing w:after="0" w:line="263" w:lineRule="auto"/>
        <w:rPr>
          <w:sz w:val="20"/>
          <w:szCs w:val="20"/>
          <w:color w:val="auto"/>
        </w:rPr>
      </w:pPr>
      <w:r>
        <w:rPr>
          <w:rFonts w:ascii="Arial" w:cs="Arial" w:eastAsia="Arial" w:hAnsi="Arial"/>
          <w:sz w:val="18"/>
          <w:szCs w:val="18"/>
          <w:color w:val="auto"/>
        </w:rPr>
        <w:t>W. Kirk Wycoff, a member of Patriot Financial Partners GP II, LLC, the general partner of Patriot Financial Partners GP II, L.P., the general partner of Patriot Financial Partners Parallel II, L.P.</w:t>
      </w:r>
    </w:p>
    <w:p>
      <w:pPr>
        <w:spacing w:after="0" w:line="1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PATRIOT FINANCIAL PARTNERS GP II, L.P.</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right="100"/>
        <w:spacing w:after="0" w:line="276" w:lineRule="auto"/>
        <w:rPr>
          <w:sz w:val="20"/>
          <w:szCs w:val="20"/>
          <w:color w:val="auto"/>
        </w:rPr>
      </w:pPr>
      <w:r>
        <w:rPr>
          <w:rFonts w:ascii="Arial" w:cs="Arial" w:eastAsia="Arial" w:hAnsi="Arial"/>
          <w:sz w:val="18"/>
          <w:szCs w:val="18"/>
          <w:color w:val="auto"/>
        </w:rPr>
        <w:t>W. Kirk Wycoff, a member of Patriot Financial Partners GP II, LLC., the general partner of Patriot Financial Partners GP II, L.P.</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PATRIOT FINANCIAL PARTNERS GP II, LLC</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W. Kirk Wycoff, a member</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W. Kirk Wycoff</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Ira M. Lubert</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James J. Lynch</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35"/>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
      <w:numFmt w:val="bullet"/>
      <w:start w:val="1"/>
    </w:lvl>
    <w:lvl w:ilvl="1">
      <w:lvlJc w:val="left"/>
      <w:lvlText w:val="4"/>
      <w:numFmt w:val="bullet"/>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2"/>
      <w:numFmt w:val="bullet"/>
      <w:start w:val="1"/>
    </w:lvl>
  </w:abstractNum>
  <w:abstractNum w:abstractNumId="12">
    <w:nsid w:val="109CF92E"/>
    <w:multiLevelType w:val="hybridMultilevel"/>
    <w:lvl w:ilvl="0">
      <w:lvlJc w:val="left"/>
      <w:lvlText w:val="3"/>
      <w:numFmt w:val="bullet"/>
      <w:start w:val="1"/>
    </w:lvl>
  </w:abstractNum>
  <w:abstractNum w:abstractNumId="13">
    <w:nsid w:val="DED7263"/>
    <w:multiLevelType w:val="hybridMultilevel"/>
    <w:lvl w:ilvl="0">
      <w:lvlJc w:val="left"/>
      <w:lvlText w:val="*"/>
      <w:numFmt w:val="bullet"/>
      <w:start w:val="1"/>
    </w:lvl>
    <w:lvl w:ilvl="1">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20" Type="http://schemas.openxmlformats.org/officeDocument/2006/relationships/hyperlink" Target="https://www.sec.gov/Archives/edgar/data/0001901637/000119312521369812/d628417dex41.htm" TargetMode="External"/><Relationship Id="rId21" Type="http://schemas.openxmlformats.org/officeDocument/2006/relationships/hyperlink" Target="https://www.sec.gov/Archives/edgar/data/0001901637/000119312521369812/d628417dex42.htm" TargetMode="External"/><Relationship Id="rId22" Type="http://schemas.openxmlformats.org/officeDocument/2006/relationships/hyperlink" Target="https://www.sec.gov/Archives/edgar/data/0001901637/000119312521369812/d62841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2022-01-06T10:58:45Z</dcterms:created>
  <dcterms:modified xsi:type="dcterms:W3CDTF">2022-01-06T10:58:45Z</dcterms:modified>
</cp:coreProperties>
</file>