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8659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65949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WYCOFF W KIRK</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700"/>
        <w:spacing w:after="0" w:line="385" w:lineRule="auto"/>
        <w:rPr>
          <w:sz w:val="20"/>
          <w:szCs w:val="20"/>
          <w:color w:val="auto"/>
        </w:rPr>
      </w:pPr>
      <w:r>
        <w:rPr>
          <w:rFonts w:ascii="Times New Roman" w:cs="Times New Roman" w:eastAsia="Times New Roman" w:hAnsi="Times New Roman"/>
          <w:sz w:val="16"/>
          <w:szCs w:val="16"/>
          <w:color w:val="0000FF"/>
        </w:rPr>
        <w:t>FOUR RADNOR CORPORATE CENTER 100 MATSONFORD ROAD, SUITE 210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3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4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3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38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0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25"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00" w:type="dxa"/>
            <w:vAlign w:val="bottom"/>
          </w:tcPr>
          <w:p>
            <w:pPr>
              <w:ind w:left="4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00" w:type="dxa"/>
            <w:vAlign w:val="bottom"/>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0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04/30/2026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37,152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18.24</w:t>
            </w:r>
            <w:r>
              <w:rPr>
                <w:rFonts w:ascii="Times New Roman" w:cs="Times New Roman" w:eastAsia="Times New Roman" w:hAnsi="Times New Roman"/>
                <w:sz w:val="21"/>
                <w:szCs w:val="21"/>
                <w:color w:val="008000"/>
                <w:vertAlign w:val="superscript"/>
              </w:rPr>
              <w:t>(1)</w:t>
            </w:r>
          </w:p>
        </w:tc>
        <w:tc>
          <w:tcPr>
            <w:tcW w:w="11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1,826,634</w:t>
            </w:r>
          </w:p>
        </w:tc>
        <w:tc>
          <w:tcPr>
            <w:tcW w:w="960" w:type="dxa"/>
            <w:vAlign w:val="bottom"/>
            <w:tcBorders>
              <w:bottom w:val="single" w:sz="8" w:color="2C2C2C"/>
            </w:tcBorders>
          </w:tcPr>
          <w:p>
            <w:pPr>
              <w:ind w:left="12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(3)(4)(5)(6)(7)</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50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05/01/2026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12,848</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18.28</w:t>
            </w:r>
            <w:r>
              <w:rPr>
                <w:rFonts w:ascii="Times New Roman" w:cs="Times New Roman" w:eastAsia="Times New Roman" w:hAnsi="Times New Roman"/>
                <w:sz w:val="21"/>
                <w:szCs w:val="21"/>
                <w:color w:val="008000"/>
                <w:vertAlign w:val="superscript"/>
              </w:rPr>
              <w:t>(2)</w:t>
            </w:r>
          </w:p>
        </w:tc>
        <w:tc>
          <w:tcPr>
            <w:tcW w:w="11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1,813,786</w:t>
            </w:r>
          </w:p>
        </w:tc>
        <w:tc>
          <w:tcPr>
            <w:tcW w:w="960" w:type="dxa"/>
            <w:vAlign w:val="bottom"/>
            <w:tcBorders>
              <w:bottom w:val="single" w:sz="8" w:color="2C2C2C"/>
            </w:tcBorders>
          </w:tcPr>
          <w:p>
            <w:pPr>
              <w:ind w:left="120"/>
              <w:spacing w:after="0" w:line="312"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(3)(4)(5)(6)(7)</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Class A</w:t>
            </w: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vMerge w:val="restart"/>
          </w:tcPr>
          <w:p>
            <w:pPr>
              <w:ind w:left="260"/>
              <w:spacing w:after="0" w:line="209"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(8)</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09/23/2019</w:t>
            </w:r>
          </w:p>
        </w:tc>
        <w:tc>
          <w:tcPr>
            <w:tcW w:w="720" w:type="dxa"/>
            <w:vAlign w:val="bottom"/>
            <w:vMerge w:val="continue"/>
          </w:tcPr>
          <w:p>
            <w:pPr>
              <w:spacing w:after="0"/>
              <w:rPr>
                <w:sz w:val="6"/>
                <w:szCs w:val="6"/>
                <w:color w:val="auto"/>
              </w:rPr>
            </w:pP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4,000</w:t>
            </w: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line="22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WYCOFF W KIRK</w:t>
              </w:r>
            </w:hyperlink>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RADNOR</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PA</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19087</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gridSpan w:val="6"/>
          </w:tcPr>
          <w:p>
            <w:pPr>
              <w:spacing w:after="0" w:line="223"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Patriot Financial Partners GP II, L.P.</w:t>
              </w:r>
            </w:hyperlink>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MATSONFORD ROAD, SUITE 210</w:t>
      </w:r>
    </w:p>
    <w:p>
      <w:pPr>
        <w:spacing w:after="0" w:line="28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6" w:right="359" w:bottom="0" w:gutter="0" w:footer="0" w:header="0"/>
          <w:type w:val="continuous"/>
        </w:sectPr>
      </w:pPr>
    </w:p>
    <w:p>
      <w:pPr>
        <w:spacing w:after="0" w:line="33"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RADNOR</w:t>
      </w:r>
      <w:r>
        <w:rPr>
          <w:sz w:val="20"/>
          <w:szCs w:val="20"/>
          <w:color w:val="auto"/>
        </w:rPr>
        <w:tab/>
      </w:r>
      <w:r>
        <w:rPr>
          <w:rFonts w:ascii="Times New Roman" w:cs="Times New Roman" w:eastAsia="Times New Roman" w:hAnsi="Times New Roman"/>
          <w:sz w:val="17"/>
          <w:szCs w:val="17"/>
          <w:color w:val="0000FF"/>
        </w:rPr>
        <w:t>PA</w:t>
      </w:r>
      <w:r>
        <w:rPr>
          <w:sz w:val="20"/>
          <w:szCs w:val="20"/>
          <w:color w:val="auto"/>
        </w:rPr>
        <w:tab/>
      </w:r>
      <w:r>
        <w:rPr>
          <w:rFonts w:ascii="Times New Roman" w:cs="Times New Roman" w:eastAsia="Times New Roman" w:hAnsi="Times New Roman"/>
          <w:sz w:val="16"/>
          <w:szCs w:val="16"/>
          <w:color w:val="0000FF"/>
        </w:rPr>
        <w:t>19087</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3"/>
          </w:tcPr>
          <w:p>
            <w:pPr>
              <w:spacing w:after="0" w:line="223" w:lineRule="exact"/>
              <w:rPr>
                <w:rFonts w:ascii="Times New Roman" w:cs="Times New Roman" w:eastAsia="Times New Roman" w:hAnsi="Times New Roman"/>
                <w:sz w:val="21"/>
                <w:szCs w:val="21"/>
                <w:color w:val="0000EE"/>
                <w:w w:val="98"/>
              </w:rPr>
            </w:pPr>
            <w:hyperlink r:id="rId16">
              <w:r>
                <w:rPr>
                  <w:rFonts w:ascii="Times New Roman" w:cs="Times New Roman" w:eastAsia="Times New Roman" w:hAnsi="Times New Roman"/>
                  <w:sz w:val="21"/>
                  <w:szCs w:val="21"/>
                  <w:color w:val="0000EE"/>
                  <w:w w:val="98"/>
                </w:rPr>
                <w:t>Patriot Financial Partners II, L.P.</w:t>
              </w:r>
            </w:hyperlink>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68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5430" cy="10525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5430" cy="1052512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Patriot Financial Partners Parallel II, L.P.</w:t>
        </w:r>
      </w:hyperlink>
    </w:p>
    <w:p>
      <w:pPr>
        <w:spacing w:after="0" w:line="296"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 MATSONFORD ROAD, SUITE 210</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Patriot Financial Partners GP II, LLC</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Deutsch James F.</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LUBERT IRA M</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FMC TOWER AT CIRA CENTRE SOUTH</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2929 WALNUT STREET, SUITE 1550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rPr>
              <w:t>PHILADELPHIA</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19104</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3"/>
          </w:tcPr>
          <w:p>
            <w:pPr>
              <w:spacing w:after="0" w:line="223"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LYNCH JAMES J</w:t>
              </w:r>
            </w:hyperlink>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 MATSONFORD ROAD, SUITE 210</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296" w:right="1440" w:bottom="0" w:gutter="0" w:footer="0" w:header="0"/>
        </w:sectPr>
      </w:pPr>
    </w:p>
    <w:p>
      <w:pPr>
        <w:spacing w:after="0" w:line="33"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RADNOR</w:t>
      </w:r>
      <w:r>
        <w:rPr>
          <w:sz w:val="20"/>
          <w:szCs w:val="20"/>
          <w:color w:val="auto"/>
        </w:rPr>
        <w:tab/>
      </w:r>
      <w:r>
        <w:rPr>
          <w:rFonts w:ascii="Times New Roman" w:cs="Times New Roman" w:eastAsia="Times New Roman" w:hAnsi="Times New Roman"/>
          <w:sz w:val="17"/>
          <w:szCs w:val="17"/>
          <w:color w:val="0000FF"/>
        </w:rPr>
        <w:t>PA</w:t>
      </w:r>
      <w:r>
        <w:rPr>
          <w:sz w:val="20"/>
          <w:szCs w:val="20"/>
          <w:color w:val="auto"/>
        </w:rPr>
        <w:tab/>
      </w:r>
      <w:r>
        <w:rPr>
          <w:rFonts w:ascii="Times New Roman" w:cs="Times New Roman" w:eastAsia="Times New Roman" w:hAnsi="Times New Roman"/>
          <w:sz w:val="16"/>
          <w:szCs w:val="16"/>
          <w:color w:val="0000FF"/>
        </w:rPr>
        <w:t>19087</w:t>
      </w:r>
    </w:p>
    <w:p>
      <w:pPr>
        <w:sectPr>
          <w:pgSz w:w="11900" w:h="16838" w:orient="portrait"/>
          <w:cols w:equalWidth="0" w:num="1">
            <w:col w:w="9979"/>
          </w:cols>
          <w:pgMar w:left="480" w:top="29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4"/>
          </w:tcPr>
          <w:p>
            <w:pPr>
              <w:spacing w:after="0" w:line="223"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Patriot Financial Manager, L.P.</w:t>
              </w:r>
            </w:hyperlink>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54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FOUR RADNOR CORPORATE CENTER</w:t>
            </w:r>
          </w:p>
        </w:tc>
      </w:tr>
      <w:tr>
        <w:trPr>
          <w:trHeight w:val="261"/>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MATSONFORD ROAD, SUITE 210</w:t>
            </w: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1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RADNOR</w:t>
            </w:r>
          </w:p>
        </w:tc>
        <w:tc>
          <w:tcPr>
            <w:tcW w:w="166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19087</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4"/>
          </w:tcPr>
          <w:p>
            <w:pPr>
              <w:spacing w:after="0" w:line="223"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Patriot Financial Manager, LLC</w:t>
              </w:r>
            </w:hyperlink>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5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5430" cy="3694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5430" cy="369443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FOUR RADNOR CORPORATE CENTER</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100 MATSONFORD ROAD, SUITE 210</w:t>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RADNOR</w:t>
            </w:r>
          </w:p>
        </w:tc>
        <w:tc>
          <w:tcPr>
            <w:tcW w:w="12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PA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19087</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8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40" w:firstLine="3"/>
        <w:spacing w:after="0" w:line="245"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$18.20 to $18.57, inclusive. The reporting persons undertake to provide to USCB, any security holder of USCB, or the staff of the Securities and Exchange Commission, upon request, full information regarding the number of shares sold at each separate price within the ranges set forth herein.</w:t>
      </w:r>
    </w:p>
    <w:p>
      <w:pPr>
        <w:spacing w:after="0" w:line="24" w:lineRule="exact"/>
        <w:rPr>
          <w:rFonts w:ascii="Times New Roman" w:cs="Times New Roman" w:eastAsia="Times New Roman" w:hAnsi="Times New Roman"/>
          <w:sz w:val="13"/>
          <w:szCs w:val="13"/>
          <w:color w:val="008000"/>
        </w:rPr>
      </w:pPr>
    </w:p>
    <w:p>
      <w:pPr>
        <w:ind w:left="20" w:right="40" w:firstLine="3"/>
        <w:spacing w:after="0" w:line="245"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$18.25 to $18.50, inclusive. The reporting persons undertake to provide to USCB, any security holder of USCB, or the staff of the Securities and Exchange Commission, upon request, full information regarding the number of shares sold at each separate price within the ranges set forth herein.</w:t>
      </w:r>
    </w:p>
    <w:p>
      <w:pPr>
        <w:spacing w:after="0" w:line="24" w:lineRule="exact"/>
        <w:rPr>
          <w:rFonts w:ascii="Times New Roman" w:cs="Times New Roman" w:eastAsia="Times New Roman" w:hAnsi="Times New Roman"/>
          <w:sz w:val="13"/>
          <w:szCs w:val="13"/>
          <w:color w:val="008000"/>
        </w:rPr>
      </w:pPr>
    </w:p>
    <w:p>
      <w:pPr>
        <w:ind w:left="20" w:firstLine="3"/>
        <w:spacing w:after="0" w:line="245"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Patriot Financial Partners GP II, LLC ("Patriot LLC"), Patriot Financial Partners GP II, LP. ("Patriot GP"), Patriot Financial Partners II, LP. ("Patriot Fund II"), Patriot Financial Partners Parallel II, LP. ("Patriot Parallel Fund II," together with Patriot Fund II, the "Funds"), Patriot Financial Manager, LLC ("Manager LLC") and Patriot Financial Manager, L.P. ("Manager LP"), W. Kirk Wycoff, James J. Lynch, Ira M. Lubert and James F. Deutsch.</w:t>
      </w:r>
    </w:p>
    <w:p>
      <w:pPr>
        <w:spacing w:after="0" w:line="24" w:lineRule="exact"/>
        <w:rPr>
          <w:rFonts w:ascii="Times New Roman" w:cs="Times New Roman" w:eastAsia="Times New Roman" w:hAnsi="Times New Roman"/>
          <w:sz w:val="13"/>
          <w:szCs w:val="13"/>
          <w:color w:val="008000"/>
        </w:rPr>
      </w:pPr>
    </w:p>
    <w:p>
      <w:pPr>
        <w:jc w:val="both"/>
        <w:ind w:left="20" w:right="20" w:firstLine="3"/>
        <w:spacing w:after="0" w:line="245"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Patriot GP is a general partner of each of the Funds and Patriot LLC is a general partner of Patriot GP. In addition, each of W. Kirk Wycoff, Ira M. Lubert and James J. Lynch serve as general partners of the Funds and is a member of Patriot LLC. Manager LP, serves as investment manager to the Funds. Manager LLC serves as general partner of Manager LP and W. Kirk Wycoff, Ira M. Lubert and James J. Lynch are members of Manager LLC. James F. Deutsch is a member of the Patriot Funds Investment Committee.</w:t>
      </w:r>
    </w:p>
    <w:p>
      <w:pPr>
        <w:spacing w:after="0" w:line="24" w:lineRule="exact"/>
        <w:rPr>
          <w:rFonts w:ascii="Times New Roman" w:cs="Times New Roman" w:eastAsia="Times New Roman" w:hAnsi="Times New Roman"/>
          <w:sz w:val="13"/>
          <w:szCs w:val="13"/>
          <w:color w:val="008000"/>
        </w:rPr>
      </w:pPr>
    </w:p>
    <w:p>
      <w:pPr>
        <w:ind w:left="20" w:right="380" w:firstLine="3"/>
        <w:spacing w:after="0" w:line="260"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owned by the Funds may be regarded as being beneficially owned by Patriot GP, Patriot LLC, Manager LLC, Manager LP, W. Kirk Wycoff, James J. Lynch, Ira M. Lubert and James F. Deutsch.</w:t>
      </w:r>
    </w:p>
    <w:p>
      <w:pPr>
        <w:spacing w:after="0" w:line="14"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After the sales, Manager LP holds 7,500 shares of common stock, Patriot Fund II holds 1,617,670 shares of common stock and Patriot Parallel Fund II holds 188,616 shares of common stock.</w:t>
      </w:r>
    </w:p>
    <w:p>
      <w:pPr>
        <w:spacing w:after="0" w:line="45" w:lineRule="exact"/>
        <w:rPr>
          <w:rFonts w:ascii="Times New Roman" w:cs="Times New Roman" w:eastAsia="Times New Roman" w:hAnsi="Times New Roman"/>
          <w:sz w:val="13"/>
          <w:szCs w:val="13"/>
          <w:color w:val="008000"/>
        </w:rPr>
      </w:pPr>
    </w:p>
    <w:p>
      <w:pPr>
        <w:jc w:val="both"/>
        <w:ind w:left="20" w:right="20" w:firstLine="3"/>
        <w:spacing w:after="0" w:line="245"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filing shall not be deemed an admission that the Reporting Persons are subject to Section 16 of the Securities Exchange Act of 1934, as amended (the "Exchange Act"), or, for purposes of Section 16 of the Exchange Act or otherwise (other than to the extent a Reporting Person directly holds the securities reported herein), and Messrs. Wycoff, Lynch, Lubert and Deutsch each disclaim beneficial ownership of the securities owned by the Funds or Manager LP, except to the extent of their respective pecuniary interest therein.</w:t>
      </w:r>
    </w:p>
    <w:p>
      <w:pPr>
        <w:spacing w:after="0" w:line="24" w:lineRule="exact"/>
        <w:rPr>
          <w:rFonts w:ascii="Times New Roman" w:cs="Times New Roman" w:eastAsia="Times New Roman" w:hAnsi="Times New Roman"/>
          <w:sz w:val="13"/>
          <w:szCs w:val="13"/>
          <w:color w:val="008000"/>
        </w:rPr>
      </w:pPr>
    </w:p>
    <w:p>
      <w:pPr>
        <w:ind w:left="20" w:right="300" w:firstLine="3"/>
        <w:spacing w:after="0" w:line="260"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previously granted to Mr. Wycoff as a director of the Company. The option to purchase Class A Voting Common Stock remains exercisable until three months after the date Mr. Wycoff ceased to serve as a non-employee of the Issuer.</w:t>
      </w:r>
    </w:p>
    <w:p>
      <w:pPr>
        <w:sectPr>
          <w:pgSz w:w="11900" w:h="16838" w:orient="portrait"/>
          <w:cols w:equalWidth="0" w:num="1">
            <w:col w:w="10900"/>
          </w:cols>
          <w:pgMar w:left="480" w:top="166" w:right="519" w:bottom="0" w:gutter="0" w:footer="0" w:header="0"/>
        </w:sectPr>
      </w:pPr>
    </w:p>
    <w:p>
      <w:pPr>
        <w:spacing w:after="0" w:line="4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Patriot Financial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347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L.P. By: W. Kirk Wycoff,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167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 of Patriot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1976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 of Patriot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57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the general partner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363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3194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1221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GP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009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31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1798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Patriot GP,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99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Patriot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7499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12217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Parallel II, L.P.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00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Wycoff, a member of Patriot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312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1798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Patriot GP,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99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Patriot Parallel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105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Patriot Financial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12217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GP II, LLC By: W.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044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Wycoff,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800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Patriot Financial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12744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L.P. By: W. Kirk Wycoff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140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 of Manager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934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 of Manager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3258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Patriot Financial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12515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LLC By: W. Kirk Wycoff,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03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3524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8700" w:space="80"/>
            <w:col w:w="2120"/>
          </w:cols>
          <w:pgMar w:left="480" w:top="166" w:right="519" w:bottom="0" w:gutter="0" w:footer="0" w:header="0"/>
          <w:type w:val="continuous"/>
        </w:sectPr>
      </w:pPr>
    </w:p>
    <w:p>
      <w:pPr>
        <w:ind w:left="6580"/>
        <w:spacing w:after="0"/>
        <w:rPr>
          <w:sz w:val="20"/>
          <w:szCs w:val="20"/>
          <w:color w:val="auto"/>
        </w:rPr>
      </w:pPr>
      <w:r>
        <w:rPr>
          <w:rFonts w:ascii="Times New Roman" w:cs="Times New Roman" w:eastAsia="Times New Roman" w:hAnsi="Times New Roman"/>
          <w:sz w:val="17"/>
          <w:szCs w:val="17"/>
          <w:color w:val="0000FF"/>
        </w:rPr>
        <w:t>/s/ W. Kirk Wycoff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817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F.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875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James J. Murphy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3055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for Ira M. Lubert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7346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4902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ectPr>
          <w:pgSz w:w="11900" w:h="16838" w:orient="portrait"/>
          <w:cols w:equalWidth="0" w:num="2">
            <w:col w:w="8640" w:space="140"/>
            <w:col w:w="2120"/>
          </w:cols>
          <w:pgMar w:left="480" w:top="166" w:right="519" w:bottom="0" w:gutter="0" w:footer="0" w:header="0"/>
          <w:type w:val="continuous"/>
        </w:sectPr>
      </w:pPr>
    </w:p>
    <w:bookmarkStart w:id="3" w:name="page4"/>
    <w:bookmarkEnd w:id="3"/>
    <w:tbl>
      <w:tblPr>
        <w:tblLayout w:type="fixed"/>
        <w:tblInd w:w="656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James J. Lynch</w:t>
            </w:r>
          </w:p>
        </w:tc>
        <w:tc>
          <w:tcPr>
            <w:tcW w:w="80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05/01/2026</w:t>
            </w:r>
          </w:p>
        </w:tc>
      </w:tr>
      <w:tr>
        <w:trPr>
          <w:trHeight w:val="20"/>
        </w:trPr>
        <w:tc>
          <w:tcPr>
            <w:tcW w:w="1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3" Type="http://schemas.openxmlformats.org/officeDocument/2006/relationships/hyperlink" Target="http://www.sec.gov/cgi-bin/browse-edgar?action=getcompany&amp;CIK=0000949197" TargetMode="External"/><Relationship Id="rId14" Type="http://schemas.openxmlformats.org/officeDocument/2006/relationships/hyperlink" Target="http://www.sec.gov/cgi-bin/browse-edgar?action=getcompany&amp;CIK=0001901637" TargetMode="External"/><Relationship Id="rId15" Type="http://schemas.openxmlformats.org/officeDocument/2006/relationships/hyperlink" Target="http://www.sec.gov/cgi-bin/browse-edgar?action=getcompany&amp;CIK=0002061817" TargetMode="External"/><Relationship Id="rId16" Type="http://schemas.openxmlformats.org/officeDocument/2006/relationships/hyperlink" Target="http://www.sec.gov/cgi-bin/browse-edgar?action=getcompany&amp;CIK=0001583223" TargetMode="External"/><Relationship Id="rId18" Type="http://schemas.openxmlformats.org/officeDocument/2006/relationships/hyperlink" Target="http://www.sec.gov/cgi-bin/browse-edgar?action=getcompany&amp;CIK=0001586224" TargetMode="External"/><Relationship Id="rId19" Type="http://schemas.openxmlformats.org/officeDocument/2006/relationships/hyperlink" Target="http://www.sec.gov/cgi-bin/browse-edgar?action=getcompany&amp;CIK=0002061814" TargetMode="External"/><Relationship Id="rId20" Type="http://schemas.openxmlformats.org/officeDocument/2006/relationships/hyperlink" Target="http://www.sec.gov/cgi-bin/browse-edgar?action=getcompany&amp;CIK=0001561111" TargetMode="External"/><Relationship Id="rId21" Type="http://schemas.openxmlformats.org/officeDocument/2006/relationships/hyperlink" Target="http://www.sec.gov/cgi-bin/browse-edgar?action=getcompany&amp;CIK=0001203115" TargetMode="External"/><Relationship Id="rId22" Type="http://schemas.openxmlformats.org/officeDocument/2006/relationships/hyperlink" Target="http://www.sec.gov/cgi-bin/browse-edgar?action=getcompany&amp;CIK=0001222379" TargetMode="External"/><Relationship Id="rId23" Type="http://schemas.openxmlformats.org/officeDocument/2006/relationships/hyperlink" Target="http://www.sec.gov/cgi-bin/browse-edgar?action=getcompany&amp;CIK=0002079600" TargetMode="External"/><Relationship Id="rId24" Type="http://schemas.openxmlformats.org/officeDocument/2006/relationships/hyperlink" Target="http://www.sec.gov/cgi-bin/browse-edgar?action=getcompany&amp;CIK=000207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2026-05-01T16:45:05Z</dcterms:created>
  <dcterms:modified xsi:type="dcterms:W3CDTF">2026-05-01T16:45:05Z</dcterms:modified>
</cp:coreProperties>
</file>