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25, 2024</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Doral,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jc w:val="both"/>
        <w:ind w:left="660" w:right="6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2.02. Results of Operations and Financial Condition.</w:t>
      </w:r>
    </w:p>
    <w:p>
      <w:pPr>
        <w:spacing w:after="0" w:line="172" w:lineRule="exact"/>
        <w:rPr>
          <w:sz w:val="20"/>
          <w:szCs w:val="20"/>
          <w:color w:val="auto"/>
        </w:rPr>
      </w:pPr>
    </w:p>
    <w:p>
      <w:pPr>
        <w:jc w:val="both"/>
        <w:ind w:left="660" w:right="679" w:firstLine="512"/>
        <w:spacing w:after="0" w:line="263" w:lineRule="auto"/>
        <w:rPr>
          <w:sz w:val="20"/>
          <w:szCs w:val="20"/>
          <w:color w:val="auto"/>
        </w:rPr>
      </w:pPr>
      <w:r>
        <w:rPr>
          <w:rFonts w:ascii="Times New Roman" w:cs="Times New Roman" w:eastAsia="Times New Roman" w:hAnsi="Times New Roman"/>
          <w:sz w:val="14"/>
          <w:szCs w:val="14"/>
          <w:color w:val="auto"/>
        </w:rPr>
        <w:t>On January 25, 2024, USCB Financial Holdings, Inc. (the “Company”), issued a press release announcing its financial results for the fourth quarter ended December 31, 2023. A copy of the press release is furnished as Exhibit 99.1 to this Current Report on the (“Form 8-K”) and is incorporated herein by reference.</w:t>
      </w:r>
    </w:p>
    <w:p>
      <w:pPr>
        <w:spacing w:after="0" w:line="12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 Item 2.02,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(the “Securities Act”) or the Exchange Act except as expressly set forth by specific reference in such filing to this Form 8-K.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As previously announced, at 11:00 a.m. ET on January 26, 2024, the Company will hold an earnings conference call to discuss its financial performance for the quarter ended December 31, 2023. A copy of the slides forming the basis of the presentation is being furnished as Exhibit 99.2 to this Current Report on Form 8-K and is incorporated herein by reference. A copy of the slides has also been posted to the Company’s investor relations website, located at investors.uscenturybank.com.</w:t>
      </w:r>
    </w:p>
    <w:p>
      <w:pPr>
        <w:spacing w:after="0" w:line="127" w:lineRule="exact"/>
        <w:rPr>
          <w:sz w:val="20"/>
          <w:szCs w:val="20"/>
          <w:color w:val="auto"/>
        </w:rPr>
      </w:pPr>
    </w:p>
    <w:p>
      <w:pPr>
        <w:jc w:val="both"/>
        <w:ind w:left="660" w:right="65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 Item 7.01, including Exhibit 99.2, is being furnished and shall not be deemed “filed” for purposes of Section 18 of the Exchange Act, or otherwise subject to the liability of that section, and shall not be deemed to be incorporated by reference into any filing under the Securities Act or the Exchange Act except as set forth by specific reference in such filing to this Form 8-K.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 Exhibits.</w:t>
            </w:r>
          </w:p>
        </w:tc>
        <w:tc>
          <w:tcPr>
            <w:tcW w:w="2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3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9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99.1</w:t>
            </w:r>
          </w:p>
        </w:tc>
        <w:tc>
          <w:tcPr>
            <w:tcW w:w="3960" w:type="dxa"/>
            <w:vAlign w:val="bottom"/>
            <w:tcBorders>
              <w:bottom w:val="single" w:sz="8" w:color="0563C1"/>
            </w:tcBorders>
            <w:gridSpan w:val="2"/>
          </w:tcPr>
          <w:p>
            <w:pPr>
              <w:spacing w:after="0" w:line="129" w:lineRule="exact"/>
              <w:rPr>
                <w:sz w:val="20"/>
                <w:szCs w:val="20"/>
                <w:color w:val="auto"/>
              </w:rPr>
            </w:pPr>
            <w:r>
              <w:rPr>
                <w:rFonts w:ascii="Times New Roman" w:cs="Times New Roman" w:eastAsia="Times New Roman" w:hAnsi="Times New Roman"/>
                <w:sz w:val="14"/>
                <w:szCs w:val="14"/>
                <w:color w:val="0563C1"/>
              </w:rPr>
              <w:t>USCB Financial Holdings, Inc. Press Release, dated January 25, 2024</w:t>
            </w:r>
          </w:p>
        </w:tc>
        <w:tc>
          <w:tcPr>
            <w:tcW w:w="2300" w:type="dxa"/>
            <w:vAlign w:val="bottom"/>
          </w:tcPr>
          <w:p>
            <w:pPr>
              <w:spacing w:after="0"/>
              <w:rPr>
                <w:sz w:val="11"/>
                <w:szCs w:val="11"/>
                <w:color w:val="auto"/>
              </w:rPr>
            </w:pPr>
          </w:p>
        </w:tc>
      </w:tr>
      <w:tr>
        <w:trPr>
          <w:trHeight w:val="151"/>
        </w:trPr>
        <w:tc>
          <w:tcPr>
            <w:tcW w:w="92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99.2</w:t>
            </w:r>
          </w:p>
        </w:tc>
        <w:tc>
          <w:tcPr>
            <w:tcW w:w="62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0563C1"/>
              </w:rPr>
              <w:t>Earnings Presentation, dated January 25, 2024</w:t>
            </w:r>
          </w:p>
        </w:tc>
      </w:tr>
      <w:tr>
        <w:trPr>
          <w:trHeight w:val="175"/>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62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(embedded</w:t>
            </w: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2" w:lineRule="exact"/>
        <w:rPr>
          <w:sz w:val="20"/>
          <w:szCs w:val="20"/>
          <w:color w:val="auto"/>
        </w:rPr>
      </w:pPr>
    </w:p>
    <w:p>
      <w:pPr>
        <w:ind w:left="660" w:right="679" w:firstLine="51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USCB Financial Holdings, Inc.</w:t>
      </w:r>
    </w:p>
    <w:p>
      <w:pPr>
        <w:spacing w:after="0" w:line="332" w:lineRule="exact"/>
        <w:rPr>
          <w:sz w:val="20"/>
          <w:szCs w:val="20"/>
          <w:color w:val="auto"/>
        </w:rPr>
      </w:pPr>
    </w:p>
    <w:tbl>
      <w:tblPr>
        <w:tblLayout w:type="fixed"/>
        <w:tblInd w:w="520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Anderson</w:t>
            </w:r>
          </w:p>
        </w:tc>
      </w:tr>
      <w:tr>
        <w:trPr>
          <w:trHeight w:val="136"/>
        </w:trPr>
        <w:tc>
          <w:tcPr>
            <w:tcW w:w="5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Name:</w:t>
            </w:r>
          </w:p>
        </w:tc>
        <w:tc>
          <w:tcPr>
            <w:tcW w:w="25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Robert Anderson</w:t>
            </w:r>
          </w:p>
        </w:tc>
      </w:t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Date: January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1" w:right="1440" w:bottom="1440" w:gutter="0" w:footer="0" w:header="0"/>
        </w:sectPr>
      </w:pPr>
    </w:p>
    <w:bookmarkStart w:id="3" w:name="page4"/>
    <w:bookmarkEnd w:id="3"/>
    <w:p>
      <w:pPr>
        <w:ind w:left="776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99.1</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USCB Financial Holdings, Inc. Reports Diluted EPS of $0.14 for Q4 2023</w:t>
      </w:r>
    </w:p>
    <w:p>
      <w:pPr>
        <w:spacing w:after="0" w:line="319" w:lineRule="exact"/>
        <w:rPr>
          <w:sz w:val="20"/>
          <w:szCs w:val="20"/>
          <w:color w:val="auto"/>
        </w:rPr>
      </w:pPr>
    </w:p>
    <w:p>
      <w:pPr>
        <w:jc w:val="both"/>
        <w:ind w:left="660" w:right="659"/>
        <w:spacing w:after="0" w:line="265" w:lineRule="auto"/>
        <w:rPr>
          <w:sz w:val="20"/>
          <w:szCs w:val="20"/>
          <w:color w:val="auto"/>
        </w:rPr>
      </w:pPr>
      <w:r>
        <w:rPr>
          <w:rFonts w:ascii="Times New Roman" w:cs="Times New Roman" w:eastAsia="Times New Roman" w:hAnsi="Times New Roman"/>
          <w:sz w:val="11"/>
          <w:szCs w:val="11"/>
          <w:b w:val="1"/>
          <w:bCs w:val="1"/>
          <w:color w:val="auto"/>
        </w:rPr>
        <w:t>MIAMI, FL – January 25, 2024 – USCB Financial Holdings, Inc. (the “Company”) (NASDAQ: USCB)</w:t>
      </w:r>
      <w:r>
        <w:rPr>
          <w:rFonts w:ascii="Times New Roman" w:cs="Times New Roman" w:eastAsia="Times New Roman" w:hAnsi="Times New Roman"/>
          <w:sz w:val="11"/>
          <w:szCs w:val="11"/>
          <w:color w:val="auto"/>
        </w:rPr>
        <w:t>, the holding company for U.S. Century Bank (the “Bank”),</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reported net income of$2.7 million or $0.14per diluted share forthe three months endedDecember 31, 2023, compared to net income of$4.4 million or $0.22per diluted share, for the same period in 2022.</w:t>
      </w:r>
    </w:p>
    <w:p>
      <w:pPr>
        <w:spacing w:after="0" w:line="106" w:lineRule="exact"/>
        <w:rPr>
          <w:sz w:val="20"/>
          <w:szCs w:val="20"/>
          <w:color w:val="auto"/>
        </w:rPr>
      </w:pPr>
    </w:p>
    <w:p>
      <w:pPr>
        <w:jc w:val="both"/>
        <w:ind w:left="660" w:right="679"/>
        <w:spacing w:after="0" w:line="283" w:lineRule="auto"/>
        <w:rPr>
          <w:sz w:val="20"/>
          <w:szCs w:val="20"/>
          <w:color w:val="auto"/>
        </w:rPr>
      </w:pPr>
      <w:r>
        <w:rPr>
          <w:rFonts w:ascii="Times New Roman" w:cs="Times New Roman" w:eastAsia="Times New Roman" w:hAnsi="Times New Roman"/>
          <w:sz w:val="11"/>
          <w:szCs w:val="11"/>
          <w:color w:val="auto"/>
        </w:rPr>
        <w:t>“I am pleased to announce the results of a robust quarter at US Century Bank, achieving loan production of $186 million with $150 million in loan fundings having a weighted average coupon of 8% on new loans.” said Luis de la Aguilera, Chairman, President and CEO</w:t>
      </w:r>
    </w:p>
    <w:p>
      <w:pPr>
        <w:spacing w:after="0" w:line="96" w:lineRule="exact"/>
        <w:rPr>
          <w:sz w:val="20"/>
          <w:szCs w:val="20"/>
          <w:color w:val="auto"/>
        </w:rPr>
      </w:pPr>
    </w:p>
    <w:p>
      <w:pPr>
        <w:jc w:val="both"/>
        <w:ind w:left="660" w:right="659"/>
        <w:spacing w:after="0" w:line="255" w:lineRule="auto"/>
        <w:rPr>
          <w:sz w:val="20"/>
          <w:szCs w:val="20"/>
          <w:color w:val="auto"/>
        </w:rPr>
      </w:pPr>
      <w:r>
        <w:rPr>
          <w:rFonts w:ascii="Times New Roman" w:cs="Times New Roman" w:eastAsia="Times New Roman" w:hAnsi="Times New Roman"/>
          <w:sz w:val="11"/>
          <w:szCs w:val="11"/>
          <w:color w:val="auto"/>
        </w:rPr>
        <w:t>“Despite facing one of the most aggressive Federal Reserve tightening periods in history, we've observed a steady improvement in our operating environment. Our Net Interest Margin (NIM) improved 5 bps in comparison to the previous quarter. Additionally, our accumulated comprehensive loss also showed improvement in the fourth quarter decreasing by $7.0 million to $44.3 million, which has increased our stockholders equity and tangible book value. As part of our commitment to address NIM compression, we executed a $10 million loss trade transaction selling lower-yielding securities and reinvesting the funds in higher-yielding investments. Acknowledging the industry-wide impact of an inverted yield curve on earnings, our focus in 2024 is geared towards continued higher-yield loan production, deposit pricing discipline, and leveraging our proven business lines as lead deposit aggregators.” said de la Aguilera.</w:t>
      </w:r>
    </w:p>
    <w:p>
      <w:pPr>
        <w:spacing w:after="0" w:line="111" w:lineRule="exact"/>
        <w:rPr>
          <w:sz w:val="20"/>
          <w:szCs w:val="20"/>
          <w:color w:val="auto"/>
        </w:rPr>
      </w:pPr>
    </w:p>
    <w:p>
      <w:pPr>
        <w:jc w:val="both"/>
        <w:ind w:left="660" w:right="679"/>
        <w:spacing w:after="0" w:line="283" w:lineRule="auto"/>
        <w:rPr>
          <w:sz w:val="20"/>
          <w:szCs w:val="20"/>
          <w:color w:val="auto"/>
        </w:rPr>
      </w:pPr>
      <w:r>
        <w:rPr>
          <w:rFonts w:ascii="Times New Roman" w:cs="Times New Roman" w:eastAsia="Times New Roman" w:hAnsi="Times New Roman"/>
          <w:sz w:val="11"/>
          <w:szCs w:val="11"/>
          <w:color w:val="auto"/>
        </w:rPr>
        <w:t>Unless otherwise stated, all percentage comparisons in the bullet points below are calculated at or for the quarter ended December 31, 2023 compared to at or for the quarter ended December 31, 2022 and annualized where appropriate.</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Profitability</w:t>
      </w:r>
    </w:p>
    <w:p>
      <w:pPr>
        <w:spacing w:after="0" w:line="142" w:lineRule="exact"/>
        <w:rPr>
          <w:sz w:val="20"/>
          <w:szCs w:val="20"/>
          <w:color w:val="auto"/>
        </w:rPr>
      </w:pPr>
    </w:p>
    <w:p>
      <w:pPr>
        <w:jc w:val="both"/>
        <w:ind w:left="920" w:right="659" w:hanging="257"/>
        <w:spacing w:after="0" w:line="263" w:lineRule="auto"/>
        <w:tabs>
          <w:tab w:leader="none" w:pos="92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 return on average assets for the quarter ended December 31, 2023 was 0.48% compared to 0.86% for the fourth quarter of 2022. Operating pre-tax pre-provision profit (PTPP) return on average assets (non-GAAP financial measure) for the quarter ended December 31, 2023 was 1.03% compared to 1.69% for the fourth quarter of 2022.</w:t>
      </w:r>
    </w:p>
    <w:p>
      <w:pPr>
        <w:spacing w:after="0" w:line="107"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Annualized return on average stockholders’ equity for the quarter ended December 31, 2023 was 5.88% compared to 9.91% for the fourth quarter of 2022.</w:t>
      </w:r>
    </w:p>
    <w:p>
      <w:pPr>
        <w:spacing w:after="0" w:line="140" w:lineRule="exact"/>
        <w:rPr>
          <w:sz w:val="20"/>
          <w:szCs w:val="20"/>
          <w:color w:val="auto"/>
        </w:rPr>
      </w:pPr>
    </w:p>
    <w:p>
      <w:pPr>
        <w:ind w:left="920" w:hanging="257"/>
        <w:spacing w:after="0"/>
        <w:tabs>
          <w:tab w:leader="none" w:pos="9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efficiency ratio for the quarter ended December 31, 2023 was 68.27% compared to 59.81% for the fourth quarter of 2022. Operating efficiency ratio (non-</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uto"/>
        </w:rPr>
        <w:t>GAAP financial measure) for the quarter ended December 31, 2023 was 64.63% compared to 53.46% for the fourth quarter of 2022.</w:t>
      </w:r>
    </w:p>
    <w:p>
      <w:pPr>
        <w:spacing w:after="0" w:line="118"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Net interest margin for the quarter ended December 31, 2023 was 2.65% compared to 3.45% for the fourth quarter of 2022.</w:t>
      </w:r>
    </w:p>
    <w:p>
      <w:pPr>
        <w:spacing w:after="0" w:line="140" w:lineRule="exact"/>
        <w:rPr>
          <w:sz w:val="20"/>
          <w:szCs w:val="20"/>
          <w:color w:val="auto"/>
        </w:rPr>
      </w:pPr>
    </w:p>
    <w:p>
      <w:pPr>
        <w:ind w:left="920" w:right="659" w:hanging="257"/>
        <w:spacing w:after="0" w:line="283" w:lineRule="auto"/>
        <w:tabs>
          <w:tab w:leader="none" w:pos="92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income before provision for credit losses was $14.4 million for the quarter ended December 31, 2023, a decrease of $2.5 million or 14.8% compared to the fourth quarter of 2022.</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Balance Sheet</w:t>
      </w:r>
    </w:p>
    <w:p>
      <w:pPr>
        <w:spacing w:after="0" w:line="132"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Total assets were $2.3 billion at December 31, 2023, representing an increase of $253.3 million or 12.1% from December 31, 2022.</w:t>
      </w:r>
    </w:p>
    <w:p>
      <w:pPr>
        <w:spacing w:after="0" w:line="140" w:lineRule="exact"/>
        <w:rPr>
          <w:sz w:val="20"/>
          <w:szCs w:val="20"/>
          <w:color w:val="auto"/>
        </w:rPr>
      </w:pPr>
    </w:p>
    <w:p>
      <w:pPr>
        <w:ind w:left="920" w:hanging="257"/>
        <w:spacing w:after="0"/>
        <w:tabs>
          <w:tab w:leader="none" w:pos="9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loans were $1.8 billion at December 31, 2023, representing an increase of $273.5 million or 18.1% from December 31, 2022.</w:t>
      </w:r>
    </w:p>
    <w:p>
      <w:pPr>
        <w:spacing w:after="0" w:line="130"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Total deposits were $1.9 billion at December 31, 2023, representing an increase of $107.9 million or 5.9% from December 31, 2022.</w:t>
      </w:r>
    </w:p>
    <w:p>
      <w:pPr>
        <w:spacing w:after="0" w:line="140" w:lineRule="exact"/>
        <w:rPr>
          <w:sz w:val="20"/>
          <w:szCs w:val="20"/>
          <w:color w:val="auto"/>
        </w:rPr>
      </w:pPr>
    </w:p>
    <w:p>
      <w:pPr>
        <w:jc w:val="both"/>
        <w:ind w:left="920" w:right="679" w:hanging="257"/>
        <w:spacing w:after="0" w:line="263" w:lineRule="auto"/>
        <w:tabs>
          <w:tab w:leader="none" w:pos="92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stockholders’ equity was $192.0 million at December 31,2023, representing an increaseof $9.5 million or5.2% from December 31, 2022. Total stockholders’ equity includes accumulated comprehensive loss of $44.3 million at December 31, 2023 compared to accumulated comprehensive loss of $44.8 million at December 31, 2022.</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Asset Quality</w:t>
      </w:r>
    </w:p>
    <w:p>
      <w:pPr>
        <w:spacing w:after="0" w:line="142" w:lineRule="exact"/>
        <w:rPr>
          <w:sz w:val="20"/>
          <w:szCs w:val="20"/>
          <w:color w:val="auto"/>
        </w:rPr>
      </w:pPr>
    </w:p>
    <w:p>
      <w:pPr>
        <w:ind w:left="920" w:right="679" w:hanging="257"/>
        <w:spacing w:after="0" w:line="283" w:lineRule="auto"/>
        <w:tabs>
          <w:tab w:leader="none" w:pos="9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Allowance for credit losses (“ACL”) was calculated under the Current Expected Credit Losses (“CECL”) standard methodology for all periods in 2023 and the incurred loss methodology for all periods in 2022.</w:t>
      </w:r>
    </w:p>
    <w:p>
      <w:pPr>
        <w:spacing w:after="0" w:line="85" w:lineRule="exact"/>
        <w:rPr>
          <w:rFonts w:ascii="Times New Roman" w:cs="Times New Roman" w:eastAsia="Times New Roman" w:hAnsi="Times New Roman"/>
          <w:sz w:val="11"/>
          <w:szCs w:val="11"/>
          <w:color w:val="auto"/>
        </w:rPr>
      </w:pPr>
    </w:p>
    <w:p>
      <w:pPr>
        <w:ind w:left="920" w:hanging="257"/>
        <w:spacing w:after="0"/>
        <w:tabs>
          <w:tab w:leader="none" w:pos="9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ACL increased by $3.6 million to $21.1 million at December 31, 2023 from $17.5 million at December 31, 2022.</w:t>
      </w:r>
    </w:p>
    <w:p>
      <w:pPr>
        <w:spacing w:after="0" w:line="140" w:lineRule="exact"/>
        <w:rPr>
          <w:rFonts w:ascii="Times New Roman" w:cs="Times New Roman" w:eastAsia="Times New Roman" w:hAnsi="Times New Roman"/>
          <w:sz w:val="11"/>
          <w:szCs w:val="11"/>
          <w:color w:val="auto"/>
        </w:rPr>
      </w:pPr>
    </w:p>
    <w:p>
      <w:pPr>
        <w:ind w:left="920" w:hanging="257"/>
        <w:spacing w:after="0"/>
        <w:tabs>
          <w:tab w:leader="none" w:pos="9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ACL represented 1.18% of total loans at December 31, 2023 and 1.16% at December 31, 2022.</w:t>
      </w:r>
    </w:p>
    <w:p>
      <w:pPr>
        <w:spacing w:after="0" w:line="140" w:lineRule="exact"/>
        <w:rPr>
          <w:rFonts w:ascii="Times New Roman" w:cs="Times New Roman" w:eastAsia="Times New Roman" w:hAnsi="Times New Roman"/>
          <w:sz w:val="11"/>
          <w:szCs w:val="11"/>
          <w:color w:val="auto"/>
        </w:rPr>
      </w:pPr>
    </w:p>
    <w:p>
      <w:pPr>
        <w:ind w:left="920" w:hanging="257"/>
        <w:spacing w:after="0"/>
        <w:tabs>
          <w:tab w:leader="none" w:pos="9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Non-performing loans to total loans was 0.03% at December 31, 2023 compared to 0.00% at December 31, 2022.</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Non-interest Income and Non-interest Expense</w:t>
      </w:r>
    </w:p>
    <w:p>
      <w:pPr>
        <w:spacing w:after="0" w:line="142" w:lineRule="exact"/>
        <w:rPr>
          <w:sz w:val="20"/>
          <w:szCs w:val="20"/>
          <w:color w:val="auto"/>
        </w:rPr>
      </w:pPr>
    </w:p>
    <w:p>
      <w:pPr>
        <w:ind w:left="920" w:right="679" w:hanging="257"/>
        <w:spacing w:after="0" w:line="283" w:lineRule="auto"/>
        <w:tabs>
          <w:tab w:leader="none" w:pos="92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Non-interest income was $1.3 million for the three months ended December 31, 2023, an increase of $1.4 million compared to negative $0.1 million for the same period in 2022.</w:t>
      </w:r>
    </w:p>
    <w:p>
      <w:pPr>
        <w:spacing w:after="0" w:line="96" w:lineRule="exact"/>
        <w:rPr>
          <w:rFonts w:ascii="Times New Roman" w:cs="Times New Roman" w:eastAsia="Times New Roman" w:hAnsi="Times New Roman"/>
          <w:sz w:val="11"/>
          <w:szCs w:val="11"/>
          <w:color w:val="auto"/>
        </w:rPr>
      </w:pPr>
    </w:p>
    <w:p>
      <w:pPr>
        <w:ind w:left="920" w:right="679" w:hanging="257"/>
        <w:spacing w:after="0" w:line="283" w:lineRule="auto"/>
        <w:tabs>
          <w:tab w:leader="none" w:pos="92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Non-interest expense was $10.7 million for the three months ended December 31, 2023, an increase of $705 thousand or 7.0% compared to $10.0 million for the same period in 2022.</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28" w:right="1440"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Capital</w:t>
      </w:r>
    </w:p>
    <w:p>
      <w:pPr>
        <w:spacing w:after="0" w:line="142" w:lineRule="exact"/>
        <w:rPr>
          <w:sz w:val="20"/>
          <w:szCs w:val="20"/>
          <w:color w:val="auto"/>
        </w:rPr>
      </w:pPr>
    </w:p>
    <w:p>
      <w:pPr>
        <w:jc w:val="both"/>
        <w:ind w:left="920" w:right="659" w:hanging="257"/>
        <w:spacing w:after="0" w:line="261" w:lineRule="auto"/>
        <w:tabs>
          <w:tab w:leader="none" w:pos="9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fourth quarter the Company repurchased92,317 shares of the Company’s common stock at a weightedaverage price per share of $10.45. The aggregate purchase price forthe repurchase wasapproximately $968 thousand,including transaction costs. The repurchase was made through openmarket transaction pursuant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uto"/>
        </w:rPr>
        <w:t>to the Company’s publicly announced stock repurchase program. As of December 31, 2023, 80,080 shares remained authorized for repurchase under the program.</w:t>
      </w:r>
    </w:p>
    <w:p>
      <w:pPr>
        <w:spacing w:after="0" w:line="120" w:lineRule="exact"/>
        <w:rPr>
          <w:sz w:val="20"/>
          <w:szCs w:val="20"/>
          <w:color w:val="auto"/>
        </w:rPr>
      </w:pPr>
    </w:p>
    <w:p>
      <w:pPr>
        <w:jc w:val="both"/>
        <w:ind w:left="920" w:right="679" w:hanging="257"/>
        <w:spacing w:after="0" w:line="273" w:lineRule="auto"/>
        <w:tabs>
          <w:tab w:leader="none" w:pos="9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2023 the Company repurchased 669,920 shares of the Company’s common stock at a weighted average price per share of $11.28. The aggregate purchase price for repurchases was approximately $7.6 million, including transaction costs. The repurchases were made through open market transactions pursuant to the Company’s publicly announced stock repurchase program.</w:t>
      </w:r>
    </w:p>
    <w:p>
      <w:pPr>
        <w:spacing w:after="0" w:line="91"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As of December 31, 2023, total risk-based capital ratios for the Company and the Bank were 12.78% and 12.65%, respectively.</w:t>
      </w:r>
    </w:p>
    <w:p>
      <w:pPr>
        <w:spacing w:after="0" w:line="140" w:lineRule="exact"/>
        <w:rPr>
          <w:sz w:val="20"/>
          <w:szCs w:val="20"/>
          <w:color w:val="auto"/>
        </w:rPr>
      </w:pPr>
    </w:p>
    <w:p>
      <w:pPr>
        <w:jc w:val="both"/>
        <w:ind w:left="920" w:right="679" w:hanging="257"/>
        <w:spacing w:after="0" w:line="263" w:lineRule="auto"/>
        <w:tabs>
          <w:tab w:leader="none" w:pos="9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Tangible book value per common share (non-GAAP financial measure) at December 31, 2023 was $9.81, representing an increase of $0.69 from December 31, 2022. Tangible book value per common share at December 31, 2023 was negatively affected by $2.26 due to an accumulated comprehensive loss of $44.3 million. At December 31, 2022, tangible book value per common share of $9.12 was negatively affected by $2.24 due to $44.8 million in accumulated comprehensive loss.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Conference Call and Webcast</w:t>
      </w:r>
    </w:p>
    <w:p>
      <w:pPr>
        <w:spacing w:after="0" w:line="132" w:lineRule="exact"/>
        <w:rPr>
          <w:sz w:val="20"/>
          <w:szCs w:val="20"/>
          <w:color w:val="auto"/>
        </w:rPr>
      </w:pPr>
    </w:p>
    <w:p>
      <w:pPr>
        <w:jc w:val="both"/>
        <w:ind w:left="660" w:right="679"/>
        <w:spacing w:after="0" w:line="303" w:lineRule="auto"/>
        <w:rPr>
          <w:sz w:val="20"/>
          <w:szCs w:val="20"/>
          <w:color w:val="auto"/>
        </w:rPr>
      </w:pPr>
      <w:r>
        <w:rPr>
          <w:rFonts w:ascii="Times New Roman" w:cs="Times New Roman" w:eastAsia="Times New Roman" w:hAnsi="Times New Roman"/>
          <w:sz w:val="11"/>
          <w:szCs w:val="11"/>
          <w:color w:val="auto"/>
        </w:rPr>
        <w:t>The Company will host a conference call on Friday, January 26, 2024, at 11:00 a.m. Eastern Time to discuss the Company’s unaudited financial results for the quarter ended December 31, 2023. To access the conference call, dial (833) 816-1416 (U.S. toll-free) and ask to join the USCB Financial Holdings Call.</w:t>
      </w:r>
    </w:p>
    <w:p>
      <w:pPr>
        <w:spacing w:after="0" w:line="75" w:lineRule="exact"/>
        <w:rPr>
          <w:sz w:val="20"/>
          <w:szCs w:val="20"/>
          <w:color w:val="auto"/>
        </w:rPr>
      </w:pPr>
    </w:p>
    <w:p>
      <w:pPr>
        <w:jc w:val="both"/>
        <w:ind w:left="660" w:right="679"/>
        <w:spacing w:after="0" w:line="283" w:lineRule="auto"/>
        <w:rPr>
          <w:sz w:val="20"/>
          <w:szCs w:val="20"/>
          <w:color w:val="auto"/>
        </w:rPr>
      </w:pPr>
      <w:r>
        <w:rPr>
          <w:rFonts w:ascii="Times New Roman" w:cs="Times New Roman" w:eastAsia="Times New Roman" w:hAnsi="Times New Roman"/>
          <w:sz w:val="11"/>
          <w:szCs w:val="11"/>
          <w:color w:val="auto"/>
        </w:rPr>
        <w:t>Additionally, interested parties can listen to a live webcast of the call in the “Investor Relations” section of the Company’s website at www.uscentury.com . An archived version of the webcast will be available at the same location shortlyafter the live call has ended.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About USCB Financial Holdings, Inc.</w:t>
      </w:r>
    </w:p>
    <w:p>
      <w:pPr>
        <w:spacing w:after="0" w:line="132" w:lineRule="exact"/>
        <w:rPr>
          <w:sz w:val="20"/>
          <w:szCs w:val="20"/>
          <w:color w:val="auto"/>
        </w:rPr>
      </w:pPr>
    </w:p>
    <w:p>
      <w:pPr>
        <w:jc w:val="both"/>
        <w:ind w:left="660" w:right="679"/>
        <w:spacing w:after="0" w:line="263" w:lineRule="auto"/>
        <w:rPr>
          <w:sz w:val="20"/>
          <w:szCs w:val="20"/>
          <w:color w:val="auto"/>
        </w:rPr>
      </w:pPr>
      <w:r>
        <w:rPr>
          <w:rFonts w:ascii="Times New Roman" w:cs="Times New Roman" w:eastAsia="Times New Roman" w:hAnsi="Times New Roman"/>
          <w:sz w:val="11"/>
          <w:szCs w:val="11"/>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about us or to find a banking center near you, please call (305) 715-5200 or visit www.uscentury.com.</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Forward-Looking Statements</w:t>
      </w:r>
    </w:p>
    <w:p>
      <w:pPr>
        <w:spacing w:after="0" w:line="142" w:lineRule="exact"/>
        <w:rPr>
          <w:sz w:val="20"/>
          <w:szCs w:val="20"/>
          <w:color w:val="auto"/>
        </w:rPr>
      </w:pPr>
    </w:p>
    <w:p>
      <w:pPr>
        <w:jc w:val="both"/>
        <w:ind w:left="660" w:right="659"/>
        <w:spacing w:after="0" w:line="253" w:lineRule="auto"/>
        <w:rPr>
          <w:sz w:val="20"/>
          <w:szCs w:val="20"/>
          <w:color w:val="auto"/>
        </w:rPr>
      </w:pPr>
      <w:r>
        <w:rPr>
          <w:rFonts w:ascii="Times New Roman" w:cs="Times New Roman" w:eastAsia="Times New Roman" w:hAnsi="Times New Roman"/>
          <w:sz w:val="11"/>
          <w:szCs w:val="11"/>
          <w:color w:val="auto"/>
        </w:rPr>
        <w:t>This earnings release may contain statements that are not historical in nature and are intended to be, and are hereby identifiedas, forward-looking statements forpurposes of the safe harbor provided by Section 21E of the Securities Exchange Act of 1934, as amended. Forward-looking statements are those that are not historical facts. The words “may,” “will,” “anticipate,” ”could”, “should,” “would,” “believe,” “contemplate,” “expect,” “aim,” “plan,” “estimate,” “continue,” and “intend,” as well as other similar words and expressions of the future, are intended to identify forward-looking statements. These forward-looking statements include, but are not limited to, statements related to our projected growth, anticipated future financial performance, andmanagement’s long-term performance goals, aswell as statements relating to the anticipated effects on results of operations and financialcondition from expected developments or events, orbusiness and growth strategies,including anticipated internal growth and balance sheet restructuring.</w:t>
      </w:r>
    </w:p>
    <w:p>
      <w:pPr>
        <w:spacing w:after="0" w:line="112" w:lineRule="exact"/>
        <w:rPr>
          <w:sz w:val="20"/>
          <w:szCs w:val="20"/>
          <w:color w:val="auto"/>
        </w:rPr>
      </w:pPr>
    </w:p>
    <w:p>
      <w:pPr>
        <w:jc w:val="both"/>
        <w:ind w:left="660" w:right="679"/>
        <w:spacing w:after="0" w:line="283" w:lineRule="auto"/>
        <w:rPr>
          <w:sz w:val="20"/>
          <w:szCs w:val="20"/>
          <w:color w:val="auto"/>
        </w:rPr>
      </w:pPr>
      <w:r>
        <w:rPr>
          <w:rFonts w:ascii="Times New Roman" w:cs="Times New Roman" w:eastAsia="Times New Roman" w:hAnsi="Times New Roman"/>
          <w:sz w:val="11"/>
          <w:szCs w:val="11"/>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96" w:lineRule="exact"/>
        <w:rPr>
          <w:sz w:val="20"/>
          <w:szCs w:val="20"/>
          <w:color w:val="auto"/>
        </w:rPr>
      </w:pPr>
    </w:p>
    <w:p>
      <w:pPr>
        <w:ind w:left="920" w:hanging="257"/>
        <w:spacing w:after="0"/>
        <w:tabs>
          <w:tab w:leader="none" w:pos="9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strength of the United States economy in general and the strengthof the local economies in which we conduct operations;</w:t>
      </w:r>
    </w:p>
    <w:p>
      <w:pPr>
        <w:sectPr>
          <w:pgSz w:w="11900" w:h="16838" w:orient="portrait"/>
          <w:cols w:equalWidth="0" w:num="1">
            <w:col w:w="9019"/>
          </w:cols>
          <w:pgMar w:left="1440" w:top="856" w:right="1440" w:bottom="1440" w:gutter="0" w:footer="0" w:header="0"/>
        </w:sectPr>
      </w:pP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w:t>
      </w:r>
    </w:p>
    <w:p>
      <w:pPr>
        <w:ind w:left="66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our ability to successfully manage interest rate risk, credit risk, liquidity risk, and other risks inherent to our industry;</w:t>
      </w:r>
    </w:p>
    <w:p>
      <w:pPr>
        <w:spacing w:after="0"/>
        <w:rPr>
          <w:sz w:val="20"/>
          <w:szCs w:val="20"/>
          <w:color w:val="auto"/>
        </w:rPr>
      </w:pPr>
      <w:r>
        <w:rPr>
          <w:rFonts w:ascii="Times New Roman" w:cs="Times New Roman" w:eastAsia="Times New Roman" w:hAnsi="Times New Roman"/>
          <w:sz w:val="11"/>
          <w:szCs w:val="11"/>
          <w:color w:val="auto"/>
        </w:rPr>
        <w:t>the accuracy ofour financial statement estimates and assumptions, including the estimatesused for our credit loss reserve and deferred tax asset valuation allowance;</w:t>
      </w:r>
    </w:p>
    <w:p>
      <w:pPr>
        <w:spacing w:after="0" w:line="9" w:lineRule="exact"/>
        <w:rPr>
          <w:sz w:val="20"/>
          <w:szCs w:val="20"/>
          <w:color w:val="auto"/>
        </w:rPr>
      </w:pPr>
    </w:p>
    <w:p>
      <w:pPr>
        <w:sectPr>
          <w:pgSz w:w="11900" w:h="16838" w:orient="portrait"/>
          <w:cols w:equalWidth="0" w:num="2">
            <w:col w:w="700" w:space="220"/>
            <w:col w:w="8099"/>
          </w:cols>
          <w:pgMar w:left="1440" w:top="856" w:right="1440" w:bottom="1440" w:gutter="0" w:footer="0" w:header="0"/>
          <w:type w:val="continuous"/>
        </w:sectPr>
      </w:pPr>
    </w:p>
    <w:p>
      <w:pPr>
        <w:ind w:left="920" w:hanging="257"/>
        <w:spacing w:after="0"/>
        <w:tabs>
          <w:tab w:leader="none" w:pos="92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efficiency and effectiveness of our internal control procedures and processes;</w:t>
      </w:r>
    </w:p>
    <w:p>
      <w:pPr>
        <w:sectPr>
          <w:pgSz w:w="11900" w:h="16838" w:orient="portrait"/>
          <w:cols w:equalWidth="0" w:num="1">
            <w:col w:w="9019"/>
          </w:cols>
          <w:pgMar w:left="1440" w:top="856" w:right="1440"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ind w:right="1519"/>
        <w:spacing w:after="0" w:line="253" w:lineRule="auto"/>
        <w:rPr>
          <w:sz w:val="20"/>
          <w:szCs w:val="20"/>
          <w:color w:val="auto"/>
        </w:rPr>
      </w:pPr>
      <w:r>
        <w:rPr>
          <w:rFonts w:ascii="Times New Roman" w:cs="Times New Roman" w:eastAsia="Times New Roman" w:hAnsi="Times New Roman"/>
          <w:sz w:val="11"/>
          <w:szCs w:val="11"/>
          <w:color w:val="auto"/>
        </w:rPr>
        <w:t>our ability to comply with the extensive laws and regulations to which we are subject, including the laws for each jurisdiction where we operate; adverse changes or conditions in the capital and financial markets, including actual or potential stresses in the banking industry;</w:t>
      </w:r>
    </w:p>
    <w:p>
      <w:pPr>
        <w:spacing w:after="0" w:line="1" w:lineRule="exact"/>
        <w:rPr>
          <w:sz w:val="20"/>
          <w:szCs w:val="20"/>
          <w:color w:val="auto"/>
        </w:rPr>
      </w:pPr>
    </w:p>
    <w:p>
      <w:pPr>
        <w:sectPr>
          <w:pgSz w:w="11900" w:h="16838" w:orient="portrait"/>
          <w:cols w:equalWidth="0" w:num="2">
            <w:col w:w="700" w:space="220"/>
            <w:col w:w="8099"/>
          </w:cols>
          <w:pgMar w:left="1440" w:top="856" w:right="1440" w:bottom="1440" w:gutter="0" w:footer="0" w:header="0"/>
          <w:type w:val="continuous"/>
        </w:sectPr>
      </w:pPr>
    </w:p>
    <w:p>
      <w:pPr>
        <w:ind w:left="920" w:hanging="257"/>
        <w:spacing w:after="0" w:line="228" w:lineRule="auto"/>
        <w:tabs>
          <w:tab w:leader="none" w:pos="9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deposit attrition and the level of our uninsured deposits;</w:t>
      </w:r>
    </w:p>
    <w:p>
      <w:pPr>
        <w:ind w:left="920" w:right="659" w:hanging="257"/>
        <w:spacing w:after="0" w:line="253" w:lineRule="auto"/>
        <w:tabs>
          <w:tab w:leader="none" w:pos="9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legislative or regulatory changes and changes in accounting principles, policies, practices or guidelines, including the on-going effects of the implementation of the Current Expected Credit Losses (“CECL”) standard;</w:t>
      </w:r>
    </w:p>
    <w:p>
      <w:pPr>
        <w:ind w:left="920" w:hanging="257"/>
        <w:spacing w:after="0"/>
        <w:tabs>
          <w:tab w:leader="none" w:pos="9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lack of a significantly diversified loan portfolio and the concentration in the South Florida market, including the risks of geographic, depositor, and industry</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uto"/>
        </w:rPr>
        <w:t>concentrations, including our concentration in loans secured by real estate, in particular, commercial real estate;</w:t>
      </w:r>
    </w:p>
    <w:p>
      <w:pPr>
        <w:spacing w:after="0" w:line="2" w:lineRule="exact"/>
        <w:rPr>
          <w:sz w:val="20"/>
          <w:szCs w:val="20"/>
          <w:color w:val="auto"/>
        </w:rPr>
      </w:pPr>
    </w:p>
    <w:p>
      <w:pPr>
        <w:ind w:left="920" w:hanging="257"/>
        <w:spacing w:after="0"/>
        <w:tabs>
          <w:tab w:leader="none" w:pos="92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effects of climate change;</w:t>
      </w:r>
    </w:p>
    <w:p>
      <w:pPr>
        <w:spacing w:after="0" w:line="9" w:lineRule="exact"/>
        <w:rPr>
          <w:rFonts w:ascii="Times New Roman" w:cs="Times New Roman" w:eastAsia="Times New Roman" w:hAnsi="Times New Roman"/>
          <w:sz w:val="11"/>
          <w:szCs w:val="11"/>
          <w:color w:val="auto"/>
        </w:rPr>
      </w:pPr>
    </w:p>
    <w:p>
      <w:pPr>
        <w:ind w:left="920" w:hanging="257"/>
        <w:spacing w:after="0"/>
        <w:tabs>
          <w:tab w:leader="none" w:pos="92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concentration of ownership of our common stock;</w:t>
      </w:r>
    </w:p>
    <w:p>
      <w:pPr>
        <w:spacing w:after="0" w:line="4" w:lineRule="exact"/>
        <w:rPr>
          <w:rFonts w:ascii="Times New Roman" w:cs="Times New Roman" w:eastAsia="Times New Roman" w:hAnsi="Times New Roman"/>
          <w:sz w:val="11"/>
          <w:szCs w:val="11"/>
          <w:color w:val="auto"/>
        </w:rPr>
      </w:pPr>
    </w:p>
    <w:p>
      <w:pPr>
        <w:ind w:left="920" w:hanging="257"/>
        <w:spacing w:after="0"/>
        <w:tabs>
          <w:tab w:leader="none" w:pos="92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fluctuations in the price of our common stock;</w:t>
      </w:r>
    </w:p>
    <w:p>
      <w:pPr>
        <w:spacing w:after="0" w:line="1" w:lineRule="exact"/>
        <w:rPr>
          <w:rFonts w:ascii="Times New Roman" w:cs="Times New Roman" w:eastAsia="Times New Roman" w:hAnsi="Times New Roman"/>
          <w:sz w:val="11"/>
          <w:szCs w:val="11"/>
          <w:color w:val="auto"/>
        </w:rPr>
      </w:pPr>
    </w:p>
    <w:p>
      <w:pPr>
        <w:ind w:left="920" w:right="679" w:hanging="257"/>
        <w:spacing w:after="0" w:line="253" w:lineRule="auto"/>
        <w:tabs>
          <w:tab w:leader="none" w:pos="92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ability to fund or access the capital markets at attractive rates and terms and manage our growth, both organic growth as well as growth through other means, such as future acquisitions;</w:t>
      </w:r>
    </w:p>
    <w:p>
      <w:pPr>
        <w:ind w:left="920" w:hanging="257"/>
        <w:spacing w:after="0"/>
        <w:tabs>
          <w:tab w:leader="none" w:pos="92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inflation, interest rate, unemployment rate, market and monetary fluctuations;</w:t>
      </w:r>
    </w:p>
    <w:p>
      <w:pPr>
        <w:spacing w:after="0" w:line="1" w:lineRule="exact"/>
        <w:rPr>
          <w:rFonts w:ascii="Times New Roman" w:cs="Times New Roman" w:eastAsia="Times New Roman" w:hAnsi="Times New Roman"/>
          <w:sz w:val="11"/>
          <w:szCs w:val="11"/>
          <w:color w:val="auto"/>
        </w:rPr>
      </w:pPr>
    </w:p>
    <w:p>
      <w:pPr>
        <w:ind w:left="920" w:hanging="257"/>
        <w:spacing w:after="0"/>
        <w:tabs>
          <w:tab w:leader="none" w:pos="92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impacts of international hostilities and geopolitical events;</w:t>
      </w:r>
    </w:p>
    <w:p>
      <w:pPr>
        <w:spacing w:after="0" w:line="2"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increased competition and its effect on the pricing of our products and services as well as our net interest rate spread and net interest margin;</w:t>
      </w:r>
    </w:p>
    <w:p>
      <w:pPr>
        <w:spacing w:after="0" w:line="9" w:lineRule="exact"/>
        <w:rPr>
          <w:sz w:val="20"/>
          <w:szCs w:val="20"/>
          <w:color w:val="auto"/>
        </w:rPr>
      </w:pPr>
    </w:p>
    <w:p>
      <w:pPr>
        <w:ind w:left="920" w:hanging="257"/>
        <w:spacing w:after="0"/>
        <w:tabs>
          <w:tab w:leader="none" w:pos="9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loss of key employees;</w:t>
      </w:r>
    </w:p>
    <w:p>
      <w:pPr>
        <w:spacing w:after="0" w:line="4" w:lineRule="exact"/>
        <w:rPr>
          <w:rFonts w:ascii="Times New Roman" w:cs="Times New Roman" w:eastAsia="Times New Roman" w:hAnsi="Times New Roman"/>
          <w:sz w:val="11"/>
          <w:szCs w:val="11"/>
          <w:color w:val="auto"/>
        </w:rPr>
      </w:pPr>
    </w:p>
    <w:p>
      <w:pPr>
        <w:ind w:left="920" w:right="679" w:hanging="257"/>
        <w:spacing w:after="0" w:line="250" w:lineRule="auto"/>
        <w:tabs>
          <w:tab w:leader="none" w:pos="9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effectiveness ofour risk managementstrategies, includingoperational risks, including, but not limited to, client, employee,or third-party fraud and cybersecurity-breaches; and</w:t>
      </w:r>
    </w:p>
    <w:p>
      <w:pPr>
        <w:ind w:left="920" w:hanging="257"/>
        <w:spacing w:after="0"/>
        <w:tabs>
          <w:tab w:leader="none" w:pos="9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risks described in this earnings release and other filings we make with the Securities and Exchange Commission (“SEC”).</w:t>
      </w:r>
    </w:p>
    <w:p>
      <w:pPr>
        <w:spacing w:after="0" w:line="120" w:lineRule="exact"/>
        <w:rPr>
          <w:sz w:val="20"/>
          <w:szCs w:val="20"/>
          <w:color w:val="auto"/>
        </w:rPr>
      </w:pPr>
    </w:p>
    <w:p>
      <w:pPr>
        <w:jc w:val="both"/>
        <w:ind w:left="660" w:right="659"/>
        <w:spacing w:after="0" w:line="258" w:lineRule="auto"/>
        <w:rPr>
          <w:sz w:val="20"/>
          <w:szCs w:val="20"/>
          <w:color w:val="auto"/>
        </w:rPr>
      </w:pPr>
      <w:r>
        <w:rPr>
          <w:rFonts w:ascii="Times New Roman" w:cs="Times New Roman" w:eastAsia="Times New Roman" w:hAnsi="Times New Roman"/>
          <w:sz w:val="11"/>
          <w:szCs w:val="11"/>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earnings release are made only as of the date hereof, and we undertake no obligation to update or revise any forward-looking statement to reflect events or circumstances after the date on which the statements are made or to reflect the occurrence of unanticipated events, unless required to do so under the federal securities laws. You should also review the risk factors described in the reports the Companyhas filed or will file with the SEC.</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856" w:right="1440" w:bottom="1440" w:gutter="0" w:footer="0" w:header="0"/>
          <w:type w:val="continuous"/>
        </w:sectPr>
      </w:pPr>
    </w:p>
    <w:bookmarkStart w:id="5" w:name="page6"/>
    <w:bookmarkEnd w:id="5"/>
    <w:p>
      <w:pPr>
        <w:ind w:left="66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Non-GAAP Financial Measures</w:t>
      </w:r>
    </w:p>
    <w:p>
      <w:pPr>
        <w:spacing w:after="0" w:line="142" w:lineRule="exact"/>
        <w:rPr>
          <w:sz w:val="20"/>
          <w:szCs w:val="20"/>
          <w:color w:val="auto"/>
        </w:rPr>
      </w:pPr>
    </w:p>
    <w:p>
      <w:pPr>
        <w:jc w:val="both"/>
        <w:ind w:left="660" w:right="659"/>
        <w:spacing w:after="0" w:line="253" w:lineRule="auto"/>
        <w:rPr>
          <w:sz w:val="20"/>
          <w:szCs w:val="20"/>
          <w:color w:val="auto"/>
        </w:rPr>
      </w:pPr>
      <w:r>
        <w:rPr>
          <w:rFonts w:ascii="Times New Roman" w:cs="Times New Roman" w:eastAsia="Times New Roman" w:hAnsi="Times New Roman"/>
          <w:sz w:val="11"/>
          <w:szCs w:val="11"/>
          <w:color w:val="auto"/>
        </w:rPr>
        <w:t>This earnings release includes financial information determined by methods other than in accordance with generally accepted accounting principles (“GAAP”). This financial information includescertain operating performance measures. Management has included these non-GAAP financial measuresbecause it believesthese measures may provide useful supplemental information for evaluating the Company’s operations and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Reconciliations of these non-GAAP measures to the most directly comparable GAAP measures can be found in the ‘Non-GAAP Reconciliation Tables’ included in the exhibits to this earnings release.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All numbers included in this press release are unaudited unless otherwise noted.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Contacts: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Investor Relations</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0000FF"/>
        </w:rPr>
        <w:t>InvestorRelations@uscentury.com</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Media Relations</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Martha Guerra-Kattou</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0000FF"/>
        </w:rPr>
        <w:t>MGuerra@uscentury.com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jc w:val="center"/>
        <w:ind w:right="19"/>
        <w:spacing w:after="0"/>
        <w:rPr>
          <w:sz w:val="20"/>
          <w:szCs w:val="20"/>
          <w:color w:val="auto"/>
        </w:rPr>
      </w:pPr>
      <w:r>
        <w:rPr>
          <w:rFonts w:ascii="Times New Roman" w:cs="Times New Roman" w:eastAsia="Times New Roman" w:hAnsi="Times New Roman"/>
          <w:sz w:val="14"/>
          <w:szCs w:val="14"/>
          <w:color w:val="auto"/>
        </w:rPr>
        <w:t>(Dollars in thousands, except per share data)</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gridSpan w:val="8"/>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Twelve Months Ended December 31,</w:t>
            </w:r>
          </w:p>
        </w:tc>
      </w:tr>
      <w:tr>
        <w:trPr>
          <w:trHeight w:val="131"/>
        </w:trPr>
        <w:tc>
          <w:tcPr>
            <w:tcW w:w="360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1"/>
                <w:szCs w:val="11"/>
                <w:color w:val="auto"/>
              </w:rPr>
            </w:pPr>
          </w:p>
        </w:tc>
      </w:tr>
      <w:tr>
        <w:trPr>
          <w:trHeight w:val="14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including fees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24,803</w:t>
            </w:r>
          </w:p>
        </w:tc>
        <w:tc>
          <w:tcPr>
            <w:tcW w:w="20" w:type="dxa"/>
            <w:vAlign w:val="bottom"/>
          </w:tcPr>
          <w:p>
            <w:pPr>
              <w:spacing w:after="0"/>
              <w:rPr>
                <w:sz w:val="13"/>
                <w:szCs w:val="13"/>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17,836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87,884</w:t>
            </w:r>
          </w:p>
        </w:tc>
        <w:tc>
          <w:tcPr>
            <w:tcW w:w="20" w:type="dxa"/>
            <w:vAlign w:val="bottom"/>
          </w:tcPr>
          <w:p>
            <w:pPr>
              <w:spacing w:after="0"/>
              <w:rPr>
                <w:sz w:val="13"/>
                <w:szCs w:val="13"/>
                <w:color w:val="auto"/>
              </w:rPr>
            </w:pPr>
          </w:p>
        </w:tc>
        <w:tc>
          <w:tcPr>
            <w:tcW w:w="180" w:type="dxa"/>
            <w:vAlign w:val="bottom"/>
            <w:gridSpan w:val="3"/>
          </w:tcPr>
          <w:p>
            <w:pPr>
              <w:jc w:val="right"/>
              <w:ind w:right="57"/>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60,825</w:t>
            </w:r>
          </w:p>
        </w:tc>
        <w:tc>
          <w:tcPr>
            <w:tcW w:w="20" w:type="dxa"/>
            <w:vAlign w:val="bottom"/>
          </w:tcPr>
          <w:p>
            <w:pPr>
              <w:spacing w:after="0"/>
              <w:rPr>
                <w:sz w:val="13"/>
                <w:szCs w:val="13"/>
                <w:color w:val="auto"/>
              </w:rPr>
            </w:pPr>
          </w:p>
        </w:tc>
      </w:tr>
      <w:tr>
        <w:trPr>
          <w:trHeight w:val="16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9,346</w:t>
            </w:r>
          </w:p>
        </w:tc>
        <w:tc>
          <w:tcPr>
            <w:tcW w:w="20" w:type="dxa"/>
            <w:vAlign w:val="bottom"/>
            <w:shd w:val="clear" w:color="auto" w:fill="CCEEFF"/>
          </w:tcPr>
          <w:p>
            <w:pPr>
              <w:spacing w:after="0"/>
              <w:rPr>
                <w:sz w:val="13"/>
                <w:szCs w:val="13"/>
                <w:color w:val="auto"/>
              </w:rPr>
            </w:pPr>
          </w:p>
        </w:tc>
      </w:tr>
      <w:tr>
        <w:trPr>
          <w:trHeight w:val="169"/>
        </w:trPr>
        <w:tc>
          <w:tcPr>
            <w:tcW w:w="3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929</w:t>
            </w:r>
          </w:p>
        </w:tc>
        <w:tc>
          <w:tcPr>
            <w:tcW w:w="20" w:type="dxa"/>
            <w:vAlign w:val="bottom"/>
          </w:tcPr>
          <w:p>
            <w:pPr>
              <w:spacing w:after="0"/>
              <w:rPr>
                <w:sz w:val="14"/>
                <w:szCs w:val="14"/>
                <w:color w:val="auto"/>
              </w:rPr>
            </w:pPr>
          </w:p>
        </w:tc>
      </w:tr>
      <w:tr>
        <w:trPr>
          <w:trHeight w:val="131"/>
        </w:trPr>
        <w:tc>
          <w:tcPr>
            <w:tcW w:w="3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27,976</w:t>
            </w: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20,597</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101,017</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71,100</w:t>
            </w:r>
          </w:p>
        </w:tc>
        <w:tc>
          <w:tcPr>
            <w:tcW w:w="20" w:type="dxa"/>
            <w:vAlign w:val="bottom"/>
            <w:shd w:val="clear" w:color="auto" w:fill="CCEEFF"/>
          </w:tcPr>
          <w:p>
            <w:pPr>
              <w:spacing w:after="0"/>
              <w:rPr>
                <w:sz w:val="11"/>
                <w:szCs w:val="11"/>
                <w:color w:val="auto"/>
              </w:rPr>
            </w:pPr>
          </w:p>
        </w:tc>
      </w:tr>
      <w:tr>
        <w:trPr>
          <w:trHeight w:val="160"/>
        </w:trPr>
        <w:tc>
          <w:tcPr>
            <w:tcW w:w="3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20" w:type="dxa"/>
            <w:vAlign w:val="bottom"/>
            <w:shd w:val="clear" w:color="auto" w:fill="CCEEFF"/>
          </w:tcPr>
          <w:p>
            <w:pPr>
              <w:spacing w:after="0"/>
              <w:rPr>
                <w:sz w:val="13"/>
                <w:szCs w:val="13"/>
                <w:color w:val="auto"/>
              </w:rPr>
            </w:pPr>
          </w:p>
        </w:tc>
      </w:tr>
      <w:tr>
        <w:trPr>
          <w:trHeight w:val="160"/>
        </w:trPr>
        <w:tc>
          <w:tcPr>
            <w:tcW w:w="3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Savings and money market accounts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29,658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5,173</w:t>
            </w:r>
          </w:p>
        </w:tc>
        <w:tc>
          <w:tcPr>
            <w:tcW w:w="20" w:type="dxa"/>
            <w:vAlign w:val="bottom"/>
          </w:tcPr>
          <w:p>
            <w:pPr>
              <w:spacing w:after="0"/>
              <w:rPr>
                <w:sz w:val="13"/>
                <w:szCs w:val="13"/>
                <w:color w:val="auto"/>
              </w:rPr>
            </w:pPr>
          </w:p>
        </w:tc>
      </w:tr>
      <w:tr>
        <w:trPr>
          <w:trHeight w:val="14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1,509</w:t>
            </w:r>
          </w:p>
        </w:tc>
        <w:tc>
          <w:tcPr>
            <w:tcW w:w="20" w:type="dxa"/>
            <w:vAlign w:val="bottom"/>
            <w:shd w:val="clear" w:color="auto" w:fill="CCEEFF"/>
          </w:tcPr>
          <w:p>
            <w:pPr>
              <w:spacing w:after="0"/>
              <w:rPr>
                <w:sz w:val="12"/>
                <w:szCs w:val="12"/>
                <w:color w:val="auto"/>
              </w:rPr>
            </w:pPr>
          </w:p>
        </w:tc>
      </w:tr>
      <w:tr>
        <w:trPr>
          <w:trHeight w:val="160"/>
        </w:trPr>
        <w:tc>
          <w:tcPr>
            <w:tcW w:w="3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20" w:type="dxa"/>
            <w:vAlign w:val="bottom"/>
          </w:tcPr>
          <w:p>
            <w:pPr>
              <w:spacing w:after="0"/>
              <w:rPr>
                <w:sz w:val="13"/>
                <w:szCs w:val="13"/>
                <w:color w:val="auto"/>
              </w:rPr>
            </w:pPr>
          </w:p>
        </w:tc>
      </w:tr>
      <w:tr>
        <w:trPr>
          <w:trHeight w:val="140"/>
        </w:trPr>
        <w:tc>
          <w:tcPr>
            <w:tcW w:w="3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13,600</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3,731</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42,449</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7,439</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0"/>
        </w:trPr>
        <w:tc>
          <w:tcPr>
            <w:tcW w:w="36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58,568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63,661</w:t>
            </w:r>
          </w:p>
        </w:tc>
        <w:tc>
          <w:tcPr>
            <w:tcW w:w="20" w:type="dxa"/>
            <w:vAlign w:val="bottom"/>
          </w:tcPr>
          <w:p>
            <w:pPr>
              <w:spacing w:after="0"/>
              <w:rPr>
                <w:sz w:val="13"/>
                <w:szCs w:val="13"/>
                <w:color w:val="auto"/>
              </w:rPr>
            </w:pPr>
          </w:p>
        </w:tc>
      </w:tr>
      <w:tr>
        <w:trPr>
          <w:trHeight w:val="131"/>
        </w:trPr>
        <w:tc>
          <w:tcPr>
            <w:tcW w:w="36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2,367</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2,495</w:t>
            </w:r>
          </w:p>
        </w:tc>
        <w:tc>
          <w:tcPr>
            <w:tcW w:w="20" w:type="dxa"/>
            <w:vAlign w:val="bottom"/>
            <w:shd w:val="clear" w:color="auto" w:fill="CCEEFF"/>
          </w:tcPr>
          <w:p>
            <w:pPr>
              <w:spacing w:after="0"/>
              <w:rPr>
                <w:sz w:val="11"/>
                <w:szCs w:val="11"/>
                <w:color w:val="auto"/>
              </w:rPr>
            </w:pPr>
          </w:p>
        </w:tc>
      </w:tr>
      <w:tr>
        <w:trPr>
          <w:trHeight w:val="140"/>
        </w:trPr>
        <w:tc>
          <w:tcPr>
            <w:tcW w:w="36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15,986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56,201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61,166</w:t>
            </w:r>
          </w:p>
        </w:tc>
        <w:tc>
          <w:tcPr>
            <w:tcW w:w="20" w:type="dxa"/>
            <w:vAlign w:val="bottom"/>
          </w:tcPr>
          <w:p>
            <w:pPr>
              <w:spacing w:after="0"/>
              <w:rPr>
                <w:sz w:val="12"/>
                <w:szCs w:val="12"/>
                <w:color w:val="auto"/>
              </w:rPr>
            </w:pPr>
          </w:p>
        </w:tc>
      </w:tr>
      <w:tr>
        <w:trPr>
          <w:trHeight w:val="14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4,010</w:t>
            </w:r>
          </w:p>
        </w:tc>
        <w:tc>
          <w:tcPr>
            <w:tcW w:w="20" w:type="dxa"/>
            <w:vAlign w:val="bottom"/>
          </w:tcPr>
          <w:p>
            <w:pPr>
              <w:spacing w:after="0"/>
              <w:rPr>
                <w:sz w:val="13"/>
                <w:szCs w:val="13"/>
                <w:color w:val="auto"/>
              </w:rPr>
            </w:pPr>
          </w:p>
        </w:tc>
      </w:tr>
      <w:tr>
        <w:trPr>
          <w:trHeight w:val="16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(883)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(2,529)</w:t>
            </w:r>
          </w:p>
        </w:tc>
      </w:tr>
      <w:tr>
        <w:trPr>
          <w:trHeight w:val="160"/>
        </w:trPr>
        <w:tc>
          <w:tcPr>
            <w:tcW w:w="3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20" w:type="dxa"/>
            <w:vAlign w:val="bottom"/>
          </w:tcPr>
          <w:p>
            <w:pPr>
              <w:spacing w:after="0"/>
              <w:rPr>
                <w:sz w:val="13"/>
                <w:szCs w:val="13"/>
                <w:color w:val="auto"/>
              </w:rPr>
            </w:pPr>
          </w:p>
        </w:tc>
      </w:tr>
      <w:tr>
        <w:trPr>
          <w:trHeight w:val="16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 settlement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0" w:type="dxa"/>
            <w:vAlign w:val="bottom"/>
            <w:shd w:val="clear" w:color="auto" w:fill="CCEEFF"/>
          </w:tcPr>
          <w:p>
            <w:pPr>
              <w:spacing w:after="0"/>
              <w:rPr>
                <w:sz w:val="13"/>
                <w:szCs w:val="13"/>
                <w:color w:val="auto"/>
              </w:rPr>
            </w:pPr>
          </w:p>
        </w:tc>
      </w:tr>
      <w:tr>
        <w:trPr>
          <w:trHeight w:val="169"/>
        </w:trPr>
        <w:tc>
          <w:tcPr>
            <w:tcW w:w="3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3,406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2,695</w:t>
            </w:r>
          </w:p>
        </w:tc>
        <w:tc>
          <w:tcPr>
            <w:tcW w:w="20" w:type="dxa"/>
            <w:vAlign w:val="bottom"/>
          </w:tcPr>
          <w:p>
            <w:pPr>
              <w:spacing w:after="0"/>
              <w:rPr>
                <w:sz w:val="14"/>
                <w:szCs w:val="14"/>
                <w:color w:val="auto"/>
              </w:rPr>
            </w:pPr>
          </w:p>
        </w:tc>
      </w:tr>
      <w:tr>
        <w:trPr>
          <w:trHeight w:val="131"/>
        </w:trPr>
        <w:tc>
          <w:tcPr>
            <w:tcW w:w="3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1,326</w:t>
            </w: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7,403</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5,228</w:t>
            </w:r>
          </w:p>
        </w:tc>
        <w:tc>
          <w:tcPr>
            <w:tcW w:w="20" w:type="dxa"/>
            <w:vAlign w:val="bottom"/>
            <w:shd w:val="clear" w:color="auto" w:fill="CCEEFF"/>
          </w:tcPr>
          <w:p>
            <w:pPr>
              <w:spacing w:after="0"/>
              <w:rPr>
                <w:sz w:val="11"/>
                <w:szCs w:val="11"/>
                <w:color w:val="auto"/>
              </w:rPr>
            </w:pPr>
          </w:p>
        </w:tc>
      </w:tr>
      <w:tr>
        <w:trPr>
          <w:trHeight w:val="160"/>
        </w:trPr>
        <w:tc>
          <w:tcPr>
            <w:tcW w:w="3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23,943</w:t>
            </w:r>
          </w:p>
        </w:tc>
        <w:tc>
          <w:tcPr>
            <w:tcW w:w="20" w:type="dxa"/>
            <w:vAlign w:val="bottom"/>
            <w:shd w:val="clear" w:color="auto" w:fill="CCEEFF"/>
          </w:tcPr>
          <w:p>
            <w:pPr>
              <w:spacing w:after="0"/>
              <w:rPr>
                <w:sz w:val="13"/>
                <w:szCs w:val="13"/>
                <w:color w:val="auto"/>
              </w:rPr>
            </w:pPr>
          </w:p>
        </w:tc>
      </w:tr>
      <w:tr>
        <w:trPr>
          <w:trHeight w:val="149"/>
        </w:trPr>
        <w:tc>
          <w:tcPr>
            <w:tcW w:w="3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5,058</w:t>
            </w:r>
          </w:p>
        </w:tc>
        <w:tc>
          <w:tcPr>
            <w:tcW w:w="20" w:type="dxa"/>
            <w:vAlign w:val="bottom"/>
          </w:tcPr>
          <w:p>
            <w:pPr>
              <w:spacing w:after="0"/>
              <w:rPr>
                <w:sz w:val="12"/>
                <w:szCs w:val="12"/>
                <w:color w:val="auto"/>
              </w:rPr>
            </w:pPr>
          </w:p>
        </w:tc>
      </w:tr>
      <w:tr>
        <w:trPr>
          <w:trHeight w:val="16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20" w:type="dxa"/>
            <w:vAlign w:val="bottom"/>
            <w:shd w:val="clear" w:color="auto" w:fill="CCEEFF"/>
          </w:tcPr>
          <w:p>
            <w:pPr>
              <w:spacing w:after="0"/>
              <w:rPr>
                <w:sz w:val="13"/>
                <w:szCs w:val="13"/>
                <w:color w:val="auto"/>
              </w:rPr>
            </w:pPr>
          </w:p>
        </w:tc>
      </w:tr>
      <w:tr>
        <w:trPr>
          <w:trHeight w:val="160"/>
        </w:trPr>
        <w:tc>
          <w:tcPr>
            <w:tcW w:w="3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20" w:type="dxa"/>
            <w:vAlign w:val="bottom"/>
          </w:tcPr>
          <w:p>
            <w:pPr>
              <w:spacing w:after="0"/>
              <w:rPr>
                <w:sz w:val="13"/>
                <w:szCs w:val="13"/>
                <w:color w:val="auto"/>
              </w:rPr>
            </w:pPr>
          </w:p>
        </w:tc>
      </w:tr>
      <w:tr>
        <w:trPr>
          <w:trHeight w:val="16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1,806</w:t>
            </w:r>
          </w:p>
        </w:tc>
        <w:tc>
          <w:tcPr>
            <w:tcW w:w="20" w:type="dxa"/>
            <w:vAlign w:val="bottom"/>
            <w:shd w:val="clear" w:color="auto" w:fill="CCEEFF"/>
          </w:tcPr>
          <w:p>
            <w:pPr>
              <w:spacing w:after="0"/>
              <w:rPr>
                <w:sz w:val="13"/>
                <w:szCs w:val="13"/>
                <w:color w:val="auto"/>
              </w:rPr>
            </w:pPr>
          </w:p>
        </w:tc>
      </w:tr>
      <w:tr>
        <w:trPr>
          <w:trHeight w:val="169"/>
        </w:trPr>
        <w:tc>
          <w:tcPr>
            <w:tcW w:w="3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6,781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5,682</w:t>
            </w:r>
          </w:p>
        </w:tc>
        <w:tc>
          <w:tcPr>
            <w:tcW w:w="20" w:type="dxa"/>
            <w:vAlign w:val="bottom"/>
          </w:tcPr>
          <w:p>
            <w:pPr>
              <w:spacing w:after="0"/>
              <w:rPr>
                <w:sz w:val="14"/>
                <w:szCs w:val="14"/>
                <w:color w:val="auto"/>
              </w:rPr>
            </w:pPr>
          </w:p>
        </w:tc>
      </w:tr>
      <w:tr>
        <w:trPr>
          <w:trHeight w:val="131"/>
        </w:trPr>
        <w:tc>
          <w:tcPr>
            <w:tcW w:w="3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10,719</w:t>
            </w: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10,014</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41,808</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39,309</w:t>
            </w:r>
          </w:p>
        </w:tc>
        <w:tc>
          <w:tcPr>
            <w:tcW w:w="20" w:type="dxa"/>
            <w:vAlign w:val="bottom"/>
            <w:shd w:val="clear" w:color="auto" w:fill="CCEEFF"/>
          </w:tcPr>
          <w:p>
            <w:pPr>
              <w:spacing w:after="0"/>
              <w:rPr>
                <w:sz w:val="11"/>
                <w:szCs w:val="11"/>
                <w:color w:val="auto"/>
              </w:rPr>
            </w:pPr>
          </w:p>
        </w:tc>
      </w:tr>
      <w:tr>
        <w:trPr>
          <w:trHeight w:val="151"/>
        </w:trPr>
        <w:tc>
          <w:tcPr>
            <w:tcW w:w="36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21,796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27,085</w:t>
            </w:r>
          </w:p>
        </w:tc>
        <w:tc>
          <w:tcPr>
            <w:tcW w:w="20" w:type="dxa"/>
            <w:vAlign w:val="bottom"/>
          </w:tcPr>
          <w:p>
            <w:pPr>
              <w:spacing w:after="0"/>
              <w:rPr>
                <w:sz w:val="13"/>
                <w:szCs w:val="13"/>
                <w:color w:val="auto"/>
              </w:rPr>
            </w:pPr>
          </w:p>
        </w:tc>
      </w:tr>
      <w:tr>
        <w:trPr>
          <w:trHeight w:val="14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6,944</w:t>
            </w:r>
          </w:p>
        </w:tc>
        <w:tc>
          <w:tcPr>
            <w:tcW w:w="20" w:type="dxa"/>
            <w:vAlign w:val="bottom"/>
            <w:shd w:val="clear" w:color="auto" w:fill="CCEEFF"/>
          </w:tcPr>
          <w:p>
            <w:pPr>
              <w:spacing w:after="0"/>
              <w:rPr>
                <w:sz w:val="12"/>
                <w:szCs w:val="12"/>
                <w:color w:val="auto"/>
              </w:rPr>
            </w:pPr>
          </w:p>
        </w:tc>
      </w:tr>
      <w:tr>
        <w:trPr>
          <w:trHeight w:val="191"/>
        </w:trPr>
        <w:tc>
          <w:tcPr>
            <w:tcW w:w="36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 w:type="dxa"/>
            <w:vAlign w:val="bottom"/>
          </w:tcPr>
          <w:p>
            <w:pPr>
              <w:spacing w:after="0"/>
              <w:rPr>
                <w:sz w:val="16"/>
                <w:szCs w:val="16"/>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16,545</w:t>
            </w:r>
          </w:p>
        </w:tc>
        <w:tc>
          <w:tcPr>
            <w:tcW w:w="2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20,141</w:t>
            </w:r>
          </w:p>
        </w:tc>
        <w:tc>
          <w:tcPr>
            <w:tcW w:w="20" w:type="dxa"/>
            <w:vAlign w:val="bottom"/>
          </w:tcPr>
          <w:p>
            <w:pPr>
              <w:spacing w:after="0"/>
              <w:rPr>
                <w:sz w:val="16"/>
                <w:szCs w:val="16"/>
                <w:color w:val="auto"/>
              </w:rPr>
            </w:pPr>
          </w:p>
        </w:tc>
      </w:tr>
      <w:tr>
        <w:trPr>
          <w:trHeight w:val="132"/>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49"/>
        </w:trPr>
        <w:tc>
          <w:tcPr>
            <w:tcW w:w="36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tcPr>
          <w:p>
            <w:pPr>
              <w:spacing w:after="0"/>
              <w:rPr>
                <w:sz w:val="12"/>
                <w:szCs w:val="12"/>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0.84</w:t>
            </w:r>
          </w:p>
        </w:tc>
        <w:tc>
          <w:tcPr>
            <w:tcW w:w="20" w:type="dxa"/>
            <w:vAlign w:val="bottom"/>
          </w:tcPr>
          <w:p>
            <w:pPr>
              <w:spacing w:after="0"/>
              <w:rPr>
                <w:sz w:val="12"/>
                <w:szCs w:val="12"/>
                <w:color w:val="auto"/>
              </w:rPr>
            </w:pPr>
          </w:p>
        </w:tc>
        <w:tc>
          <w:tcPr>
            <w:tcW w:w="180" w:type="dxa"/>
            <w:vAlign w:val="bottom"/>
            <w:gridSpan w:val="3"/>
          </w:tcPr>
          <w:p>
            <w:pPr>
              <w:jc w:val="right"/>
              <w:ind w:right="57"/>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0" w:type="dxa"/>
            <w:vAlign w:val="bottom"/>
          </w:tcPr>
          <w:p>
            <w:pPr>
              <w:spacing w:after="0"/>
              <w:rPr>
                <w:sz w:val="12"/>
                <w:szCs w:val="12"/>
                <w:color w:val="auto"/>
              </w:rPr>
            </w:pPr>
          </w:p>
        </w:tc>
      </w:tr>
      <w:tr>
        <w:trPr>
          <w:trHeight w:val="160"/>
        </w:trPr>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0.84</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0" w:type="dxa"/>
            <w:vAlign w:val="bottom"/>
            <w:shd w:val="clear" w:color="auto" w:fill="CCEEFF"/>
          </w:tcPr>
          <w:p>
            <w:pPr>
              <w:spacing w:after="0"/>
              <w:rPr>
                <w:sz w:val="13"/>
                <w:szCs w:val="13"/>
                <w:color w:val="auto"/>
              </w:rPr>
            </w:pPr>
          </w:p>
        </w:tc>
      </w:tr>
      <w:tr>
        <w:trPr>
          <w:trHeight w:val="160"/>
        </w:trPr>
        <w:tc>
          <w:tcPr>
            <w:tcW w:w="3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Weighted average shares outstanding: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Common shares, basic</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19,503,043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19,621,698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19,999,323</w:t>
            </w:r>
          </w:p>
        </w:tc>
        <w:tc>
          <w:tcPr>
            <w:tcW w:w="20" w:type="dxa"/>
            <w:vAlign w:val="bottom"/>
            <w:shd w:val="clear" w:color="auto" w:fill="CCEEFF"/>
          </w:tcPr>
          <w:p>
            <w:pPr>
              <w:spacing w:after="0"/>
              <w:rPr>
                <w:sz w:val="13"/>
                <w:szCs w:val="13"/>
                <w:color w:val="auto"/>
              </w:rPr>
            </w:pPr>
          </w:p>
        </w:tc>
      </w:tr>
      <w:tr>
        <w:trPr>
          <w:trHeight w:val="173"/>
        </w:trPr>
        <w:tc>
          <w:tcPr>
            <w:tcW w:w="36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Common shares, diluted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19,573,350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20,172,438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19,687,634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20,176,838</w:t>
            </w:r>
          </w:p>
        </w:tc>
        <w:tc>
          <w:tcPr>
            <w:tcW w:w="20" w:type="dxa"/>
            <w:vAlign w:val="bottom"/>
          </w:tcPr>
          <w:p>
            <w:pPr>
              <w:spacing w:after="0"/>
              <w:rPr>
                <w:sz w:val="15"/>
                <w:szCs w:val="15"/>
                <w:color w:val="auto"/>
              </w:rPr>
            </w:pPr>
          </w:p>
        </w:tc>
      </w:tr>
      <w:tr>
        <w:trPr>
          <w:trHeight w:val="137"/>
        </w:trPr>
        <w:tc>
          <w:tcPr>
            <w:tcW w:w="3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72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SELECTED FINANCIAL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10"/>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12/31/2023</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9/30/2023</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6/30/2023</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3/31/2023</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Income statement data: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14,173</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15,997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15,796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(1,989)</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income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1,532</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240" w:type="dxa"/>
            <w:vAlign w:val="bottom"/>
            <w:tcBorders>
              <w:top w:val="single" w:sz="8" w:color="CCEEFF"/>
            </w:tcBorders>
            <w:shd w:val="clear" w:color="auto" w:fill="CCEEFF"/>
          </w:tcPr>
          <w:p>
            <w:pPr>
              <w:ind w:left="200"/>
              <w:spacing w:after="0" w:line="120" w:lineRule="exact"/>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1,326</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2,161</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1,846</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2,070</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0" w:lineRule="exact"/>
              <w:rPr>
                <w:sz w:val="20"/>
                <w:szCs w:val="20"/>
                <w:color w:val="auto"/>
              </w:rPr>
            </w:pPr>
            <w:r>
              <w:rPr>
                <w:rFonts w:ascii="Times New Roman" w:cs="Times New Roman" w:eastAsia="Times New Roman" w:hAnsi="Times New Roman"/>
                <w:sz w:val="11"/>
                <w:szCs w:val="11"/>
                <w:color w:val="auto"/>
              </w:rPr>
              <w:t>(123)</w:t>
            </w: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1,747</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1,686</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1,440</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10,719</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10,461</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10,452</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10,176</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1,333</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1,881</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60" w:type="dxa"/>
            <w:vAlign w:val="bottom"/>
            <w:gridSpan w:val="2"/>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3,819</w:t>
            </w:r>
          </w:p>
        </w:tc>
        <w:tc>
          <w:tcPr>
            <w:tcW w:w="80" w:type="dxa"/>
            <w:vAlign w:val="bottom"/>
            <w:gridSpan w:val="2"/>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 w:type="dxa"/>
            <w:vAlign w:val="bottom"/>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5,809</w:t>
            </w:r>
          </w:p>
        </w:tc>
        <w:tc>
          <w:tcPr>
            <w:tcW w:w="60" w:type="dxa"/>
            <w:vAlign w:val="bottom"/>
            <w:gridSpan w:val="2"/>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0.29</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sheet data (at period-end):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41,062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33,435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87,280</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63,251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229,329</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218,609</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218,442</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229,409</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230,140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174,974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197,311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220,956</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186,428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188,699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404,303</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415,920</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439,398</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415,837</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418,839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Loans held for investment </w:t>
            </w:r>
            <w:r>
              <w:rPr>
                <w:rFonts w:ascii="Times New Roman" w:cs="Times New Roman" w:eastAsia="Times New Roman" w:hAnsi="Times New Roman"/>
                <w:sz w:val="14"/>
                <w:szCs w:val="14"/>
                <w:color w:val="auto"/>
                <w:vertAlign w:val="superscript"/>
              </w:rPr>
              <w:t>(1)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1,780,827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1,676,520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1,595,959</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1,580,394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1,507,338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(21,084)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(19,493)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(18,815)</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(18,887)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(17,487)</w:t>
            </w: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2,339,093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2,244,602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2,225,914</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2,163,821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2,085,834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552,762</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573,546</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572,360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633,606</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629,776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1,384,377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1,347,376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1,348,941</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1,196,856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1,937,139</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1,920,922</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1,921,301</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1,830,462</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1,829,281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183,000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102,000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87,000</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2,147,125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2,061,718</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2,042,229</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1,979,963</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1,903,406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182,884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183,685</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183,858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Capital ratios:</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Leverage ratio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Common equity tier 1 capital</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Tier 1 risk-based 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risk-based capital</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860" w:hanging="197"/>
        <w:spacing w:after="0"/>
        <w:tabs>
          <w:tab w:leader="none" w:pos="8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33" w:lineRule="exact"/>
        <w:rPr>
          <w:rFonts w:ascii="Times New Roman" w:cs="Times New Roman" w:eastAsia="Times New Roman" w:hAnsi="Times New Roman"/>
          <w:sz w:val="11"/>
          <w:szCs w:val="11"/>
          <w:color w:val="auto"/>
        </w:rPr>
      </w:pPr>
    </w:p>
    <w:p>
      <w:pPr>
        <w:ind w:left="660" w:right="719" w:firstLine="3"/>
        <w:spacing w:after="0" w:line="303" w:lineRule="auto"/>
        <w:tabs>
          <w:tab w:leader="none" w:pos="822"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Company's regulatory capital ratios which are provided for information purposes only; as a small bank holding company, the Company is not subject to regulatory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760" w:right="1440" w:bottom="1440" w:gutter="0" w:footer="0" w:header="0"/>
        </w:sectPr>
      </w:pPr>
    </w:p>
    <w:bookmarkStart w:id="8" w:name="page9"/>
    <w:bookmarkEnd w:id="8"/>
    <w:p>
      <w:pPr>
        <w:ind w:left="3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1"/>
          <w:szCs w:val="11"/>
          <w:b w:val="1"/>
          <w:bCs w:val="1"/>
          <w:color w:val="auto"/>
        </w:rPr>
        <w:t>AVERAGE BALANCES, RATIOS, AND OTHER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10"/>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12/31/2023</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9/30/2023</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6/30/2023</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3/31/2023</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12/31/2022</w:t>
            </w:r>
          </w:p>
        </w:tc>
        <w:tc>
          <w:tcPr>
            <w:tcW w:w="20" w:type="dxa"/>
            <w:vAlign w:val="bottom"/>
          </w:tcPr>
          <w:p>
            <w:pPr>
              <w:spacing w:after="0"/>
              <w:rPr>
                <w:sz w:val="11"/>
                <w:szCs w:val="11"/>
                <w:color w:val="auto"/>
              </w:rPr>
            </w:pPr>
          </w:p>
        </w:tc>
      </w:tr>
      <w:tr>
        <w:trPr>
          <w:trHeight w:val="14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Average balance sheet data:</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57,069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90,742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94,313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50,822</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61,892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215,649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222,134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224,913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230,336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242,144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181,151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218,694</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192,628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187,826</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184,459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396,800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440,828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417,541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418,162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426,603</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Loans held for investment</w:t>
            </w:r>
            <w:r>
              <w:rPr>
                <w:rFonts w:ascii="Times New Roman" w:cs="Times New Roman" w:eastAsia="Times New Roman" w:hAnsi="Times New Roman"/>
                <w:sz w:val="14"/>
                <w:szCs w:val="1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1,698,611</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1,610,864</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1,569,266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1,547,393</w:t>
            </w:r>
          </w:p>
        </w:tc>
        <w:tc>
          <w:tcPr>
            <w:tcW w:w="2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1,456,780</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2,250,258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2,183,542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2,120,218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1,336,470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1,353,516</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1,270,657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1,179,878</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1,150,049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577,133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587,917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601,778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664,369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653,820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1,913,603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1,941,433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1,872,435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1,844,247</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1,803,869</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85,326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93,075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37,500</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2,085,182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2,065,357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1,999,304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1,936,847</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1,874,311</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184,901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184,238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183,371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177,556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Performance ratios: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Return on average assets </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0.86%</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Return on average equity </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Non-interest income (loss) to average assets </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Efficiency ratio </w:t>
            </w:r>
            <w:r>
              <w:rPr>
                <w:rFonts w:ascii="Times New Roman" w:cs="Times New Roman" w:eastAsia="Times New Roman" w:hAnsi="Times New Roman"/>
                <w:sz w:val="14"/>
                <w:szCs w:val="14"/>
                <w:color w:val="auto"/>
                <w:vertAlign w:val="superscript"/>
              </w:rPr>
              <w:t>(3)</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59.81%</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Loans by type (at period end): </w:t>
            </w:r>
            <w:r>
              <w:rPr>
                <w:rFonts w:ascii="Times New Roman" w:cs="Times New Roman" w:eastAsia="Times New Roman" w:hAnsi="Times New Roman"/>
                <w:sz w:val="14"/>
                <w:szCs w:val="14"/>
                <w:color w:val="auto"/>
                <w:vertAlign w:val="superscript"/>
              </w:rPr>
              <w:t>(4)</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204,419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188,880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183,093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184,427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185,636</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1,047,593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1,005,280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989,401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987,757</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970,410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219,757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212,975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169,401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160,947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126,984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Foreign banks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114,945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94,640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85,409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97,405</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93,769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 and other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173,096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149,410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130,429</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 quality data:</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total loans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non-performing loans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non-performing loans</w:t>
            </w:r>
            <w:r>
              <w:rPr>
                <w:rFonts w:ascii="Times New Roman" w:cs="Times New Roman" w:eastAsia="Times New Roman" w:hAnsi="Times New Roman"/>
                <w:sz w:val="14"/>
                <w:szCs w:val="14"/>
                <w:color w:val="auto"/>
                <w:vertAlign w:val="superscript"/>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Non-performing loans to total loans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1"/>
                <w:szCs w:val="11"/>
                <w:color w:val="auto"/>
              </w:rPr>
              <w:t>Non-performing assets to total assets</w:t>
            </w:r>
            <w:r>
              <w:rPr>
                <w:rFonts w:ascii="Times New Roman" w:cs="Times New Roman" w:eastAsia="Times New Roman" w:hAnsi="Times New Roman"/>
                <w:sz w:val="14"/>
                <w:szCs w:val="14"/>
                <w:color w:val="auto"/>
                <w:vertAlign w:val="superscript"/>
              </w:rPr>
              <w:t>(5)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Net charge-offs (recoveries of) to average loans </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charge-offs (recovery) of credit losses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rates and yields:</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Deposits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0.77%</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3"/>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Full-time equivalent employees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20" w:type="dxa"/>
            <w:vAlign w:val="bottom"/>
          </w:tcPr>
          <w:p>
            <w:pPr>
              <w:spacing w:after="0"/>
              <w:rPr>
                <w:sz w:val="15"/>
                <w:szCs w:val="15"/>
                <w:color w:val="auto"/>
              </w:rPr>
            </w:pPr>
          </w:p>
        </w:tc>
      </w:tr>
    </w:tbl>
    <w:p>
      <w:pPr>
        <w:spacing w:after="0" w:line="151" w:lineRule="exact"/>
        <w:rPr>
          <w:sz w:val="20"/>
          <w:szCs w:val="20"/>
          <w:color w:val="auto"/>
        </w:rPr>
      </w:pPr>
    </w:p>
    <w:p>
      <w:pPr>
        <w:ind w:left="860" w:hanging="197"/>
        <w:spacing w:after="0"/>
        <w:tabs>
          <w:tab w:leader="none" w:pos="86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Efficiency ratio is defined as total non-interest expense divided by sum of net interest income and total non-interest income.</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exclude deferred fees/costs.</w:t>
      </w:r>
    </w:p>
    <w:p>
      <w:pPr>
        <w:spacing w:after="0" w:line="22" w:lineRule="exact"/>
        <w:rPr>
          <w:rFonts w:ascii="Times New Roman" w:cs="Times New Roman" w:eastAsia="Times New Roman" w:hAnsi="Times New Roman"/>
          <w:sz w:val="11"/>
          <w:szCs w:val="11"/>
          <w:color w:val="auto"/>
        </w:rPr>
      </w:pPr>
    </w:p>
    <w:p>
      <w:pPr>
        <w:ind w:left="660" w:right="999" w:firstLine="3"/>
        <w:spacing w:after="0" w:line="303" w:lineRule="auto"/>
        <w:tabs>
          <w:tab w:leader="none" w:pos="851"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and percentages for total non-performing loans and total non-performing assets are the same at the dates presented since there were no impaired investments or other real estate owned (OREO)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76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NET INTEREST MARGIN (UNAUDITED)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0"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0"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6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Loans </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1,698,611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24,803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1,456,780</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17,836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Investment securities </w:t>
            </w:r>
            <w:r>
              <w:rPr>
                <w:rFonts w:ascii="Times New Roman" w:cs="Times New Roman" w:eastAsia="Times New Roman" w:hAnsi="Times New Roman"/>
                <w:sz w:val="14"/>
                <w:szCs w:val="14"/>
                <w:color w:val="auto"/>
                <w:vertAlign w:val="superscript"/>
              </w:rPr>
              <w:t>(3)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404,850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429,020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49,583</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53,717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2,153,044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27,976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1,939,517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20,597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115,767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62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49,675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61,976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 and money market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1,004,805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871,269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281,990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216,804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1,336,470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1,150,049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1,475,470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1,187,549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577,133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653,820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non-interest-bearing liabilities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32,579</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32,942</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2,085,182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1,874,311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Stockholders' equity</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183,629</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177,556</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62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 xml:space="preserve">Net interest spread </w:t>
            </w:r>
            <w:r>
              <w:rPr>
                <w:rFonts w:ascii="Times New Roman" w:cs="Times New Roman" w:eastAsia="Times New Roman" w:hAnsi="Times New Roman"/>
                <w:sz w:val="12"/>
                <w:szCs w:val="12"/>
                <w:color w:val="auto"/>
                <w:vertAlign w:val="superscript"/>
              </w:rPr>
              <w:t>(4)</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1.50%</w:t>
            </w: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2.96%</w:t>
            </w: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860" w:hanging="197"/>
        <w:spacing w:after="0"/>
        <w:tabs>
          <w:tab w:leader="none" w:pos="8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 balances include non-accrual loans. Interest income on loans includes accretion of deferred loan fees, net of deferred loan 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fair value except for securities held to maturity. This amount includes FHLB stock.</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spread is the average yield earned on total interest-earning assets minus the average rate paid on total interest-bearingliabilities.</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is the ratio of net interest income to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781"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1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3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12/31/2023</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9/30/2023</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6/30/2023</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3/31/2023</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12/31/2022</w:t>
            </w:r>
          </w:p>
        </w:tc>
        <w:tc>
          <w:tcPr>
            <w:tcW w:w="20" w:type="dxa"/>
            <w:vAlign w:val="bottom"/>
          </w:tcPr>
          <w:p>
            <w:pPr>
              <w:spacing w:after="0"/>
              <w:rPr>
                <w:sz w:val="12"/>
                <w:szCs w:val="12"/>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Pre-tax pre-provision ("PTPP") income:</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Plus: Provision for income taxes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Plus: Provision for credit losses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20" w:type="dxa"/>
            <w:vAlign w:val="bottom"/>
          </w:tcPr>
          <w:p>
            <w:pPr>
              <w:spacing w:after="0"/>
              <w:rPr>
                <w:sz w:val="13"/>
                <w:szCs w:val="13"/>
                <w:color w:val="auto"/>
              </w:rPr>
            </w:pPr>
          </w:p>
        </w:tc>
      </w:tr>
      <w:tr>
        <w:trPr>
          <w:trHeight w:val="151"/>
        </w:trPr>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4,983</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5,722</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6,729</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PTPP return on average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4,983</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6,729</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2,250,258</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2,183,542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2,120,218</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 xml:space="preserve">PTPP return on average assets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net income: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5,809</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(883)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(955)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(1,989)</w:t>
            </w: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Less: Tax effect on sale of securities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20" w:type="dxa"/>
            <w:vAlign w:val="bottom"/>
            <w:shd w:val="clear" w:color="auto" w:fill="CCEEFF"/>
          </w:tcPr>
          <w:p>
            <w:pPr>
              <w:spacing w:after="0"/>
              <w:rPr>
                <w:sz w:val="13"/>
                <w:szCs w:val="13"/>
                <w:color w:val="auto"/>
              </w:rPr>
            </w:pPr>
          </w:p>
        </w:tc>
      </w:tr>
      <w:tr>
        <w:trPr>
          <w:trHeight w:val="191"/>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5,825</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5,919</w:t>
            </w:r>
          </w:p>
        </w:tc>
        <w:tc>
          <w:tcPr>
            <w:tcW w:w="20" w:type="dxa"/>
            <w:vAlign w:val="bottom"/>
          </w:tcPr>
          <w:p>
            <w:pPr>
              <w:spacing w:after="0"/>
              <w:rPr>
                <w:sz w:val="16"/>
                <w:szCs w:val="16"/>
                <w:color w:val="auto"/>
              </w:rPr>
            </w:pPr>
          </w:p>
        </w:tc>
      </w:tr>
      <w:tr>
        <w:trPr>
          <w:trHeight w:val="100"/>
        </w:trPr>
        <w:tc>
          <w:tcPr>
            <w:tcW w:w="3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PTPP income: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4,983</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5,722</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7,891</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6,729</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(1,989)</w:t>
            </w:r>
          </w:p>
        </w:tc>
      </w:tr>
      <w:tr>
        <w:trPr>
          <w:trHeight w:val="151"/>
        </w:trPr>
        <w:tc>
          <w:tcPr>
            <w:tcW w:w="32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Operating PTPP income</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5,866</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6,677</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7,912</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8,718</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PTPP return on average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5,866</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6,677</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7,912</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8,718</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2,250,258</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2,183,542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2,120,218</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 xml:space="preserve">Operating PTPP return on average assets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assets:</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5,825</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5,919</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2,250,258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2,183,542</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2,120,218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xml:space="preserve">Operating return on average assets </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equity:</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5,825</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5,919</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equity</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183,629</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184,901</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184,238</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183,371</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177,556</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 xml:space="preserve">Operating return on average equity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Revenue: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interest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14,022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14,173</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15,997</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16,866</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Non-interest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(123)</w:t>
            </w: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(1,989)</w:t>
            </w:r>
          </w:p>
        </w:tc>
      </w:tr>
      <w:tr>
        <w:trPr>
          <w:trHeight w:val="211"/>
        </w:trPr>
        <w:tc>
          <w:tcPr>
            <w:tcW w:w="32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Operating revenue</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16,019</w:t>
            </w:r>
          </w:p>
        </w:tc>
        <w:tc>
          <w:tcPr>
            <w:tcW w:w="60" w:type="dxa"/>
            <w:vAlign w:val="bottom"/>
            <w:gridSpan w:val="2"/>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18,732</w:t>
            </w:r>
          </w:p>
        </w:tc>
        <w:tc>
          <w:tcPr>
            <w:tcW w:w="20" w:type="dxa"/>
            <w:vAlign w:val="bottom"/>
          </w:tcPr>
          <w:p>
            <w:pPr>
              <w:spacing w:after="0"/>
              <w:rPr>
                <w:sz w:val="18"/>
                <w:szCs w:val="18"/>
                <w:color w:val="auto"/>
              </w:rPr>
            </w:pPr>
          </w:p>
        </w:tc>
      </w:tr>
      <w:tr>
        <w:trPr>
          <w:trHeight w:val="123"/>
        </w:trPr>
        <w:tc>
          <w:tcPr>
            <w:tcW w:w="3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Efficiency Ratio:</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10,719</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10,461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10,452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10,176</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10,014</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revenue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16,585</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16,019</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18,088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18,732</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Operating efficiency ratio</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53.46%</w:t>
            </w:r>
          </w:p>
        </w:tc>
        <w:tc>
          <w:tcPr>
            <w:tcW w:w="20" w:type="dxa"/>
            <w:vAlign w:val="bottom"/>
            <w:shd w:val="clear" w:color="auto" w:fill="CCEEFF"/>
          </w:tcPr>
          <w:p>
            <w:pPr>
              <w:spacing w:after="0"/>
              <w:rPr>
                <w:sz w:val="13"/>
                <w:szCs w:val="13"/>
                <w:color w:val="auto"/>
              </w:rPr>
            </w:pPr>
          </w:p>
        </w:tc>
      </w:tr>
    </w:tbl>
    <w:p>
      <w:pPr>
        <w:spacing w:after="0" w:line="185" w:lineRule="exact"/>
        <w:rPr>
          <w:sz w:val="20"/>
          <w:szCs w:val="20"/>
          <w:color w:val="auto"/>
        </w:rPr>
      </w:pPr>
    </w:p>
    <w:p>
      <w:pPr>
        <w:ind w:left="820" w:hanging="157"/>
        <w:spacing w:after="0"/>
        <w:tabs>
          <w:tab w:leader="none" w:pos="82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measurements are key indicators of the ongoing earnings power of the Company.</w:t>
      </w:r>
    </w:p>
    <w:p>
      <w:pPr>
        <w:spacing w:after="0" w:line="54"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760"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8"/>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00" w:type="dxa"/>
            <w:vAlign w:val="bottom"/>
            <w:tcBorders>
              <w:bottom w:val="single" w:sz="8" w:color="CCEEFF"/>
            </w:tcBorders>
          </w:tcPr>
          <w:p>
            <w:pPr>
              <w:spacing w:after="0"/>
              <w:rPr>
                <w:sz w:val="11"/>
                <w:szCs w:val="11"/>
                <w:color w:val="auto"/>
              </w:rPr>
            </w:pPr>
          </w:p>
        </w:tc>
        <w:tc>
          <w:tcPr>
            <w:tcW w:w="30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12/31/2023</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9/30/2023</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6/30/2023</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3/31/2023</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Tangible book value per common share (at period-end):</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182,884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183,685</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183,858</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Borders>
              <w:bottom w:val="single" w:sz="8" w:color="CCEEFF"/>
            </w:tcBorders>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1"/>
                <w:szCs w:val="11"/>
                <w:color w:val="auto"/>
              </w:rPr>
              <w:t>Less: Intangible assets</w:t>
            </w:r>
            <w:r>
              <w:rPr>
                <w:rFonts w:ascii="Times New Roman" w:cs="Times New Roman" w:eastAsia="Times New Roman" w:hAnsi="Times New Roman"/>
                <w:sz w:val="14"/>
                <w:szCs w:val="14"/>
                <w:color w:val="auto"/>
                <w:vertAlign w:val="superscript"/>
              </w:rPr>
              <w:t>(2)</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320" w:type="dxa"/>
            <w:vAlign w:val="bottom"/>
            <w:gridSpan w:val="2"/>
          </w:tcPr>
          <w:p>
            <w:pPr>
              <w:ind w:left="300"/>
              <w:spacing w:after="0" w:line="151" w:lineRule="exact"/>
              <w:rPr>
                <w:sz w:val="20"/>
                <w:szCs w:val="20"/>
                <w:color w:val="auto"/>
              </w:rPr>
            </w:pPr>
            <w:r>
              <w:rPr>
                <w:rFonts w:ascii="Times New Roman" w:cs="Times New Roman" w:eastAsia="Times New Roman" w:hAnsi="Times New Roman"/>
                <w:sz w:val="11"/>
                <w:szCs w:val="11"/>
                <w:color w:val="auto"/>
              </w:rPr>
              <w:t>Tangible stockholders' equity</w:t>
            </w:r>
            <w:r>
              <w:rPr>
                <w:rFonts w:ascii="Times New Roman" w:cs="Times New Roman" w:eastAsia="Times New Roman" w:hAnsi="Times New Roman"/>
                <w:sz w:val="14"/>
                <w:szCs w:val="14"/>
                <w:color w:val="auto"/>
                <w:vertAlign w:val="superscript"/>
              </w:rPr>
              <w:t>(2)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182,884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183,685</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183,858</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 shares issued and outstanding (at period-end):</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common shares issued and outstanding</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19,575,435</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19,542,290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19,544,777</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19,622,380</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Tangible book value per common share</w:t>
            </w:r>
            <w:r>
              <w:rPr>
                <w:rFonts w:ascii="Times New Roman" w:cs="Times New Roman" w:eastAsia="Times New Roman" w:hAnsi="Times New Roman"/>
                <w:sz w:val="14"/>
                <w:szCs w:val="14"/>
                <w:color w:val="auto"/>
                <w:vertAlign w:val="superscript"/>
              </w:rPr>
              <w:t>(2) (3)</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9.40</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Operating diluted net income per common share:</w:t>
            </w:r>
            <w:r>
              <w:rPr>
                <w:rFonts w:ascii="Times New Roman" w:cs="Times New Roman" w:eastAsia="Times New Roman" w:hAnsi="Times New Roman"/>
                <w:sz w:val="14"/>
                <w:szCs w:val="14"/>
                <w:color w:val="auto"/>
                <w:vertAlign w:val="superscript"/>
              </w:rPr>
              <w:t>(1)</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32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Operating net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5,919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weighted average diluted shares of common stock</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19,573,350</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19,611,897</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19,639,682</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19,940,606</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20,172,438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diluted net income per common share:</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Tangible Common Equity/Tangible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182,884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183,685</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183,858</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Tangible total assets</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2,339,093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2,244,602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2,225,914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2,163,821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2,085,834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Tangible Common Equity/Tangible Assets</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 w:type="dxa"/>
            <w:vAlign w:val="bottom"/>
            <w:tcBorders>
              <w:bottom w:val="single" w:sz="8" w:color="auto"/>
            </w:tcBorders>
            <w:shd w:val="clear" w:color="auto" w:fill="CCEEFF"/>
          </w:tcPr>
          <w:p>
            <w:pPr>
              <w:spacing w:after="0"/>
              <w:rPr>
                <w:sz w:val="15"/>
                <w:szCs w:val="15"/>
                <w:color w:val="auto"/>
              </w:rPr>
            </w:pPr>
          </w:p>
        </w:tc>
        <w:tc>
          <w:tcPr>
            <w:tcW w:w="30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860" w:hanging="197"/>
        <w:spacing w:after="0"/>
        <w:tabs>
          <w:tab w:leader="none" w:pos="8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measurements are key indicators of the ongoing earnings power of the Company.</w:t>
      </w:r>
    </w:p>
    <w:p>
      <w:pPr>
        <w:spacing w:after="0" w:line="26" w:lineRule="exact"/>
        <w:rPr>
          <w:rFonts w:ascii="Times New Roman" w:cs="Times New Roman" w:eastAsia="Times New Roman" w:hAnsi="Times New Roman"/>
          <w:sz w:val="11"/>
          <w:szCs w:val="11"/>
          <w:color w:val="auto"/>
        </w:rPr>
      </w:pPr>
    </w:p>
    <w:p>
      <w:pPr>
        <w:ind w:left="660" w:right="1199" w:firstLine="3"/>
        <w:spacing w:after="0" w:line="283" w:lineRule="auto"/>
        <w:tabs>
          <w:tab w:leader="none" w:pos="822"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Since the Company has no intangible assets, tangible stockholders' equity, tangible book value per share and tangible total assets are the same amounts as stockholders' equity, book value per share and total assets calculated under GAAP.</w:t>
      </w:r>
    </w:p>
    <w:p>
      <w:pPr>
        <w:spacing w:after="0" w:line="11"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the dilutive effect, if any, of shares of common stock issuable upon exercise of outstanding stockoptions.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760" w:right="1440" w:bottom="1440" w:gutter="0" w:footer="0" w:header="0"/>
        </w:sectPr>
      </w:pPr>
    </w:p>
    <w:bookmarkStart w:id="12" w:name="page13"/>
    <w:bookmarkEnd w:id="12"/>
    <w:p>
      <w:pPr>
        <w:ind w:left="8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Exhibit 99.2</w:t>
      </w:r>
    </w:p>
    <w:p>
      <w:pPr>
        <w:sectPr>
          <w:pgSz w:w="11900" w:h="16838" w:orient="portrait"/>
          <w:cols w:equalWidth="0" w:num="1">
            <w:col w:w="9660"/>
          </w:cols>
          <w:pgMar w:left="1440" w:top="433" w:right="79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2024-01-25T15:20:33Z</dcterms:created>
  <dcterms:modified xsi:type="dcterms:W3CDTF">2024-01-25T15:20:33Z</dcterms:modified>
</cp:coreProperties>
</file>