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8659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5949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WYCOFF W KIRK</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700"/>
        <w:spacing w:after="0" w:line="385" w:lineRule="auto"/>
        <w:rPr>
          <w:sz w:val="20"/>
          <w:szCs w:val="20"/>
          <w:color w:val="auto"/>
        </w:rPr>
      </w:pPr>
      <w:r>
        <w:rPr>
          <w:rFonts w:ascii="Times New Roman" w:cs="Times New Roman" w:eastAsia="Times New Roman" w:hAnsi="Times New Roman"/>
          <w:sz w:val="16"/>
          <w:szCs w:val="16"/>
          <w:color w:val="0000FF"/>
        </w:rPr>
        <w:t>FOUR RADNOR CORPORATE CENTER 100 MATSONFORD ROAD, SUITE 210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3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38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25"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3"/>
                <w:szCs w:val="13"/>
                <w:color w:val="auto"/>
              </w:rPr>
            </w:pPr>
          </w:p>
        </w:tc>
        <w:tc>
          <w:tcPr>
            <w:tcW w:w="9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6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09/02/2025</w:t>
            </w: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4"/>
              </w:rPr>
              <w:t>D</w:t>
            </w:r>
          </w:p>
        </w:tc>
        <w:tc>
          <w:tcPr>
            <w:tcW w:w="8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1,200,000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17.19</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3,285,909</w:t>
            </w:r>
          </w:p>
        </w:tc>
        <w:tc>
          <w:tcPr>
            <w:tcW w:w="960" w:type="dxa"/>
            <w:vAlign w:val="bottom"/>
            <w:tcBorders>
              <w:bottom w:val="single" w:sz="8" w:color="2C2C2C"/>
            </w:tcBorders>
            <w:gridSpan w:val="2"/>
          </w:tcPr>
          <w:p>
            <w:pPr>
              <w:ind w:left="12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(1)(2)(3)(4)</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left="5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20" w:type="dxa"/>
            <w:vAlign w:val="bottom"/>
            <w:gridSpan w:val="14"/>
          </w:tcPr>
          <w:p>
            <w:pPr>
              <w:ind w:lef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4"/>
          </w:tcPr>
          <w:p>
            <w:pPr>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(5)</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restart"/>
          </w:tcPr>
          <w:p>
            <w:pPr>
              <w:jc w:val="center"/>
              <w:ind w:right="18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03/01/2016</w:t>
            </w:r>
          </w:p>
        </w:tc>
        <w:tc>
          <w:tcPr>
            <w:tcW w:w="660" w:type="dxa"/>
            <w:vAlign w:val="bottom"/>
            <w:vMerge w:val="continue"/>
          </w:tcPr>
          <w:p>
            <w:pPr>
              <w:spacing w:after="0"/>
              <w:rPr>
                <w:sz w:val="6"/>
                <w:szCs w:val="6"/>
                <w:color w:val="auto"/>
              </w:rPr>
            </w:pPr>
          </w:p>
        </w:tc>
        <w:tc>
          <w:tcPr>
            <w:tcW w:w="700" w:type="dxa"/>
            <w:vAlign w:val="bottom"/>
            <w:gridSpan w:val="2"/>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7,500</w:t>
            </w: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(5)</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restart"/>
          </w:tcPr>
          <w:p>
            <w:pPr>
              <w:jc w:val="center"/>
              <w:ind w:right="12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09/23/2019</w:t>
            </w:r>
          </w:p>
        </w:tc>
        <w:tc>
          <w:tcPr>
            <w:tcW w:w="660" w:type="dxa"/>
            <w:vAlign w:val="bottom"/>
            <w:vMerge w:val="continue"/>
          </w:tcPr>
          <w:p>
            <w:pPr>
              <w:spacing w:after="0"/>
              <w:rPr>
                <w:sz w:val="6"/>
                <w:szCs w:val="6"/>
                <w:color w:val="auto"/>
              </w:rPr>
            </w:pPr>
          </w:p>
        </w:tc>
        <w:tc>
          <w:tcPr>
            <w:tcW w:w="700" w:type="dxa"/>
            <w:vAlign w:val="bottom"/>
            <w:gridSpan w:val="2"/>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4,000</w:t>
            </w: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line="22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WYCOFF W KIRK</w:t>
              </w:r>
            </w:hyperlink>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RADNOR</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19087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gridSpan w:val="6"/>
          </w:tcPr>
          <w:p>
            <w:pPr>
              <w:spacing w:after="0" w:line="223"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Patriot Financial Partners GP II, L.P.</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-5400675</wp:posOffset>
            </wp:positionV>
            <wp:extent cx="29210" cy="3020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302069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MATSONFORD ROAD, SUITE 210</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5430" cy="9437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5430" cy="94373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3"/>
          </w:tcPr>
          <w:p>
            <w:pPr>
              <w:spacing w:after="0" w:line="223" w:lineRule="exact"/>
              <w:rPr>
                <w:rFonts w:ascii="Times New Roman" w:cs="Times New Roman" w:eastAsia="Times New Roman" w:hAnsi="Times New Roman"/>
                <w:sz w:val="21"/>
                <w:szCs w:val="21"/>
                <w:color w:val="0000EE"/>
                <w:w w:val="98"/>
              </w:rPr>
            </w:pPr>
            <w:hyperlink r:id="rId18">
              <w:r>
                <w:rPr>
                  <w:rFonts w:ascii="Times New Roman" w:cs="Times New Roman" w:eastAsia="Times New Roman" w:hAnsi="Times New Roman"/>
                  <w:sz w:val="21"/>
                  <w:szCs w:val="21"/>
                  <w:color w:val="0000EE"/>
                  <w:w w:val="98"/>
                </w:rPr>
                <w:t>Patriot Financial Partners II, L.P.</w:t>
              </w:r>
            </w:hyperlink>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68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Patriot Financial Partners Parallel II, L.P.</w:t>
        </w:r>
      </w:hyperlink>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4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20" w:type="dxa"/>
            <w:vAlign w:val="bottom"/>
          </w:tcPr>
          <w:p>
            <w:pPr>
              <w:spacing w:after="0"/>
              <w:rPr>
                <w:sz w:val="22"/>
                <w:szCs w:val="22"/>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Patriot Financial Partners GP II, LLC</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4"/>
          </w:tcPr>
          <w:p>
            <w:pPr>
              <w:spacing w:after="0" w:line="223"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Deutsch James F.</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4"/>
          </w:tcPr>
          <w:p>
            <w:pPr>
              <w:spacing w:after="0" w:line="223"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LYNCH JAMES J</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 MATSONFORD ROAD, SUITE 210</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firstLine="3"/>
        <w:spacing w:after="0"/>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Patriot Financial Partners GP II, LLC ("Patriot LLC"), Patriot Financial Partners GP II, LP. ("Patriot GP"), Patriot Financial Partners II, LP. ("Patriot Fund II"), Patriot Financial Partners Parallel II, LP. ("Patriot Parallel Fund II," together with Patriot Fund II, the "Funds"), W. Kirk Wycoff, James J. Lynch, Ira M. Luber! and James F. Deutsch. Patriot GP is a general partner of each of the Funds and Patriot LLC is a general partner of Patriot GP. In addition, each of W. Kirk Wycoff, Ira M. Lubert and James J. Lynch serve as general partners of the Funds and is a member of Patriot LLC. James F. Deutsch is a member of the Patriot Funds Investment Committee.</w:t>
      </w:r>
    </w:p>
    <w:p>
      <w:pPr>
        <w:spacing w:after="0" w:line="27" w:lineRule="exact"/>
        <w:rPr>
          <w:rFonts w:ascii="Times New Roman" w:cs="Times New Roman" w:eastAsia="Times New Roman" w:hAnsi="Times New Roman"/>
          <w:sz w:val="13"/>
          <w:szCs w:val="13"/>
          <w:color w:val="008000"/>
        </w:rPr>
      </w:pPr>
    </w:p>
    <w:p>
      <w:pPr>
        <w:ind w:left="20" w:right="140" w:firstLine="3"/>
        <w:spacing w:after="0" w:line="260"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owned by the Funds may be regarded as being beneficially owned by Patriot GP, Patriot LLC, W. Kirk Wycoff, James J. Lynch, Ira M. Lubert and James F. Deutsch. On September 2, 2025, Patriot Fund II agreed to sell 1,074,616 shares of common stock to the Issuer and Patriot Parallel Fund II agreed to sell 125,384 shares of common stock to the Issuer.</w:t>
      </w:r>
    </w:p>
    <w:p>
      <w:pPr>
        <w:spacing w:after="0" w:line="14"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the sale, Patriot Fund II holds 2,942,573 shares of common stock and Patriot Parallel Fund II holds 343,336 shares of common stock.</w:t>
      </w:r>
    </w:p>
    <w:p>
      <w:pPr>
        <w:spacing w:after="0" w:line="45" w:lineRule="exact"/>
        <w:rPr>
          <w:rFonts w:ascii="Times New Roman" w:cs="Times New Roman" w:eastAsia="Times New Roman" w:hAnsi="Times New Roman"/>
          <w:sz w:val="13"/>
          <w:szCs w:val="13"/>
          <w:color w:val="008000"/>
        </w:rPr>
      </w:pPr>
    </w:p>
    <w:p>
      <w:pPr>
        <w:jc w:val="both"/>
        <w:ind w:left="20" w:firstLine="3"/>
        <w:spacing w:after="0" w:line="260"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filing shall not be deemed an admission that the Reporting Persons are subject to Section 16 of the Securities Exchange Act of 1934, as amended (the "Exchange Act"), or, for purposes of Section 16 of the Exchange Act or otherwise (other than to the extent a Reporting Person directly holds the securities reported herein), and Messrs. Wycoff, Lynch, Lubert and Deutsch each disclaim beneficial ownership of</w:t>
      </w:r>
    </w:p>
    <w:p>
      <w:pPr>
        <w:sectPr>
          <w:pgSz w:w="11900" w:h="16887" w:orient="portrait"/>
          <w:cols w:equalWidth="0" w:num="1">
            <w:col w:w="10880"/>
          </w:cols>
          <w:pgMar w:left="480" w:top="257" w:right="5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color w:val="008000"/>
        </w:rPr>
        <w:t>the securities owned by the Funds, except to the extent of their respective pecuniary interest therein.</w:t>
      </w:r>
    </w:p>
    <w:p>
      <w:pPr>
        <w:spacing w:after="0" w:line="46" w:lineRule="exact"/>
        <w:rPr>
          <w:sz w:val="20"/>
          <w:szCs w:val="20"/>
          <w:color w:val="auto"/>
        </w:rPr>
      </w:pPr>
    </w:p>
    <w:p>
      <w:pPr>
        <w:ind w:firstLine="3"/>
        <w:spacing w:after="0" w:line="260"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previously granted to Mr. Wycoff as a director of the Company. Each option to purchase Class A Voting Common Stock remains exercisable until the earlier of (a) ten (10) years after its date of grant or (b) the (3) months after the date Mr. Wycoff ceases to serve as a non-employee of the Issuer.</w:t>
      </w:r>
    </w:p>
    <w:p>
      <w:pPr>
        <w:sectPr>
          <w:pgSz w:w="11900" w:h="16838" w:orient="portrait"/>
          <w:cols w:equalWidth="0" w:num="1">
            <w:col w:w="10720"/>
          </w:cols>
          <w:pgMar w:left="500" w:top="127" w:right="679" w:bottom="1440" w:gutter="0" w:footer="0" w:header="0"/>
        </w:sectPr>
      </w:pPr>
    </w:p>
    <w:p>
      <w:pPr>
        <w:spacing w:after="0" w:line="4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Patriot Financial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wp:posOffset>
            </wp:positionV>
            <wp:extent cx="1347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W. Kirk Wycoff,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167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Patriot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096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GP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57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78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991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09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1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326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99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Parallel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00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12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326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991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II, LLC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44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12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326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991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817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782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F.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8756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45"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0"/>
          <w:szCs w:val="20"/>
          <w:color w:val="auto"/>
        </w:rPr>
      </w:pPr>
    </w:p>
    <w:p>
      <w:pPr>
        <w:sectPr>
          <w:pgSz w:w="11900" w:h="16838" w:orient="portrait"/>
          <w:cols w:equalWidth="0" w:num="2">
            <w:col w:w="8680" w:space="80"/>
            <w:col w:w="1960"/>
          </w:cols>
          <w:pgMar w:left="500" w:top="127" w:right="67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200" w:firstLine="3"/>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20"/>
          </w:cols>
          <w:pgMar w:left="500" w:top="127" w:right="67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0" w:lineRule="exact"/>
        <w:rPr>
          <w:sz w:val="20"/>
          <w:szCs w:val="20"/>
          <w:color w:val="auto"/>
        </w:rPr>
      </w:pPr>
    </w:p>
    <w:p>
      <w:pPr>
        <w:spacing w:after="0" w:line="230" w:lineRule="exact"/>
        <w:rPr>
          <w:sz w:val="20"/>
          <w:szCs w:val="20"/>
          <w:color w:val="auto"/>
        </w:rPr>
      </w:pPr>
    </w:p>
    <w:p>
      <w:pPr>
        <w:ind w:right="20" w:firstLine="625"/>
        <w:spacing w:after="0" w:line="294"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Luis de la Aguilera, Robert Anderson and Roberto Diaz, signing singly, the undersigned's true and lawful attorney-in-fact to:</w:t>
      </w:r>
    </w:p>
    <w:p>
      <w:pPr>
        <w:spacing w:after="0" w:line="147" w:lineRule="exact"/>
        <w:rPr>
          <w:sz w:val="20"/>
          <w:szCs w:val="20"/>
          <w:color w:val="auto"/>
        </w:rPr>
      </w:pPr>
    </w:p>
    <w:p>
      <w:pPr>
        <w:jc w:val="both"/>
        <w:ind w:firstLine="630"/>
        <w:spacing w:after="0" w:line="268" w:lineRule="auto"/>
        <w:tabs>
          <w:tab w:leader="none" w:pos="8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and in his capacity as a member of Patriot Financial Partners GP II, LLC, on its own behalf and as general partner of Patriot Financial Partners GP II, L.P., on its own behalf as general partner of Patriot Financial Partners II, L.P. and Patriot Financial Partners Parallel II, L.P., Forms 3, 4, and 5 in accordance with Section 16(a) of the Securities Exchange Act of 1934, and the rules and regulations promulgated thereunder (the “Exchange Act”);</w:t>
      </w:r>
    </w:p>
    <w:p>
      <w:pPr>
        <w:spacing w:after="0" w:line="169" w:lineRule="exact"/>
        <w:rPr>
          <w:rFonts w:ascii="Times New Roman" w:cs="Times New Roman" w:eastAsia="Times New Roman" w:hAnsi="Times New Roman"/>
          <w:sz w:val="17"/>
          <w:szCs w:val="17"/>
          <w:color w:val="auto"/>
        </w:rPr>
      </w:pPr>
    </w:p>
    <w:p>
      <w:pPr>
        <w:jc w:val="both"/>
        <w:ind w:firstLine="1041"/>
        <w:spacing w:after="0" w:line="275" w:lineRule="auto"/>
        <w:tabs>
          <w:tab w:leader="none" w:pos="128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2" w:lineRule="exact"/>
        <w:rPr>
          <w:sz w:val="20"/>
          <w:szCs w:val="20"/>
          <w:color w:val="auto"/>
        </w:rPr>
      </w:pPr>
    </w:p>
    <w:p>
      <w:pPr>
        <w:jc w:val="both"/>
        <w:ind w:firstLine="630"/>
        <w:spacing w:after="0" w:line="268" w:lineRule="auto"/>
        <w:tabs>
          <w:tab w:leader="none" w:pos="87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jc w:val="both"/>
        <w:ind w:firstLine="1255"/>
        <w:spacing w:after="0" w:line="263"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383" w:lineRule="exact"/>
        <w:rPr>
          <w:sz w:val="20"/>
          <w:szCs w:val="20"/>
          <w:color w:val="auto"/>
        </w:rPr>
      </w:pPr>
    </w:p>
    <w:p>
      <w:pPr>
        <w:jc w:val="both"/>
        <w:ind w:firstLine="625"/>
        <w:spacing w:after="0" w:line="275"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22nd day of January 2024.</w:t>
      </w:r>
    </w:p>
    <w:p>
      <w:pPr>
        <w:spacing w:after="0" w:line="2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color w:val="auto"/>
        </w:rPr>
        <w:t>By: /s/ W. Kirk Wycoff</w:t>
      </w:r>
    </w:p>
    <w:p>
      <w:pPr>
        <w:spacing w:after="0" w:line="3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7"/>
          <w:szCs w:val="17"/>
          <w:color w:val="auto"/>
        </w:rPr>
        <w:t>W. Kirk Wycoff</w:t>
      </w:r>
    </w:p>
    <w:sectPr>
      <w:pgSz w:w="11900" w:h="16838" w:orient="portrait"/>
      <w:cols w:equalWidth="0" w:num="1">
        <w:col w:w="10980"/>
      </w:cols>
      <w:pgMar w:left="46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13" Type="http://schemas.openxmlformats.org/officeDocument/2006/relationships/hyperlink" Target="http://www.sec.gov/cgi-bin/browse-edgar?action=getcompany&amp;CIK=0000949197" TargetMode="External"/><Relationship Id="rId14" Type="http://schemas.openxmlformats.org/officeDocument/2006/relationships/hyperlink" Target="http://www.sec.gov/cgi-bin/browse-edgar?action=getcompany&amp;CIK=0001901637" TargetMode="External"/><Relationship Id="rId15" Type="http://schemas.openxmlformats.org/officeDocument/2006/relationships/hyperlink" Target="http://www.sec.gov/cgi-bin/browse-edgar?action=getcompany&amp;CIK=0002061817" TargetMode="External"/><Relationship Id="rId18" Type="http://schemas.openxmlformats.org/officeDocument/2006/relationships/hyperlink" Target="http://www.sec.gov/cgi-bin/browse-edgar?action=getcompany&amp;CIK=0001583223" TargetMode="External"/><Relationship Id="rId19" Type="http://schemas.openxmlformats.org/officeDocument/2006/relationships/hyperlink" Target="http://www.sec.gov/cgi-bin/browse-edgar?action=getcompany&amp;CIK=0001586224" TargetMode="External"/><Relationship Id="rId20" Type="http://schemas.openxmlformats.org/officeDocument/2006/relationships/hyperlink" Target="http://www.sec.gov/cgi-bin/browse-edgar?action=getcompany&amp;CIK=0002061814" TargetMode="External"/><Relationship Id="rId21" Type="http://schemas.openxmlformats.org/officeDocument/2006/relationships/hyperlink" Target="http://www.sec.gov/cgi-bin/browse-edgar?action=getcompany&amp;CIK=0001561111" TargetMode="External"/><Relationship Id="rId22" Type="http://schemas.openxmlformats.org/officeDocument/2006/relationships/hyperlink" Target="http://www.sec.gov/cgi-bin/browse-edgar?action=getcompany&amp;CIK=00012223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2025-09-04T18:20:22Z</dcterms:created>
  <dcterms:modified xsi:type="dcterms:W3CDTF">2025-09-04T18:20:22Z</dcterms:modified>
</cp:coreProperties>
</file>