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39"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ANNUAL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2025</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46" w:lineRule="exact"/>
        <w:rPr>
          <w:sz w:val="24"/>
          <w:szCs w:val="24"/>
          <w:color w:val="auto"/>
        </w:rPr>
      </w:pPr>
    </w:p>
    <w:p>
      <w:pPr>
        <w:ind w:left="1600" w:hanging="531"/>
        <w:spacing w:after="0"/>
        <w:tabs>
          <w:tab w:leader="none" w:pos="1600" w:val="left"/>
        </w:tabs>
        <w:numPr>
          <w:ilvl w:val="0"/>
          <w:numId w:val="2"/>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TRANSITION REPORT PURSUANT TO SECTION 13 OR 15(d) OF THE SECURITIES EXCHANGE ACT OF 1934</w:t>
      </w:r>
    </w:p>
    <w:p>
      <w:pPr>
        <w:spacing w:after="0" w:line="111" w:lineRule="exact"/>
        <w:rPr>
          <w:sz w:val="24"/>
          <w:szCs w:val="24"/>
          <w:color w:val="auto"/>
        </w:rPr>
      </w:pPr>
    </w:p>
    <w:tbl>
      <w:tblPr>
        <w:tblLayout w:type="fixed"/>
        <w:tblInd w:w="820" w:type="dxa"/>
        <w:tblCellMar>
          <w:top w:w="0" w:type="dxa"/>
          <w:left w:w="0" w:type="dxa"/>
          <w:bottom w:w="0" w:type="dxa"/>
          <w:right w:w="0" w:type="dxa"/>
        </w:tblCellMar>
      </w:tblPr>
      <w:tr>
        <w:trPr>
          <w:trHeight w:val="158"/>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For the transition period from _____to_____</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Commission File Number: 001-41196</w:t>
            </w: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rPr>
              <w:t>USCB Financial Holdings, Inc.</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1680" w:type="dxa"/>
            <w:vAlign w:val="bottom"/>
            <w:gridSpan w:val="2"/>
          </w:tcPr>
          <w:p>
            <w:pPr>
              <w:jc w:val="center"/>
              <w:ind w:right="683"/>
              <w:spacing w:after="0"/>
              <w:rPr>
                <w:sz w:val="20"/>
                <w:szCs w:val="20"/>
                <w:color w:val="auto"/>
              </w:rPr>
            </w:pPr>
            <w:r>
              <w:rPr>
                <w:rFonts w:ascii="Arial" w:cs="Arial" w:eastAsia="Arial" w:hAnsi="Arial"/>
                <w:sz w:val="11"/>
                <w:szCs w:val="11"/>
                <w:b w:val="1"/>
                <w:bCs w:val="1"/>
                <w:color w:val="auto"/>
              </w:rPr>
              <w:t>Florida</w:t>
            </w: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40" w:type="dxa"/>
            <w:vAlign w:val="bottom"/>
            <w:gridSpan w:val="3"/>
          </w:tcPr>
          <w:p>
            <w:pPr>
              <w:jc w:val="center"/>
              <w:ind w:left="23"/>
              <w:spacing w:after="0"/>
              <w:rPr>
                <w:sz w:val="20"/>
                <w:szCs w:val="20"/>
                <w:color w:val="auto"/>
              </w:rPr>
            </w:pPr>
            <w:r>
              <w:rPr>
                <w:rFonts w:ascii="Arial" w:cs="Arial" w:eastAsia="Arial" w:hAnsi="Arial"/>
                <w:sz w:val="11"/>
                <w:szCs w:val="11"/>
                <w:b w:val="1"/>
                <w:bCs w:val="1"/>
                <w:color w:val="auto"/>
              </w:rPr>
              <w:t>87-4070846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320" w:type="dxa"/>
            <w:vAlign w:val="bottom"/>
            <w:gridSpan w:val="3"/>
          </w:tcPr>
          <w:p>
            <w:pPr>
              <w:jc w:val="center"/>
              <w:ind w:right="43"/>
              <w:spacing w:after="0"/>
              <w:rPr>
                <w:sz w:val="20"/>
                <w:szCs w:val="20"/>
                <w:color w:val="auto"/>
              </w:rPr>
            </w:pPr>
            <w:r>
              <w:rPr>
                <w:rFonts w:ascii="Arial" w:cs="Arial" w:eastAsia="Arial" w:hAnsi="Arial"/>
                <w:sz w:val="11"/>
                <w:szCs w:val="11"/>
                <w:i w:val="1"/>
                <w:iCs w:val="1"/>
                <w:color w:val="auto"/>
              </w:rPr>
              <w:t>(State or other jurisdiction of</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50"/>
        </w:trPr>
        <w:tc>
          <w:tcPr>
            <w:tcW w:w="2320" w:type="dxa"/>
            <w:vAlign w:val="bottom"/>
            <w:gridSpan w:val="3"/>
          </w:tcPr>
          <w:p>
            <w:pPr>
              <w:jc w:val="center"/>
              <w:ind w:right="23"/>
              <w:spacing w:after="0"/>
              <w:rPr>
                <w:sz w:val="20"/>
                <w:szCs w:val="20"/>
                <w:color w:val="auto"/>
              </w:rPr>
            </w:pPr>
            <w:r>
              <w:rPr>
                <w:rFonts w:ascii="Arial" w:cs="Arial" w:eastAsia="Arial" w:hAnsi="Arial"/>
                <w:sz w:val="11"/>
                <w:szCs w:val="11"/>
                <w:i w:val="1"/>
                <w:iCs w:val="1"/>
                <w:color w:val="auto"/>
              </w:rPr>
              <w:t>incorporation or organization)</w:t>
            </w:r>
          </w:p>
        </w:tc>
        <w:tc>
          <w:tcPr>
            <w:tcW w:w="26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rPr>
              <w:t>2301 NW 87th Avenue, Doral, FL 33172</w:t>
            </w: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(Address of principal executive offices) (zip code)</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43"/>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(305) 715-5200</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23"/>
              <w:spacing w:after="0"/>
              <w:rPr>
                <w:sz w:val="20"/>
                <w:szCs w:val="20"/>
                <w:color w:val="auto"/>
              </w:rPr>
            </w:pPr>
            <w:r>
              <w:rPr>
                <w:rFonts w:ascii="Arial" w:cs="Arial" w:eastAsia="Arial" w:hAnsi="Arial"/>
                <w:sz w:val="11"/>
                <w:szCs w:val="11"/>
                <w:color w:val="auto"/>
              </w:rPr>
              <w:t>Securities registered pursuant to Section 12(b) of the Act: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rPr>
              <w:t>Trading Symbol(s)</w:t>
            </w:r>
          </w:p>
        </w:tc>
        <w:tc>
          <w:tcPr>
            <w:tcW w:w="2460" w:type="dxa"/>
            <w:vAlign w:val="bottom"/>
            <w:gridSpan w:val="4"/>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20" w:type="dxa"/>
            <w:vAlign w:val="bottom"/>
            <w:gridSpan w:val="3"/>
          </w:tcPr>
          <w:p>
            <w:pPr>
              <w:spacing w:after="0"/>
              <w:rPr>
                <w:sz w:val="20"/>
                <w:szCs w:val="20"/>
                <w:color w:val="auto"/>
              </w:rPr>
            </w:pPr>
            <w:r>
              <w:rPr>
                <w:rFonts w:ascii="Arial" w:cs="Arial" w:eastAsia="Arial" w:hAnsi="Arial"/>
                <w:sz w:val="11"/>
                <w:szCs w:val="11"/>
                <w:color w:val="auto"/>
              </w:rPr>
              <w:t>Class A Common Stock, $1.00 par value per</w:t>
            </w:r>
          </w:p>
        </w:tc>
        <w:tc>
          <w:tcPr>
            <w:tcW w:w="860" w:type="dxa"/>
            <w:vAlign w:val="bottom"/>
          </w:tcPr>
          <w:p>
            <w:pPr>
              <w:spacing w:after="0"/>
              <w:rPr>
                <w:sz w:val="13"/>
                <w:szCs w:val="13"/>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color w:val="auto"/>
              </w:rPr>
              <w:t>USCB</w:t>
            </w:r>
          </w:p>
        </w:tc>
        <w:tc>
          <w:tcPr>
            <w:tcW w:w="40" w:type="dxa"/>
            <w:vAlign w:val="bottom"/>
          </w:tcPr>
          <w:p>
            <w:pPr>
              <w:spacing w:after="0"/>
              <w:rPr>
                <w:sz w:val="13"/>
                <w:szCs w:val="13"/>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1680" w:type="dxa"/>
            <w:vAlign w:val="bottom"/>
            <w:gridSpan w:val="2"/>
          </w:tcPr>
          <w:p>
            <w:pPr>
              <w:jc w:val="center"/>
              <w:ind w:right="643"/>
              <w:spacing w:after="0"/>
              <w:rPr>
                <w:sz w:val="20"/>
                <w:szCs w:val="20"/>
                <w:color w:val="auto"/>
              </w:rPr>
            </w:pPr>
            <w:r>
              <w:rPr>
                <w:rFonts w:ascii="Arial" w:cs="Arial" w:eastAsia="Arial" w:hAnsi="Arial"/>
                <w:sz w:val="11"/>
                <w:szCs w:val="11"/>
                <w:color w:val="auto"/>
              </w:rPr>
              <w:t>share</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000" w:type="dxa"/>
            <w:vAlign w:val="bottom"/>
            <w:gridSpan w:val="6"/>
          </w:tcPr>
          <w:p>
            <w:pPr>
              <w:ind w:left="10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40" w:type="dxa"/>
            <w:vAlign w:val="bottom"/>
            <w:gridSpan w:val="8"/>
          </w:tcPr>
          <w:p>
            <w:pPr>
              <w:ind w:left="100"/>
              <w:spacing w:after="0" w:line="233"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Yes</w:t>
            </w:r>
          </w:p>
        </w:tc>
        <w:tc>
          <w:tcPr>
            <w:tcW w:w="1120" w:type="dxa"/>
            <w:vAlign w:val="bottom"/>
            <w:gridSpan w:val="2"/>
          </w:tcPr>
          <w:p>
            <w:pPr>
              <w:jc w:val="center"/>
              <w:ind w:right="720"/>
              <w:spacing w:after="0" w:line="233" w:lineRule="exact"/>
              <w:rPr>
                <w:sz w:val="20"/>
                <w:szCs w:val="20"/>
                <w:color w:val="auto"/>
              </w:rPr>
            </w:pPr>
            <w:r>
              <w:rPr>
                <w:rFonts w:ascii="Arial" w:cs="Arial" w:eastAsia="Arial" w:hAnsi="Arial"/>
                <w:sz w:val="11"/>
                <w:szCs w:val="11"/>
                <w:color w:val="auto"/>
                <w:w w:val="87"/>
              </w:rPr>
              <w:t xml:space="preserve">No </w:t>
            </w:r>
            <w:r>
              <w:rPr>
                <w:rFonts w:ascii="MS PGothic" w:cs="MS PGothic" w:eastAsia="MS PGothic" w:hAnsi="MS PGothic"/>
                <w:sz w:val="22"/>
                <w:szCs w:val="22"/>
                <w:color w:val="auto"/>
                <w:w w:val="87"/>
                <w:vertAlign w:val="superscript"/>
              </w:rPr>
              <w:t>☒</w:t>
            </w:r>
          </w:p>
        </w:tc>
        <w:tc>
          <w:tcPr>
            <w:tcW w:w="0" w:type="dxa"/>
            <w:vAlign w:val="bottom"/>
          </w:tcPr>
          <w:p>
            <w:pPr>
              <w:spacing w:after="0"/>
              <w:rPr>
                <w:sz w:val="1"/>
                <w:szCs w:val="1"/>
                <w:color w:val="auto"/>
              </w:rPr>
            </w:pPr>
          </w:p>
        </w:tc>
      </w:tr>
      <w:tr>
        <w:trPr>
          <w:trHeight w:val="261"/>
        </w:trPr>
        <w:tc>
          <w:tcPr>
            <w:tcW w:w="6340" w:type="dxa"/>
            <w:vAlign w:val="bottom"/>
            <w:gridSpan w:val="8"/>
          </w:tcPr>
          <w:p>
            <w:pPr>
              <w:ind w:left="10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 Yes</w:t>
            </w:r>
          </w:p>
        </w:tc>
        <w:tc>
          <w:tcPr>
            <w:tcW w:w="1120" w:type="dxa"/>
            <w:vAlign w:val="bottom"/>
            <w:gridSpan w:val="2"/>
          </w:tcPr>
          <w:p>
            <w:pPr>
              <w:jc w:val="center"/>
              <w:ind w:right="680"/>
              <w:spacing w:after="0" w:line="253" w:lineRule="exact"/>
              <w:rPr>
                <w:sz w:val="20"/>
                <w:szCs w:val="20"/>
                <w:color w:val="auto"/>
              </w:rPr>
            </w:pPr>
            <w:r>
              <w:rPr>
                <w:rFonts w:ascii="MS PGothic" w:cs="MS PGothic" w:eastAsia="MS PGothic" w:hAnsi="MS PGothic"/>
                <w:sz w:val="11"/>
                <w:szCs w:val="11"/>
                <w:color w:val="auto"/>
                <w:w w:val="92"/>
              </w:rPr>
              <w:t xml:space="preserve">☐ </w:t>
            </w:r>
            <w:r>
              <w:rPr>
                <w:rFonts w:ascii="Arial" w:cs="Arial" w:eastAsia="Arial" w:hAnsi="Arial"/>
                <w:sz w:val="22"/>
                <w:szCs w:val="22"/>
                <w:color w:val="auto"/>
                <w:w w:val="92"/>
                <w:vertAlign w:val="subscript"/>
              </w:rPr>
              <w:t>No</w:t>
            </w:r>
            <w:r>
              <w:rPr>
                <w:rFonts w:ascii="MS PGothic" w:cs="MS PGothic" w:eastAsia="MS PGothic" w:hAnsi="MS PGothic"/>
                <w:sz w:val="11"/>
                <w:szCs w:val="11"/>
                <w:color w:val="auto"/>
                <w:w w:val="92"/>
              </w:rPr>
              <w:t xml:space="preserve"> ☒</w:t>
            </w:r>
          </w:p>
        </w:tc>
        <w:tc>
          <w:tcPr>
            <w:tcW w:w="0" w:type="dxa"/>
            <w:vAlign w:val="bottom"/>
          </w:tcPr>
          <w:p>
            <w:pPr>
              <w:spacing w:after="0"/>
              <w:rPr>
                <w:sz w:val="1"/>
                <w:szCs w:val="1"/>
                <w:color w:val="auto"/>
              </w:rPr>
            </w:pPr>
          </w:p>
        </w:tc>
      </w:tr>
    </w:tbl>
    <w:p>
      <w:pPr>
        <w:jc w:val="both"/>
        <w:ind w:left="920" w:right="659"/>
        <w:spacing w:after="0" w:line="14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9" w:lineRule="exact"/>
        <w:rPr>
          <w:sz w:val="24"/>
          <w:szCs w:val="24"/>
          <w:color w:val="auto"/>
        </w:rPr>
      </w:pPr>
    </w:p>
    <w:p>
      <w:pPr>
        <w:jc w:val="both"/>
        <w:ind w:left="920" w:right="659"/>
        <w:spacing w:after="0" w:line="249"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ind w:left="920"/>
        <w:spacing w:after="0" w:line="227" w:lineRule="exact"/>
        <w:rPr>
          <w:sz w:val="20"/>
          <w:szCs w:val="20"/>
          <w:color w:val="auto"/>
        </w:rPr>
      </w:pPr>
      <w:r>
        <w:rPr>
          <w:rFonts w:ascii="Arial" w:cs="Arial" w:eastAsia="Arial" w:hAnsi="Arial"/>
          <w:sz w:val="11"/>
          <w:szCs w:val="11"/>
          <w:color w:val="auto"/>
        </w:rPr>
        <w:t xml:space="preserve">such files).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265"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3" w:lineRule="exact"/>
        <w:rPr>
          <w:sz w:val="24"/>
          <w:szCs w:val="24"/>
          <w:color w:val="auto"/>
        </w:rPr>
      </w:pPr>
    </w:p>
    <w:p>
      <w:pPr>
        <w:ind w:left="920"/>
        <w:spacing w:after="0" w:line="253" w:lineRule="exact"/>
        <w:tabs>
          <w:tab w:leader="none" w:pos="22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ab/>
        <w:t xml:space="preserve">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Non-accelerated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Smaller reporting company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Emerging growth company </w:t>
      </w:r>
      <w:r>
        <w:rPr>
          <w:rFonts w:ascii="MS PGothic" w:cs="MS PGothic" w:eastAsia="MS PGothic" w:hAnsi="MS PGothic"/>
          <w:sz w:val="22"/>
          <w:szCs w:val="22"/>
          <w:color w:val="auto"/>
          <w:vertAlign w:val="superscript"/>
        </w:rPr>
        <w:t>☒</w:t>
      </w:r>
    </w:p>
    <w:p>
      <w:pPr>
        <w:spacing w:after="0" w:line="8" w:lineRule="exact"/>
        <w:rPr>
          <w:sz w:val="24"/>
          <w:szCs w:val="24"/>
          <w:color w:val="auto"/>
        </w:rPr>
      </w:pPr>
    </w:p>
    <w:p>
      <w:pPr>
        <w:ind w:left="920" w:right="679"/>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59" w:lineRule="exact"/>
        <w:rPr>
          <w:sz w:val="24"/>
          <w:szCs w:val="24"/>
          <w:color w:val="auto"/>
        </w:rPr>
      </w:pPr>
    </w:p>
    <w:p>
      <w:pPr>
        <w:ind w:left="920" w:right="659"/>
        <w:spacing w:after="0" w:line="249" w:lineRule="auto"/>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w:t>
      </w:r>
    </w:p>
    <w:p>
      <w:pPr>
        <w:ind w:left="920"/>
        <w:spacing w:after="0" w:line="227" w:lineRule="exact"/>
        <w:rPr>
          <w:sz w:val="20"/>
          <w:szCs w:val="20"/>
          <w:color w:val="auto"/>
        </w:rPr>
      </w:pPr>
      <w:r>
        <w:rPr>
          <w:rFonts w:ascii="Arial" w:cs="Arial" w:eastAsia="Arial" w:hAnsi="Arial"/>
          <w:sz w:val="11"/>
          <w:szCs w:val="11"/>
          <w:color w:val="auto"/>
        </w:rPr>
        <w:t xml:space="preserve">prepared or issued its audit report.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ind w:left="920" w:right="679"/>
        <w:spacing w:after="0" w:line="176"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ind w:left="920" w:right="679"/>
        <w:spacing w:after="0" w:line="175"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2"/>
          <w:szCs w:val="22"/>
          <w:color w:val="auto"/>
          <w:vertAlign w:val="superscript"/>
        </w:rPr>
        <w:t>☐</w:t>
      </w:r>
    </w:p>
    <w:p>
      <w:pPr>
        <w:ind w:left="920"/>
        <w:spacing w:after="0" w:line="2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Securities Exchange Act of 1934).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ind w:left="920" w:right="819"/>
        <w:spacing w:after="0" w:line="257" w:lineRule="auto"/>
        <w:rPr>
          <w:sz w:val="20"/>
          <w:szCs w:val="20"/>
          <w:color w:val="auto"/>
        </w:rPr>
      </w:pPr>
      <w:r>
        <w:rPr>
          <w:rFonts w:ascii="Arial" w:cs="Arial" w:eastAsia="Arial" w:hAnsi="Arial"/>
          <w:sz w:val="11"/>
          <w:szCs w:val="11"/>
          <w:color w:val="auto"/>
        </w:rPr>
        <w:t>The aggregate market value of the voting stock held by non-affiliates of the registrant based on the closing price of $ 16.54 per share on June 30, 2025, the last business day of the registrant’s second quarter, was approximately $173.0 million (20,078,385 shares issued and outstanding at such date less shares held by affiliates). Although directors and executive officers and their affiliates of the Registrant were assumed to be “affiliates” of the Registrant for purposes of the calculation, the classification is not to be interpreted as an admission of such status.</w:t>
      </w:r>
    </w:p>
    <w:p>
      <w:pPr>
        <w:spacing w:after="0" w:line="46" w:lineRule="exact"/>
        <w:rPr>
          <w:sz w:val="24"/>
          <w:szCs w:val="24"/>
          <w:color w:val="auto"/>
        </w:rPr>
      </w:pPr>
    </w:p>
    <w:p>
      <w:pPr>
        <w:ind w:left="920"/>
        <w:spacing w:after="0"/>
        <w:rPr>
          <w:sz w:val="20"/>
          <w:szCs w:val="20"/>
          <w:color w:val="auto"/>
        </w:rPr>
      </w:pPr>
      <w:r>
        <w:rPr>
          <w:rFonts w:ascii="Arial" w:cs="Arial" w:eastAsia="Arial" w:hAnsi="Arial"/>
          <w:sz w:val="11"/>
          <w:szCs w:val="11"/>
          <w:color w:val="auto"/>
        </w:rPr>
        <w:t>As of February 28, 2026, the registrant had 18,256,986 shares of Class A Common Stock outstanding.</w:t>
      </w:r>
    </w:p>
    <w:p>
      <w:pPr>
        <w:spacing w:after="0" w:line="74" w:lineRule="exact"/>
        <w:rPr>
          <w:sz w:val="24"/>
          <w:szCs w:val="24"/>
          <w:color w:val="auto"/>
        </w:rPr>
      </w:pPr>
    </w:p>
    <w:p>
      <w:pPr>
        <w:ind w:left="920"/>
        <w:spacing w:after="0"/>
        <w:rPr>
          <w:sz w:val="20"/>
          <w:szCs w:val="20"/>
          <w:color w:val="auto"/>
        </w:rPr>
      </w:pPr>
      <w:r>
        <w:rPr>
          <w:rFonts w:ascii="Arial" w:cs="Arial" w:eastAsia="Arial" w:hAnsi="Arial"/>
          <w:sz w:val="11"/>
          <w:szCs w:val="11"/>
          <w:b w:val="1"/>
          <w:bCs w:val="1"/>
          <w:color w:val="auto"/>
        </w:rPr>
        <w:t>DOCUMENTS INCORPORATED BY REFERENCE</w:t>
      </w:r>
    </w:p>
    <w:p>
      <w:pPr>
        <w:spacing w:after="0" w:line="78" w:lineRule="exact"/>
        <w:rPr>
          <w:sz w:val="24"/>
          <w:szCs w:val="24"/>
          <w:color w:val="auto"/>
        </w:rPr>
      </w:pPr>
    </w:p>
    <w:p>
      <w:pPr>
        <w:ind w:left="920" w:right="679"/>
        <w:spacing w:after="0" w:line="286" w:lineRule="auto"/>
        <w:rPr>
          <w:sz w:val="20"/>
          <w:szCs w:val="20"/>
          <w:color w:val="auto"/>
        </w:rPr>
      </w:pPr>
      <w:r>
        <w:rPr>
          <w:rFonts w:ascii="Arial" w:cs="Arial" w:eastAsia="Arial" w:hAnsi="Arial"/>
          <w:sz w:val="11"/>
          <w:szCs w:val="11"/>
          <w:color w:val="auto"/>
        </w:rPr>
        <w:t>Certain portions of the registrant’s Proxy Statement for the 2026 Annual Meeting of Shareholders (the “2026 Proxy Statement”) are incorporated by reference into Part III of this report.</w:t>
      </w:r>
    </w:p>
    <w:p>
      <w:pPr>
        <w:sectPr>
          <w:pgSz w:w="11900" w:h="16838" w:orient="portrait"/>
          <w:cols w:equalWidth="0" w:num="1">
            <w:col w:w="9019"/>
          </w:cols>
          <w:pgMar w:left="1440" w:top="598" w:right="1440" w:bottom="144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gridSpan w:val="11"/>
          </w:tcPr>
          <w:p>
            <w:pPr>
              <w:jc w:val="center"/>
              <w:ind w:right="2460"/>
              <w:spacing w:after="0"/>
              <w:rPr>
                <w:sz w:val="20"/>
                <w:szCs w:val="20"/>
                <w:color w:val="auto"/>
              </w:rPr>
            </w:pPr>
            <w:r>
              <w:rPr>
                <w:rFonts w:ascii="Arial" w:cs="Arial" w:eastAsia="Arial" w:hAnsi="Arial"/>
                <w:sz w:val="14"/>
                <w:szCs w:val="14"/>
                <w:b w:val="1"/>
                <w:bCs w:val="1"/>
                <w:color w:val="auto"/>
              </w:rPr>
              <w:t>FORM 10-K</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20" w:type="dxa"/>
            <w:vAlign w:val="bottom"/>
            <w:gridSpan w:val="13"/>
          </w:tcPr>
          <w:p>
            <w:pPr>
              <w:jc w:val="center"/>
              <w:ind w:right="2260"/>
              <w:spacing w:after="0"/>
              <w:rPr>
                <w:sz w:val="20"/>
                <w:szCs w:val="20"/>
                <w:color w:val="auto"/>
              </w:rPr>
            </w:pPr>
            <w:r>
              <w:rPr>
                <w:rFonts w:ascii="Arial" w:cs="Arial" w:eastAsia="Arial" w:hAnsi="Arial"/>
                <w:sz w:val="14"/>
                <w:szCs w:val="14"/>
                <w:b w:val="1"/>
                <w:bCs w:val="1"/>
                <w:color w:val="auto"/>
              </w:rPr>
              <w:t>DECEMBER 31, 2025</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13"/>
          </w:tcPr>
          <w:p>
            <w:pPr>
              <w:jc w:val="center"/>
              <w:ind w:right="2260"/>
              <w:spacing w:after="0"/>
              <w:rPr>
                <w:sz w:val="20"/>
                <w:szCs w:val="20"/>
                <w:color w:val="auto"/>
              </w:rPr>
            </w:pPr>
            <w:r>
              <w:rPr>
                <w:rFonts w:ascii="Arial" w:cs="Arial" w:eastAsia="Arial" w:hAnsi="Arial"/>
                <w:sz w:val="14"/>
                <w:szCs w:val="14"/>
                <w:b w:val="1"/>
                <w:bCs w:val="1"/>
                <w:color w:val="auto"/>
              </w:rPr>
              <w:t>TABLE OF CONTENTS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Cautionary Note Regarding Forward-Looking Statements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0" w:type="dxa"/>
            <w:vAlign w:val="bottom"/>
          </w:tcPr>
          <w:p>
            <w:pPr>
              <w:spacing w:after="0"/>
              <w:rPr>
                <w:sz w:val="20"/>
                <w:szCs w:val="20"/>
                <w:color w:val="auto"/>
              </w:rPr>
            </w:pPr>
            <w:r>
              <w:rPr>
                <w:rFonts w:ascii="Arial" w:cs="Arial" w:eastAsia="Arial" w:hAnsi="Arial"/>
                <w:sz w:val="13"/>
                <w:szCs w:val="13"/>
                <w:b w:val="1"/>
                <w:bCs w:val="1"/>
                <w:color w:val="0000FF"/>
                <w:w w:val="84"/>
              </w:rPr>
              <w:t>PART I</w:t>
            </w:r>
          </w:p>
        </w:tc>
        <w:tc>
          <w:tcPr>
            <w:tcW w:w="280" w:type="dxa"/>
            <w:vAlign w:val="bottom"/>
            <w:gridSpan w:val="2"/>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280" w:type="dxa"/>
            <w:vAlign w:val="bottom"/>
            <w:gridSpan w:val="2"/>
          </w:tcPr>
          <w:p>
            <w:pPr>
              <w:spacing w:after="0"/>
              <w:rPr>
                <w:sz w:val="23"/>
                <w:szCs w:val="23"/>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Business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86"/>
              </w:rPr>
              <w:t>Item 1A.</w:t>
            </w:r>
          </w:p>
        </w:tc>
        <w:tc>
          <w:tcPr>
            <w:tcW w:w="22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Risk Factors</w:t>
            </w:r>
          </w:p>
        </w:tc>
        <w:tc>
          <w:tcPr>
            <w:tcW w:w="5580" w:type="dxa"/>
            <w:vAlign w:val="bottom"/>
            <w:gridSpan w:val="2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6"/>
              </w:rPr>
              <w:t>Item 1B.</w:t>
            </w: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Unresolved Staff Comments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47</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0" w:type="dxa"/>
            <w:vAlign w:val="bottom"/>
            <w:gridSpan w:val="2"/>
          </w:tcPr>
          <w:p>
            <w:pPr>
              <w:spacing w:after="0" w:line="140" w:lineRule="exact"/>
              <w:rPr>
                <w:sz w:val="20"/>
                <w:szCs w:val="20"/>
                <w:color w:val="auto"/>
              </w:rPr>
            </w:pPr>
            <w:r>
              <w:rPr>
                <w:rFonts w:ascii="Arial" w:cs="Arial" w:eastAsia="Arial" w:hAnsi="Arial"/>
                <w:sz w:val="13"/>
                <w:szCs w:val="13"/>
                <w:color w:val="0000FF"/>
                <w:w w:val="85"/>
              </w:rPr>
              <w:t>Item 1C.</w:t>
            </w:r>
          </w:p>
        </w:tc>
        <w:tc>
          <w:tcPr>
            <w:tcW w:w="220" w:type="dxa"/>
            <w:vAlign w:val="bottom"/>
          </w:tcPr>
          <w:p>
            <w:pPr>
              <w:spacing w:after="0"/>
              <w:rPr>
                <w:sz w:val="12"/>
                <w:szCs w:val="12"/>
                <w:color w:val="auto"/>
              </w:rPr>
            </w:pPr>
          </w:p>
        </w:tc>
        <w:tc>
          <w:tcPr>
            <w:tcW w:w="6320" w:type="dxa"/>
            <w:vAlign w:val="bottom"/>
            <w:gridSpan w:val="25"/>
          </w:tcPr>
          <w:p>
            <w:pPr>
              <w:spacing w:after="0" w:line="140" w:lineRule="exact"/>
              <w:rPr>
                <w:sz w:val="20"/>
                <w:szCs w:val="20"/>
                <w:color w:val="auto"/>
              </w:rPr>
            </w:pPr>
            <w:r>
              <w:rPr>
                <w:rFonts w:ascii="Arial" w:cs="Arial" w:eastAsia="Arial" w:hAnsi="Arial"/>
                <w:sz w:val="13"/>
                <w:szCs w:val="13"/>
                <w:color w:val="0000FF"/>
              </w:rPr>
              <w:t>Cybersecurity</w:t>
            </w:r>
          </w:p>
        </w:tc>
        <w:tc>
          <w:tcPr>
            <w:tcW w:w="540" w:type="dxa"/>
            <w:vAlign w:val="bottom"/>
            <w:vMerge w:val="continue"/>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Arial" w:cs="Arial" w:eastAsia="Arial" w:hAnsi="Arial"/>
                <w:sz w:val="14"/>
                <w:szCs w:val="14"/>
                <w:color w:val="0000FF"/>
                <w:w w:val="76"/>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Borders>
              <w:top w:val="single" w:sz="8" w:color="0000FF"/>
            </w:tcBorders>
          </w:tcPr>
          <w:p>
            <w:pPr>
              <w:spacing w:after="0" w:line="129" w:lineRule="exact"/>
              <w:rPr>
                <w:sz w:val="20"/>
                <w:szCs w:val="20"/>
                <w:color w:val="auto"/>
              </w:rPr>
            </w:pPr>
            <w:r>
              <w:rPr>
                <w:rFonts w:ascii="Arial" w:cs="Arial" w:eastAsia="Arial" w:hAnsi="Arial"/>
                <w:sz w:val="13"/>
                <w:szCs w:val="13"/>
                <w:color w:val="0000FF"/>
                <w:w w:val="90"/>
              </w:rPr>
              <w:t>Item 2.</w:t>
            </w:r>
          </w:p>
        </w:tc>
        <w:tc>
          <w:tcPr>
            <w:tcW w:w="6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3"/>
                <w:szCs w:val="13"/>
                <w:color w:val="0000FF"/>
              </w:rPr>
              <w:t>Properties</w:t>
            </w:r>
          </w:p>
        </w:tc>
        <w:tc>
          <w:tcPr>
            <w:tcW w:w="5540" w:type="dxa"/>
            <w:vAlign w:val="bottom"/>
            <w:gridSpan w:val="21"/>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49</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line="129" w:lineRule="exact"/>
              <w:rPr>
                <w:sz w:val="20"/>
                <w:szCs w:val="20"/>
                <w:color w:val="auto"/>
              </w:rPr>
            </w:pPr>
            <w:r>
              <w:rPr>
                <w:rFonts w:ascii="Arial" w:cs="Arial" w:eastAsia="Arial" w:hAnsi="Arial"/>
                <w:sz w:val="13"/>
                <w:szCs w:val="13"/>
                <w:color w:val="0000FF"/>
                <w:w w:val="90"/>
              </w:rPr>
              <w:t>Item 3.</w:t>
            </w:r>
          </w:p>
        </w:tc>
        <w:tc>
          <w:tcPr>
            <w:tcW w:w="280" w:type="dxa"/>
            <w:vAlign w:val="bottom"/>
            <w:gridSpan w:val="2"/>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Legal Proceedings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49</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280" w:type="dxa"/>
            <w:vAlign w:val="bottom"/>
            <w:gridSpan w:val="2"/>
          </w:tcPr>
          <w:p>
            <w:pPr>
              <w:spacing w:after="0"/>
              <w:rPr>
                <w:sz w:val="11"/>
                <w:szCs w:val="11"/>
                <w:color w:val="auto"/>
              </w:rPr>
            </w:pPr>
          </w:p>
        </w:tc>
        <w:tc>
          <w:tcPr>
            <w:tcW w:w="138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4940" w:type="dxa"/>
            <w:vAlign w:val="bottom"/>
            <w:gridSpan w:val="18"/>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680" w:type="dxa"/>
            <w:vAlign w:val="bottom"/>
            <w:gridSpan w:val="3"/>
          </w:tcPr>
          <w:p>
            <w:pPr>
              <w:spacing w:after="0"/>
              <w:rPr>
                <w:sz w:val="20"/>
                <w:szCs w:val="20"/>
                <w:color w:val="auto"/>
              </w:rPr>
            </w:pPr>
            <w:r>
              <w:rPr>
                <w:rFonts w:ascii="Arial" w:cs="Arial" w:eastAsia="Arial" w:hAnsi="Arial"/>
                <w:sz w:val="13"/>
                <w:szCs w:val="13"/>
                <w:b w:val="1"/>
                <w:bCs w:val="1"/>
                <w:color w:val="0000FF"/>
              </w:rPr>
              <w:t>PART II</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0000FF"/>
              </w:rPr>
              <w:t>50</w:t>
            </w:r>
          </w:p>
        </w:tc>
        <w:tc>
          <w:tcPr>
            <w:tcW w:w="0" w:type="dxa"/>
            <w:vAlign w:val="bottom"/>
          </w:tcPr>
          <w:p>
            <w:pPr>
              <w:spacing w:after="0"/>
              <w:rPr>
                <w:sz w:val="1"/>
                <w:szCs w:val="1"/>
                <w:color w:val="auto"/>
              </w:rPr>
            </w:pPr>
          </w:p>
        </w:tc>
      </w:tr>
      <w:tr>
        <w:trPr>
          <w:trHeight w:val="268"/>
        </w:trPr>
        <w:tc>
          <w:tcPr>
            <w:tcW w:w="4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3"/>
                <w:szCs w:val="13"/>
                <w:color w:val="0000FF"/>
                <w:w w:val="90"/>
              </w:rPr>
              <w:t>Item 5.</w:t>
            </w:r>
          </w:p>
        </w:tc>
        <w:tc>
          <w:tcPr>
            <w:tcW w:w="60" w:type="dxa"/>
            <w:vAlign w:val="bottom"/>
            <w:tcBorders>
              <w:top w:val="single" w:sz="8" w:color="0000FF"/>
            </w:tcBorders>
          </w:tcPr>
          <w:p>
            <w:pPr>
              <w:spacing w:after="0"/>
              <w:rPr>
                <w:sz w:val="23"/>
                <w:szCs w:val="23"/>
                <w:color w:val="auto"/>
              </w:rPr>
            </w:pPr>
          </w:p>
        </w:tc>
        <w:tc>
          <w:tcPr>
            <w:tcW w:w="220" w:type="dxa"/>
            <w:vAlign w:val="bottom"/>
          </w:tcPr>
          <w:p>
            <w:pPr>
              <w:spacing w:after="0"/>
              <w:rPr>
                <w:sz w:val="23"/>
                <w:szCs w:val="23"/>
                <w:color w:val="auto"/>
              </w:rPr>
            </w:pPr>
          </w:p>
        </w:tc>
        <w:tc>
          <w:tcPr>
            <w:tcW w:w="6320" w:type="dxa"/>
            <w:vAlign w:val="bottom"/>
            <w:tcBorders>
              <w:bottom w:val="single" w:sz="8" w:color="0000FF"/>
            </w:tcBorders>
            <w:gridSpan w:val="25"/>
          </w:tcPr>
          <w:p>
            <w:pPr>
              <w:spacing w:after="0"/>
              <w:rPr>
                <w:sz w:val="20"/>
                <w:szCs w:val="20"/>
                <w:color w:val="auto"/>
              </w:rPr>
            </w:pPr>
            <w:r>
              <w:rPr>
                <w:rFonts w:ascii="Arial" w:cs="Arial" w:eastAsia="Arial" w:hAnsi="Arial"/>
                <w:sz w:val="13"/>
                <w:szCs w:val="13"/>
                <w:color w:val="0000FF"/>
                <w:w w:val="98"/>
              </w:rPr>
              <w:t>Market for Registrant’s Common Equity, Related Stockholder Matters and Issuer Purchases of Equity Securities</w:t>
            </w:r>
          </w:p>
        </w:tc>
        <w:tc>
          <w:tcPr>
            <w:tcW w:w="540" w:type="dxa"/>
            <w:vAlign w:val="bottom"/>
          </w:tcPr>
          <w:p>
            <w:pPr>
              <w:spacing w:after="0"/>
              <w:rPr>
                <w:sz w:val="23"/>
                <w:szCs w:val="2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280" w:type="dxa"/>
            <w:vAlign w:val="bottom"/>
            <w:gridSpan w:val="2"/>
          </w:tcPr>
          <w:p>
            <w:pPr>
              <w:spacing w:after="0"/>
              <w:rPr>
                <w:sz w:val="11"/>
                <w:szCs w:val="11"/>
                <w:color w:val="auto"/>
              </w:rPr>
            </w:pPr>
          </w:p>
        </w:tc>
        <w:tc>
          <w:tcPr>
            <w:tcW w:w="58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Reserved</w:t>
            </w:r>
          </w:p>
        </w:tc>
        <w:tc>
          <w:tcPr>
            <w:tcW w:w="5740" w:type="dxa"/>
            <w:vAlign w:val="bottom"/>
            <w:gridSpan w:val="2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7.</w:t>
            </w:r>
          </w:p>
        </w:tc>
        <w:tc>
          <w:tcPr>
            <w:tcW w:w="280" w:type="dxa"/>
            <w:vAlign w:val="bottom"/>
            <w:gridSpan w:val="2"/>
          </w:tcPr>
          <w:p>
            <w:pPr>
              <w:spacing w:after="0"/>
              <w:rPr>
                <w:sz w:val="11"/>
                <w:szCs w:val="11"/>
                <w:color w:val="auto"/>
              </w:rPr>
            </w:pPr>
          </w:p>
        </w:tc>
        <w:tc>
          <w:tcPr>
            <w:tcW w:w="5040" w:type="dxa"/>
            <w:vAlign w:val="bottom"/>
            <w:tcBorders>
              <w:bottom w:val="single" w:sz="8" w:color="0000FF"/>
            </w:tcBorders>
            <w:gridSpan w:val="22"/>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280" w:type="dxa"/>
            <w:vAlign w:val="bottom"/>
            <w:gridSpan w:val="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86"/>
              </w:rPr>
              <w:t>Item 7A.</w:t>
            </w:r>
          </w:p>
        </w:tc>
        <w:tc>
          <w:tcPr>
            <w:tcW w:w="220" w:type="dxa"/>
            <w:vAlign w:val="bottom"/>
          </w:tcPr>
          <w:p>
            <w:pPr>
              <w:spacing w:after="0"/>
              <w:rPr>
                <w:sz w:val="10"/>
                <w:szCs w:val="10"/>
                <w:color w:val="auto"/>
              </w:rPr>
            </w:pPr>
          </w:p>
        </w:tc>
        <w:tc>
          <w:tcPr>
            <w:tcW w:w="3360" w:type="dxa"/>
            <w:vAlign w:val="bottom"/>
            <w:tcBorders>
              <w:bottom w:val="single" w:sz="8" w:color="0000FF"/>
            </w:tcBorders>
            <w:gridSpan w:val="18"/>
          </w:tcPr>
          <w:p>
            <w:pPr>
              <w:spacing w:after="0" w:line="11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168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8.</w:t>
            </w:r>
          </w:p>
        </w:tc>
        <w:tc>
          <w:tcPr>
            <w:tcW w:w="280" w:type="dxa"/>
            <w:vAlign w:val="bottom"/>
            <w:gridSpan w:val="2"/>
          </w:tcPr>
          <w:p>
            <w:pPr>
              <w:spacing w:after="0"/>
              <w:rPr>
                <w:sz w:val="11"/>
                <w:szCs w:val="11"/>
                <w:color w:val="auto"/>
              </w:rPr>
            </w:pPr>
          </w:p>
        </w:tc>
        <w:tc>
          <w:tcPr>
            <w:tcW w:w="2660" w:type="dxa"/>
            <w:vAlign w:val="bottom"/>
            <w:tcBorders>
              <w:bottom w:val="single" w:sz="8" w:color="0000FF"/>
            </w:tcBorders>
            <w:gridSpan w:val="13"/>
          </w:tcPr>
          <w:p>
            <w:pPr>
              <w:spacing w:after="0" w:line="129" w:lineRule="exact"/>
              <w:rPr>
                <w:sz w:val="20"/>
                <w:szCs w:val="20"/>
                <w:color w:val="auto"/>
              </w:rPr>
            </w:pPr>
            <w:r>
              <w:rPr>
                <w:rFonts w:ascii="Arial" w:cs="Arial" w:eastAsia="Arial" w:hAnsi="Arial"/>
                <w:sz w:val="13"/>
                <w:szCs w:val="13"/>
                <w:color w:val="0000FF"/>
                <w:w w:val="98"/>
              </w:rPr>
              <w:t>Financial Statements and Supplementary Data</w:t>
            </w:r>
          </w:p>
        </w:tc>
        <w:tc>
          <w:tcPr>
            <w:tcW w:w="3660" w:type="dxa"/>
            <w:vAlign w:val="bottom"/>
            <w:gridSpan w:val="1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Balance Sheets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Operations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Comprehensive Income</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80</w:t>
            </w: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15"/>
          </w:tcPr>
          <w:p>
            <w:pPr>
              <w:spacing w:after="0" w:line="119" w:lineRule="exact"/>
              <w:rPr>
                <w:sz w:val="20"/>
                <w:szCs w:val="20"/>
                <w:color w:val="auto"/>
              </w:rPr>
            </w:pPr>
            <w:r>
              <w:rPr>
                <w:rFonts w:ascii="Arial" w:cs="Arial" w:eastAsia="Arial" w:hAnsi="Arial"/>
                <w:sz w:val="13"/>
                <w:szCs w:val="13"/>
                <w:color w:val="0000FF"/>
                <w:w w:val="94"/>
              </w:rPr>
              <w:t>Consolidated Statements of Changes in Stockholders’</w:t>
            </w:r>
          </w:p>
        </w:tc>
        <w:tc>
          <w:tcPr>
            <w:tcW w:w="500" w:type="dxa"/>
            <w:vAlign w:val="bottom"/>
            <w:tcBorders>
              <w:bottom w:val="single" w:sz="8" w:color="0000FF"/>
            </w:tcBorders>
            <w:gridSpan w:val="4"/>
          </w:tcPr>
          <w:p>
            <w:pPr>
              <w:jc w:val="center"/>
              <w:ind w:left="76"/>
              <w:spacing w:after="0" w:line="119" w:lineRule="exact"/>
              <w:rPr>
                <w:sz w:val="20"/>
                <w:szCs w:val="20"/>
                <w:color w:val="auto"/>
              </w:rPr>
            </w:pPr>
            <w:r>
              <w:rPr>
                <w:rFonts w:ascii="Arial" w:cs="Arial" w:eastAsia="Arial" w:hAnsi="Arial"/>
                <w:sz w:val="13"/>
                <w:szCs w:val="13"/>
                <w:color w:val="0000FF"/>
                <w:w w:val="99"/>
              </w:rPr>
              <w:t>Equity</w:t>
            </w:r>
          </w:p>
        </w:tc>
        <w:tc>
          <w:tcPr>
            <w:tcW w:w="2860" w:type="dxa"/>
            <w:vAlign w:val="bottom"/>
            <w:gridSpan w:val="6"/>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Cash Flows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82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9.</w:t>
            </w:r>
          </w:p>
        </w:tc>
        <w:tc>
          <w:tcPr>
            <w:tcW w:w="280" w:type="dxa"/>
            <w:vAlign w:val="bottom"/>
            <w:gridSpan w:val="2"/>
            <w:vMerge w:val="restart"/>
          </w:tcPr>
          <w:p>
            <w:pPr>
              <w:spacing w:after="0"/>
              <w:rPr>
                <w:sz w:val="11"/>
                <w:szCs w:val="11"/>
                <w:color w:val="auto"/>
              </w:rPr>
            </w:pPr>
          </w:p>
        </w:tc>
        <w:tc>
          <w:tcPr>
            <w:tcW w:w="2720" w:type="dxa"/>
            <w:vAlign w:val="bottom"/>
            <w:tcBorders>
              <w:bottom w:val="single" w:sz="8" w:color="0000FF"/>
            </w:tcBorders>
            <w:gridSpan w:val="14"/>
          </w:tcPr>
          <w:p>
            <w:pPr>
              <w:spacing w:after="0" w:line="129" w:lineRule="exact"/>
              <w:rPr>
                <w:sz w:val="20"/>
                <w:szCs w:val="20"/>
                <w:color w:val="auto"/>
              </w:rPr>
            </w:pPr>
            <w:r>
              <w:rPr>
                <w:rFonts w:ascii="Arial" w:cs="Arial" w:eastAsia="Arial" w:hAnsi="Arial"/>
                <w:sz w:val="13"/>
                <w:szCs w:val="13"/>
                <w:color w:val="0000FF"/>
                <w:w w:val="98"/>
              </w:rPr>
              <w:t>Notes to the Consolidated Financial Statements</w:t>
            </w:r>
          </w:p>
        </w:tc>
        <w:tc>
          <w:tcPr>
            <w:tcW w:w="3600" w:type="dxa"/>
            <w:vAlign w:val="bottom"/>
            <w:gridSpan w:val="11"/>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9A.</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Controls and Procedures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0" w:type="dxa"/>
            <w:vAlign w:val="bottom"/>
            <w:tcBorders>
              <w:top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86"/>
              </w:rPr>
              <w:t>Item 9B.</w:t>
            </w:r>
          </w:p>
        </w:tc>
        <w:tc>
          <w:tcPr>
            <w:tcW w:w="220" w:type="dxa"/>
            <w:vAlign w:val="bottom"/>
          </w:tcPr>
          <w:p>
            <w:pPr>
              <w:spacing w:after="0"/>
              <w:rPr>
                <w:sz w:val="10"/>
                <w:szCs w:val="10"/>
                <w:color w:val="auto"/>
              </w:rPr>
            </w:pPr>
          </w:p>
        </w:tc>
        <w:tc>
          <w:tcPr>
            <w:tcW w:w="1420" w:type="dxa"/>
            <w:vAlign w:val="bottom"/>
            <w:tcBorders>
              <w:top w:val="single" w:sz="8" w:color="0000FF"/>
            </w:tcBorders>
            <w:gridSpan w:val="8"/>
          </w:tcPr>
          <w:p>
            <w:pPr>
              <w:spacing w:after="0" w:line="119" w:lineRule="exact"/>
              <w:rPr>
                <w:sz w:val="20"/>
                <w:szCs w:val="20"/>
                <w:color w:val="auto"/>
              </w:rPr>
            </w:pPr>
            <w:r>
              <w:rPr>
                <w:rFonts w:ascii="Arial" w:cs="Arial" w:eastAsia="Arial" w:hAnsi="Arial"/>
                <w:sz w:val="13"/>
                <w:szCs w:val="13"/>
                <w:color w:val="0000FF"/>
              </w:rPr>
              <w:t>Other Information</w:t>
            </w:r>
          </w:p>
        </w:tc>
        <w:tc>
          <w:tcPr>
            <w:tcW w:w="820" w:type="dxa"/>
            <w:vAlign w:val="bottom"/>
            <w:gridSpan w:val="3"/>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4"/>
          </w:tcPr>
          <w:p>
            <w:pPr>
              <w:spacing w:after="0"/>
              <w:rPr>
                <w:sz w:val="10"/>
                <w:szCs w:val="10"/>
                <w:color w:val="auto"/>
              </w:rPr>
            </w:pPr>
          </w:p>
        </w:tc>
        <w:tc>
          <w:tcPr>
            <w:tcW w:w="700" w:type="dxa"/>
            <w:vAlign w:val="bottom"/>
            <w:gridSpan w:val="4"/>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124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5"/>
              </w:rPr>
              <w:t>Item 9C.</w:t>
            </w:r>
          </w:p>
        </w:tc>
        <w:tc>
          <w:tcPr>
            <w:tcW w:w="220" w:type="dxa"/>
            <w:vAlign w:val="bottom"/>
          </w:tcPr>
          <w:p>
            <w:pPr>
              <w:spacing w:after="0"/>
              <w:rPr>
                <w:sz w:val="11"/>
                <w:szCs w:val="11"/>
                <w:color w:val="auto"/>
              </w:rPr>
            </w:pPr>
          </w:p>
        </w:tc>
        <w:tc>
          <w:tcPr>
            <w:tcW w:w="3900" w:type="dxa"/>
            <w:vAlign w:val="bottom"/>
            <w:gridSpan w:val="20"/>
          </w:tcPr>
          <w:p>
            <w:pPr>
              <w:spacing w:after="0" w:line="129" w:lineRule="exact"/>
              <w:rPr>
                <w:sz w:val="20"/>
                <w:szCs w:val="20"/>
                <w:color w:val="auto"/>
              </w:rPr>
            </w:pPr>
            <w:r>
              <w:rPr>
                <w:rFonts w:ascii="Arial" w:cs="Arial" w:eastAsia="Arial" w:hAnsi="Arial"/>
                <w:sz w:val="13"/>
                <w:szCs w:val="13"/>
                <w:color w:val="0000FF"/>
                <w:w w:val="98"/>
              </w:rPr>
              <w:t>Disclosure Regarding Foreign Jurisdictions That Prevent Inspections</w:t>
            </w:r>
          </w:p>
        </w:tc>
        <w:tc>
          <w:tcPr>
            <w:tcW w:w="2420" w:type="dxa"/>
            <w:vAlign w:val="bottom"/>
            <w:gridSpan w:val="5"/>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4"/>
              </w:rPr>
              <w:t>PART III</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10.</w:t>
            </w:r>
          </w:p>
        </w:tc>
        <w:tc>
          <w:tcPr>
            <w:tcW w:w="220" w:type="dxa"/>
            <w:vAlign w:val="bottom"/>
          </w:tcPr>
          <w:p>
            <w:pPr>
              <w:spacing w:after="0"/>
              <w:rPr>
                <w:sz w:val="23"/>
                <w:szCs w:val="23"/>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Directors, Executive Officers and Corporate Governance</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9"/>
              </w:rPr>
              <w:t>Item 11.</w:t>
            </w:r>
          </w:p>
        </w:tc>
        <w:tc>
          <w:tcPr>
            <w:tcW w:w="220" w:type="dxa"/>
            <w:vAlign w:val="bottom"/>
          </w:tcPr>
          <w:p>
            <w:pPr>
              <w:spacing w:after="0"/>
              <w:rPr>
                <w:sz w:val="11"/>
                <w:szCs w:val="11"/>
                <w:color w:val="auto"/>
              </w:rPr>
            </w:pPr>
          </w:p>
        </w:tc>
        <w:tc>
          <w:tcPr>
            <w:tcW w:w="3200" w:type="dxa"/>
            <w:vAlign w:val="bottom"/>
            <w:gridSpan w:val="16"/>
          </w:tcPr>
          <w:p>
            <w:pPr>
              <w:spacing w:after="0" w:line="129" w:lineRule="exact"/>
              <w:rPr>
                <w:sz w:val="20"/>
                <w:szCs w:val="20"/>
                <w:color w:val="auto"/>
              </w:rPr>
            </w:pPr>
            <w:r>
              <w:rPr>
                <w:rFonts w:ascii="Arial" w:cs="Arial" w:eastAsia="Arial" w:hAnsi="Arial"/>
                <w:sz w:val="13"/>
                <w:szCs w:val="13"/>
                <w:color w:val="0000FF"/>
              </w:rPr>
              <w:t>Executive Compensation</w:t>
            </w:r>
          </w:p>
        </w:tc>
        <w:tc>
          <w:tcPr>
            <w:tcW w:w="3120" w:type="dxa"/>
            <w:vAlign w:val="bottom"/>
            <w:gridSpan w:val="9"/>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12.</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13.</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Certain Relationships and Related Transactions, and Director Independence</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14.</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Principal Accountant Fees and Services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1"/>
              </w:rPr>
              <w:t>PART IV</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15.</w:t>
            </w:r>
          </w:p>
        </w:tc>
        <w:tc>
          <w:tcPr>
            <w:tcW w:w="220" w:type="dxa"/>
            <w:vAlign w:val="bottom"/>
          </w:tcPr>
          <w:p>
            <w:pPr>
              <w:spacing w:after="0"/>
              <w:rPr>
                <w:sz w:val="24"/>
                <w:szCs w:val="24"/>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Exhibits and Financial Statement Schedules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16.</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Form 10-K Summary</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120" w:type="dxa"/>
            <w:vAlign w:val="bottom"/>
            <w:gridSpan w:val="19"/>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3"/>
                <w:szCs w:val="13"/>
                <w:color w:val="0000FF"/>
                <w:w w:val="93"/>
              </w:rPr>
              <w:t>Exhibit Index</w:t>
            </w:r>
          </w:p>
        </w:tc>
        <w:tc>
          <w:tcPr>
            <w:tcW w:w="460" w:type="dxa"/>
            <w:vAlign w:val="bottom"/>
            <w:gridSpan w:val="3"/>
          </w:tcPr>
          <w:p>
            <w:pPr>
              <w:spacing w:after="0"/>
              <w:rPr>
                <w:sz w:val="11"/>
                <w:szCs w:val="11"/>
                <w:color w:val="auto"/>
              </w:rPr>
            </w:pPr>
          </w:p>
        </w:tc>
        <w:tc>
          <w:tcPr>
            <w:tcW w:w="5120" w:type="dxa"/>
            <w:vAlign w:val="bottom"/>
            <w:gridSpan w:val="19"/>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7"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CAUTIONARY NOTE REGARDING FORWARD -LOOKING STATEMENTS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(“Exchange Act”). The words “may,” “will,” “anticipate,” “could,” “should,” “would,” “believe,” “contemplate,” “expect,” “aim,” “plan,” “estimate,” “continue,” and “intend,” the negative of these terms,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potential future additional balance sheet restructuring.</w:t>
      </w:r>
    </w:p>
    <w:p>
      <w:pPr>
        <w:spacing w:after="0" w:line="129"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99" w:lineRule="exact"/>
        <w:rPr>
          <w:sz w:val="20"/>
          <w:szCs w:val="20"/>
          <w:color w:val="auto"/>
        </w:rPr>
      </w:pPr>
    </w:p>
    <w:p>
      <w:pPr>
        <w:ind w:left="1180" w:hanging="261"/>
        <w:spacing w:after="0"/>
        <w:tabs>
          <w:tab w:leader="none" w:pos="1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procedures and processes;</w:t>
      </w:r>
    </w:p>
    <w:p>
      <w:pPr>
        <w:ind w:left="1180" w:right="71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71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adverse changes or conditions in the capital and financial markets, including actual or potential stresses in the banking industry;</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ind w:left="1180" w:right="639" w:hanging="261"/>
        <w:spacing w:after="0" w:line="243"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legislative or regulatory changes, including the enactment of the One Big Beautiful Bill Act, and changes in accounting principles, policies, practices or guidelines, including the on-going effects of the Current Expected Credit Losses (“CECL”) standard;</w:t>
      </w:r>
    </w:p>
    <w:p>
      <w:pPr>
        <w:spacing w:after="0" w:line="1" w:lineRule="exact"/>
        <w:rPr>
          <w:rFonts w:ascii="Arial" w:cs="Arial" w:eastAsia="Arial" w:hAnsi="Arial"/>
          <w:sz w:val="14"/>
          <w:szCs w:val="14"/>
          <w:color w:val="auto"/>
        </w:rPr>
      </w:pPr>
    </w:p>
    <w:p>
      <w:pPr>
        <w:jc w:val="both"/>
        <w:ind w:left="1180" w:right="679" w:hanging="261"/>
        <w:spacing w:after="0" w:line="243"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climate change;</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potential new or increased tariffs, retaliatory tariffs and trade restrictions;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spacing w:after="0" w:line="9" w:lineRule="exact"/>
        <w:rPr>
          <w:rFonts w:ascii="Arial" w:cs="Arial" w:eastAsia="Arial" w:hAnsi="Arial"/>
          <w:sz w:val="14"/>
          <w:szCs w:val="14"/>
          <w:color w:val="auto"/>
        </w:rPr>
      </w:pPr>
    </w:p>
    <w:p>
      <w:pPr>
        <w:ind w:left="1180" w:right="719" w:hanging="261"/>
        <w:spacing w:after="0" w:line="238"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net interest rate spread and net interest margin;</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loss of key employees;</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right="739" w:hanging="261"/>
        <w:spacing w:after="0" w:line="271"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described in this Annual Report on Form 10-K and other filings we make with the Securities and Exchange Commission (“SEC”).</w:t>
      </w:r>
    </w:p>
    <w:p>
      <w:pPr>
        <w:spacing w:after="0" w:line="113"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 -looking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USCB Financial Holdings, Inc. has filed or will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2025 10-K</w:t>
      </w:r>
    </w:p>
    <w:p>
      <w:pPr>
        <w:sectPr>
          <w:pgSz w:w="11900" w:h="16838" w:orient="portrait"/>
          <w:cols w:equalWidth="0" w:num="1">
            <w:col w:w="9019"/>
          </w:cols>
          <w:pgMar w:left="1440" w:top="723"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Business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USCB Financial Holdings, Inc., a Florida corporation (the “Company”), was formed on December 17, 2021, to serve as the holding company for U.S. Century Bank, a Florida state-chartered bank, and is a bank holding company (a “BHC”) registered with the Board of Governors of the Federal Reserve System (the “Federal Reserve”) under the Bank Holding Company Act of 1956, as amended (the “BHC Act”). The Company is headquartered in Miami, Florida, and, through the Bank, its sole direct subsidiary, operates 10 banking centers in South Florida providing a wide range of personal and business banking products and services. As of December 31, 2025, the Company had total consolidated assets of $2.8 billion.</w:t>
      </w:r>
    </w:p>
    <w:p>
      <w:pPr>
        <w:spacing w:after="0" w:line="138"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U.S. Century Bank (the “Bank”) commenced operations in October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34"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2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Prior to the Effective Date, the Bank’s Class A common stock was registered under Section 12(b) of the Exchange Act, and the Bank was subject to the information requirements of the Exchange Act and, in accordance with Section 12(i) thereof, filed quarterly reports, proxy statements and other information with the Federal Deposit Insurance Corporation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 The trading symbol for the Company’s Class A Common Stock is “USCB”, which is the same as the Bank’s former trading symbol.</w:t>
      </w:r>
    </w:p>
    <w:p>
      <w:pPr>
        <w:spacing w:after="0" w:line="141" w:lineRule="exact"/>
        <w:rPr>
          <w:sz w:val="20"/>
          <w:szCs w:val="20"/>
          <w:color w:val="auto"/>
        </w:rPr>
      </w:pPr>
    </w:p>
    <w:p>
      <w:pPr>
        <w:jc w:val="both"/>
        <w:ind w:left="660" w:right="719" w:firstLine="256"/>
        <w:spacing w:after="0" w:line="292" w:lineRule="auto"/>
        <w:rPr>
          <w:sz w:val="20"/>
          <w:szCs w:val="20"/>
          <w:color w:val="auto"/>
        </w:rPr>
      </w:pPr>
      <w:r>
        <w:rPr>
          <w:rFonts w:ascii="Arial" w:cs="Arial" w:eastAsia="Arial" w:hAnsi="Arial"/>
          <w:sz w:val="14"/>
          <w:szCs w:val="14"/>
          <w:color w:val="auto"/>
        </w:rPr>
        <w:t>Prior to the Reorganization, the Company had no material assets and had not conducted any business or operations except for activities related to its incorporation and the Reorganization.</w:t>
      </w:r>
    </w:p>
    <w:p>
      <w:pPr>
        <w:spacing w:after="0" w:line="9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Our strategy in becoming a publicly traded company and forming a BHC was to continue pursuing organic growth as well as strategic acquisitions if the opportunity arose, which efforts will be further facilitated by access to the public capital markets and the added flexibility provided by a holding company structure.</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this Annual Report on Form 10-K, unless the context indicated otherwise, references to “we,” “us,”, and “our” refer to the Company and the Bank, as the context dictates. However, if the discussion relates to a period before the Effective Date, the terms refer only to the Bank.</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Products and Services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Lending Services</w:t>
      </w:r>
    </w:p>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Our mission is to provide high value, relationship -based banking products, services and solutions to a diverse set of clients in the markets we serve. We focus on serving small-to-medium sized businesses (“SMBs”) and catering to the needs of local business owners, entrepreneurs and professionals in South Florida. We have further leveraged our success in</w:t>
      </w:r>
    </w:p>
    <w:p>
      <w:pPr>
        <w:spacing w:after="0" w:line="22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2025 10-K</w:t>
      </w:r>
    </w:p>
    <w:p>
      <w:pPr>
        <w:sectPr>
          <w:pgSz w:w="11900" w:h="16838" w:orient="portrait"/>
          <w:cols w:equalWidth="0" w:num="1">
            <w:col w:w="9019"/>
          </w:cols>
          <w:pgMar w:left="1440" w:top="477"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providing comprehensive banking solutions to SMBs to also secure the personal retail deposit relationships of the owners, operators, and employees of our commercial lending clients, which has been a cornerstone of our deposit growth strategy.</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addition to our traditional commercial banking services, we are among a select number of banks of our size within our market area that can offer certain specialty banking products, services and solutions designed for small businesses, homeowner associations, law firms, medical practices and other professional services firms, and global banking services. Our major specialty banking offerings include the following:</w:t>
      </w:r>
    </w:p>
    <w:p>
      <w:pPr>
        <w:spacing w:after="0" w:line="135" w:lineRule="exact"/>
        <w:rPr>
          <w:sz w:val="20"/>
          <w:szCs w:val="20"/>
          <w:color w:val="auto"/>
        </w:rPr>
      </w:pPr>
    </w:p>
    <w:p>
      <w:pPr>
        <w:jc w:val="both"/>
        <w:ind w:left="1440" w:right="679" w:hanging="265"/>
        <w:spacing w:after="0" w:line="244"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Small Business Administration (“SBA”) lending: </w:t>
      </w:r>
      <w:r>
        <w:rPr>
          <w:rFonts w:ascii="Arial" w:cs="Arial" w:eastAsia="Arial" w:hAnsi="Arial"/>
          <w:sz w:val="14"/>
          <w:szCs w:val="14"/>
          <w:color w:val="auto"/>
        </w:rPr>
        <w:t>Our SBA platform originates loans under Sections 7(a)</w:t>
      </w:r>
      <w:r>
        <w:rPr>
          <w:rFonts w:ascii="Arial" w:cs="Arial" w:eastAsia="Arial" w:hAnsi="Arial"/>
          <w:sz w:val="14"/>
          <w:szCs w:val="14"/>
          <w:b w:val="1"/>
          <w:bCs w:val="1"/>
          <w:color w:val="auto"/>
        </w:rPr>
        <w:t xml:space="preserve"> </w:t>
      </w:r>
      <w:r>
        <w:rPr>
          <w:rFonts w:ascii="Arial" w:cs="Arial" w:eastAsia="Arial" w:hAnsi="Arial"/>
          <w:sz w:val="14"/>
          <w:szCs w:val="14"/>
          <w:color w:val="auto"/>
        </w:rPr>
        <w:t>and 504 of the SBA program. The 7(a) loan program, SBA's most common loan program, includes financial help for small businesses with special requirements while the 504 loan program provides long-term, fixed-rate financing of up to $5.0 million for major fixed assets that promote business growth and job creation. Since its formation in 2018, the platform serves as an opportunity to generate commercial and industrial loans, or C&amp;I loans, and to diversify our revenue stream through originating and selling SBA 7(a) loans. As of December 31, 2025, the Bank continued to be a Preferred Lending Partner with the SBA which allows us to offer the full range of SBA loan products and to exercise lending authority at the local bank level, allowing us to make timely credit decisions for prospective clients.</w:t>
      </w:r>
    </w:p>
    <w:p>
      <w:pPr>
        <w:spacing w:after="0" w:line="2" w:lineRule="exact"/>
        <w:rPr>
          <w:rFonts w:ascii="Arial" w:cs="Arial" w:eastAsia="Arial" w:hAnsi="Arial"/>
          <w:sz w:val="14"/>
          <w:szCs w:val="14"/>
          <w:color w:val="auto"/>
        </w:rPr>
      </w:pPr>
    </w:p>
    <w:p>
      <w:pPr>
        <w:jc w:val="both"/>
        <w:ind w:left="1440" w:right="679" w:hanging="265"/>
        <w:spacing w:after="0" w:line="249"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Yacht lending: </w:t>
      </w:r>
      <w:r>
        <w:rPr>
          <w:rFonts w:ascii="Arial" w:cs="Arial" w:eastAsia="Arial" w:hAnsi="Arial"/>
          <w:sz w:val="14"/>
          <w:szCs w:val="14"/>
          <w:color w:val="auto"/>
        </w:rPr>
        <w:t>Our yacht lending vertical provides yacht financing for larger vessels; transactions range from</w:t>
      </w:r>
      <w:r>
        <w:rPr>
          <w:rFonts w:ascii="Arial" w:cs="Arial" w:eastAsia="Arial" w:hAnsi="Arial"/>
          <w:sz w:val="14"/>
          <w:szCs w:val="14"/>
          <w:b w:val="1"/>
          <w:bCs w:val="1"/>
          <w:color w:val="auto"/>
        </w:rPr>
        <w:t xml:space="preserve"> </w:t>
      </w:r>
      <w:r>
        <w:rPr>
          <w:rFonts w:ascii="Arial" w:cs="Arial" w:eastAsia="Arial" w:hAnsi="Arial"/>
          <w:sz w:val="14"/>
          <w:szCs w:val="14"/>
          <w:color w:val="auto"/>
        </w:rPr>
        <w:t>$750 thousand to $7.5 million. We target high net-worth clients in one of the most active yacht markets in the country.</w:t>
      </w:r>
    </w:p>
    <w:p>
      <w:pPr>
        <w:jc w:val="both"/>
        <w:ind w:left="1440" w:right="679" w:hanging="265"/>
        <w:spacing w:after="0" w:line="242"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Homeowner Association (“HOA”) services: </w:t>
      </w:r>
      <w:r>
        <w:rPr>
          <w:rFonts w:ascii="Arial" w:cs="Arial" w:eastAsia="Arial" w:hAnsi="Arial"/>
          <w:sz w:val="14"/>
          <w:szCs w:val="14"/>
          <w:color w:val="auto"/>
        </w:rPr>
        <w:t>We provide banking services to HOAs and property managers,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deposit collection, lockbox services, payment services, and lending products. Launched in 2016, we offer our HOA customers a unique combination of market knowledge of a local bank, and a highly personalized “white glove” approach to customer service.</w:t>
      </w:r>
    </w:p>
    <w:p>
      <w:pPr>
        <w:spacing w:after="0" w:line="1" w:lineRule="exact"/>
        <w:rPr>
          <w:rFonts w:ascii="Arial" w:cs="Arial" w:eastAsia="Arial" w:hAnsi="Arial"/>
          <w:sz w:val="14"/>
          <w:szCs w:val="14"/>
          <w:color w:val="auto"/>
        </w:rPr>
      </w:pPr>
    </w:p>
    <w:p>
      <w:pPr>
        <w:jc w:val="both"/>
        <w:ind w:left="1440" w:right="679" w:hanging="265"/>
        <w:spacing w:after="0" w:line="164" w:lineRule="exact"/>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Private Client Group services: </w:t>
      </w:r>
      <w:r>
        <w:rPr>
          <w:rFonts w:ascii="Arial" w:cs="Arial" w:eastAsia="Arial" w:hAnsi="Arial"/>
          <w:sz w:val="14"/>
          <w:szCs w:val="14"/>
          <w:color w:val="auto"/>
        </w:rPr>
        <w:t>The Private Client Group provides tailored banking solutions for</w:t>
      </w:r>
      <w:r>
        <w:rPr>
          <w:rFonts w:ascii="Arial" w:cs="Arial" w:eastAsia="Arial" w:hAnsi="Arial"/>
          <w:sz w:val="14"/>
          <w:szCs w:val="14"/>
          <w:b w:val="1"/>
          <w:bCs w:val="1"/>
          <w:color w:val="auto"/>
        </w:rPr>
        <w:t xml:space="preserve"> </w:t>
      </w:r>
      <w:r>
        <w:rPr>
          <w:rFonts w:ascii="Arial" w:cs="Arial" w:eastAsia="Arial" w:hAnsi="Arial"/>
          <w:sz w:val="14"/>
          <w:szCs w:val="14"/>
          <w:color w:val="auto"/>
        </w:rPr>
        <w:t>professionals—particularly those in law firms, including partners, associates, and staff—as well as physicians, dentists, veterinarians, and other high</w:t>
      </w:r>
      <w:r>
        <w:rPr>
          <w:rFonts w:ascii="MS PGothic" w:cs="MS PGothic" w:eastAsia="MS PGothic" w:hAnsi="MS PGothic"/>
          <w:sz w:val="14"/>
          <w:szCs w:val="14"/>
          <w:color w:val="auto"/>
        </w:rPr>
        <w:t>‑</w:t>
      </w:r>
      <w:r>
        <w:rPr>
          <w:rFonts w:ascii="Arial" w:cs="Arial" w:eastAsia="Arial" w:hAnsi="Arial"/>
          <w:sz w:val="14"/>
          <w:szCs w:val="14"/>
          <w:color w:val="auto"/>
        </w:rPr>
        <w:t>net</w:t>
      </w:r>
      <w:r>
        <w:rPr>
          <w:rFonts w:ascii="MS PGothic" w:cs="MS PGothic" w:eastAsia="MS PGothic" w:hAnsi="MS PGothic"/>
          <w:sz w:val="14"/>
          <w:szCs w:val="14"/>
          <w:color w:val="auto"/>
        </w:rPr>
        <w:t>‑</w:t>
      </w:r>
      <w:r>
        <w:rPr>
          <w:rFonts w:ascii="Arial" w:cs="Arial" w:eastAsia="Arial" w:hAnsi="Arial"/>
          <w:sz w:val="14"/>
          <w:szCs w:val="14"/>
          <w:color w:val="auto"/>
        </w:rPr>
        <w:t>worth individuals. By leveraging our deep relationships with law firm clients, we also generate opportunities to expand personal deposit account relationships across their organizations.</w:t>
      </w:r>
    </w:p>
    <w:p>
      <w:pPr>
        <w:spacing w:after="0" w:line="3" w:lineRule="exact"/>
        <w:rPr>
          <w:rFonts w:ascii="Arial" w:cs="Arial" w:eastAsia="Arial" w:hAnsi="Arial"/>
          <w:sz w:val="14"/>
          <w:szCs w:val="14"/>
          <w:color w:val="auto"/>
        </w:rPr>
      </w:pPr>
    </w:p>
    <w:p>
      <w:pPr>
        <w:jc w:val="both"/>
        <w:ind w:left="1440" w:right="679" w:hanging="265"/>
        <w:spacing w:after="0" w:line="270" w:lineRule="auto"/>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Correspondent Banking services: </w:t>
      </w:r>
      <w:r>
        <w:rPr>
          <w:rFonts w:ascii="Arial" w:cs="Arial" w:eastAsia="Arial" w:hAnsi="Arial"/>
          <w:sz w:val="13"/>
          <w:szCs w:val="13"/>
          <w:color w:val="auto"/>
        </w:rPr>
        <w:t>Our Global Banking vertical provides correspondent banking services for</w:t>
      </w:r>
      <w:r>
        <w:rPr>
          <w:rFonts w:ascii="Arial" w:cs="Arial" w:eastAsia="Arial" w:hAnsi="Arial"/>
          <w:sz w:val="13"/>
          <w:szCs w:val="13"/>
          <w:b w:val="1"/>
          <w:bCs w:val="1"/>
          <w:color w:val="auto"/>
        </w:rPr>
        <w:t xml:space="preserve"> </w:t>
      </w:r>
      <w:r>
        <w:rPr>
          <w:rFonts w:ascii="Arial" w:cs="Arial" w:eastAsia="Arial" w:hAnsi="Arial"/>
          <w:sz w:val="13"/>
          <w:szCs w:val="13"/>
          <w:color w:val="auto"/>
        </w:rPr>
        <w:t>banks headquartered in certain Latin America and Caribbean countries. We also cross-sell our correspondent banking relationships to generate international personal banking clients for our Bank. Our compliance team is experienced in issues related to correspondent banking, and we have frequent and regular open communication with our correspondent bank clients to ensure proper compliance controls are maintained at such institutions.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Credit Practices</w:t>
      </w:r>
    </w:p>
    <w:p>
      <w:pPr>
        <w:spacing w:after="0" w:line="16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Our underwriting process is informed by a conservative credit culture that encourages prudent lending. We believe our strong asset quality is due to our understanding of and experience with businesses within Florida, in particular South Florida, our long-standing relationships with clients and our disciplined underwriting processes. Our thorough underwriting processes collaboratively engage our seasoned business bankers, credit underwriters and portfolio managers in the analysis of each loan request.</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We manage our credit risk by analyzing metrics related to our different lines of business, which allows us to maintain a conservative and well-diversified loan portfolio reflective of our assessment of various industry sectors. Based upon our aggregate exposure to any given borrower relationship, we undertake a scaled review of loan originations that may involve our senior credit officers, our Chief Credit Officer, our Credit Committee or, ultimately, our Board of Directors (“Board”).</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 Products</w:t>
      </w:r>
    </w:p>
    <w:p>
      <w:pPr>
        <w:spacing w:after="0" w:line="16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Additionally, we offer insured cash sweep (“ICS”) and certificate of deposit account registry service (“CDARS”) deposit products that are FDIC-insured for our clients. Furthermore, we offer deposit products for municipalities and other public entities. Our deposit products are mainly offered across our primary geographic footprint.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Title Services</w:t>
      </w:r>
    </w:p>
    <w:p>
      <w:pPr>
        <w:spacing w:after="0" w:line="168"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Florida Peninsula Title LLC is a subsidiary of the Bank that offers our clients title insurance policies for real estate transactions closed at the Bank. Licensed in the State of Florida and approved by the Florida Department of Insurance</w:t>
      </w:r>
    </w:p>
    <w:p>
      <w:pPr>
        <w:spacing w:after="0" w:line="217"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2025 10-K</w:t>
      </w:r>
    </w:p>
    <w:p>
      <w:pPr>
        <w:sectPr>
          <w:pgSz w:w="11900" w:h="16838" w:orient="portrait"/>
          <w:cols w:equalWidth="0" w:num="1">
            <w:col w:w="9019"/>
          </w:cols>
          <w:pgMar w:left="1440" w:top="477" w:right="1440" w:bottom="1440" w:gutter="0" w:footer="0" w:header="0"/>
        </w:sectPr>
      </w:pPr>
    </w:p>
    <w:bookmarkStart w:id="5" w:name="page6"/>
    <w:bookmarkEnd w:id="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spacing w:after="0" w:line="276" w:lineRule="auto"/>
        <w:rPr>
          <w:sz w:val="20"/>
          <w:szCs w:val="20"/>
          <w:color w:val="auto"/>
        </w:rPr>
      </w:pPr>
      <w:r>
        <w:rPr>
          <w:rFonts w:ascii="Arial" w:cs="Arial" w:eastAsia="Arial" w:hAnsi="Arial"/>
          <w:sz w:val="14"/>
          <w:szCs w:val="14"/>
          <w:color w:val="auto"/>
        </w:rPr>
        <w:t>Regulation, Florida Peninsula Title LLC began operations in 2021. Our title service business not only provides diversification for non-interest income but also provides our clients with access to tile insurance services.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Seasonality</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We do not believe our business to be seasonal in nature.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Markets</w:t>
      </w:r>
    </w:p>
    <w:p>
      <w:pPr>
        <w:spacing w:after="0" w:line="170"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Our primary banking market is South Florida. South Florida has rapidly emerged as a top destination for financial institutions, driven by a combination of factors that foster economic growth and stability. The region offers a low-tax environment, a robust business infrastructure, and access to a diverse talent pool. With a thriving real estate market, strong international trade connections, and an increasing concentration of tech and finance sectors, South Florida provides a dynamic ecosystem for financial services. Additionally, the region's strategic location as a gateway to Latin America further enhances its appeal for corporations looking to strengthen global connectivity and investment opportunities. We believe Florida offers long-term attractive banking opportunities. Our largest concentration is in the Miami metropolitan statistical area; however, we are also focused on growth in other urban Florida markets in which we have a presence, such as Broward and Palm Beach counties.</w:t>
      </w:r>
    </w:p>
    <w:p>
      <w:pPr>
        <w:spacing w:after="0" w:line="141" w:lineRule="exact"/>
        <w:rPr>
          <w:sz w:val="20"/>
          <w:szCs w:val="20"/>
          <w:color w:val="auto"/>
        </w:rPr>
      </w:pPr>
    </w:p>
    <w:p>
      <w:pPr>
        <w:jc w:val="both"/>
        <w:ind w:left="660" w:right="679" w:firstLine="256"/>
        <w:spacing w:after="0" w:line="258" w:lineRule="auto"/>
        <w:rPr>
          <w:sz w:val="20"/>
          <w:szCs w:val="20"/>
          <w:color w:val="auto"/>
        </w:rPr>
      </w:pPr>
      <w:r>
        <w:rPr>
          <w:rFonts w:ascii="Arial" w:cs="Arial" w:eastAsia="Arial" w:hAnsi="Arial"/>
          <w:sz w:val="14"/>
          <w:szCs w:val="14"/>
          <w:color w:val="auto"/>
        </w:rPr>
        <w:t>According to the United States Census Bureau’s estimates, Florida had population of 23.8 million at the end of 2025, an increase of 2% when compared to the end of 2024, making it the 3rd most populated state in the country. The Miami Metro Area remains the most populous metro area in Florida with 6.7 million residents reflecting, a growth of 27.62% since 2020.</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Competition</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Our markets are highly competitive, and we compete with a wide range of lenders and other financial institutions within our markets, including local, regional, national, and international commercial banks and credit unions. We also compete with mortgage companies, brokerage firms, trust service providers, consumer finance companies, mutual funds, securities firms, insurance companies, third-party payment processors, financial technology companies, or Fintechs, and other financial intermediaries on various of our products and services. Some of our competitors are not subject to the regulatory restrictions and the level of regulatory supervision applicable to us. Many of our competitors are much larger financial institutions that have greater financial resources than we do and compete aggressively for market share. These competitors attempt to gain market share through their financial product mix, pricing strategies and larger banking center networks.</w:t>
      </w:r>
    </w:p>
    <w:p>
      <w:pPr>
        <w:spacing w:after="0" w:line="131"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and continuity of personnel and services.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Emerging Growth Company</w:t>
      </w:r>
    </w:p>
    <w:p>
      <w:pPr>
        <w:spacing w:after="0" w:line="159"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We are an “emerging growth company,” or “EGC”, as defined in the Jumpstart Our Business Startups Act of 2012 (the “JOBS Act”). As such, we are eligible to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2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In addition, Section 107 of the JOBS Act also provides that an EGC can take advantage of the extended transition period provided in Section 7(a)(2)(B) of the Securities Act of 1933, as amended (the “Securities Act”), for complying with new or revised accounting standards. In other words, an EGC can delay the adoption of certain accounting standards until those standards would otherwise apply to private companies. We intend to take advantage of the benefits of this extended transition period, for as long as it is available.</w:t>
      </w:r>
    </w:p>
    <w:p>
      <w:pPr>
        <w:spacing w:after="0" w:line="126"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We will remain an EGC until the earliest to occur of (i) the end of the fiscal year following the fifth anniversary of the completion of the Bank’s initial public offering in 2021, (ii) the last day of the first fiscal year in which the Company's annual gross revenues exceed $1.235 billion, (iii) the date that the Company becomes a “large accelerated filer” as defined in Rule 12b-2 under the Exchange Act which would occur if the market value of the Company's common stock that is held by non-affiliates exceeds $700 million as of the last business day of the Company’s most recently completed second fiscal quarter</w:t>
      </w:r>
    </w:p>
    <w:p>
      <w:pPr>
        <w:spacing w:after="0" w:line="393"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2025 10-K</w:t>
      </w:r>
    </w:p>
    <w:p>
      <w:pPr>
        <w:sectPr>
          <w:pgSz w:w="11900" w:h="16838" w:orient="portrait"/>
          <w:cols w:equalWidth="0" w:num="1">
            <w:col w:w="9019"/>
          </w:cols>
          <w:pgMar w:left="1440" w:top="477" w:right="1440"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(June 30th for the Company), or (iv) the date on which the Company has issued more than $1 billion in non-convertible debt during the preceding three-year period. As a consequence, we will cease to be an EGC as of December 31, 2026.</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Human Capital Resources</w:t>
      </w:r>
    </w:p>
    <w:p>
      <w:pPr>
        <w:spacing w:after="0" w:line="15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respect the values and diversity exhibited throughout our organization and the community. Diversity is an integral part of our organization’s culture. We seek the active engagement and participation of people with diverse backgrounds. We continue taking steps to create programs to ensure that we are organized in a way where the unique contributions of each individual in our Company is recognized and supported. Each team member is to be treated fairly with equal access to opportunities and resources for success. Additionally, we run homebuyer educational and financial literacy workshops in an effort to reach the financing needs of the sectors of our communities in which these workshops are most needed.</w:t>
      </w:r>
    </w:p>
    <w:p>
      <w:pPr>
        <w:spacing w:after="0" w:line="13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Our human capital objectives include attracting, developing and retaining the best available talent from a diverse pool of candidates for the Company. To do so, we strive to maintain competitive pay and benefits, regularly updating our compensation structure and periodically reviewing our compensation and benefits programs. Additionally, the Company identifies opportunities and paths for the development of our staff, and we seek to, whenever possible, fill positions by promotion within. The Company recognizes that the skills and knowledge of its employees are critical to the success of the organization, and promotes training and continuing education as an ongoing function for employees.</w:t>
      </w:r>
    </w:p>
    <w:p>
      <w:pPr>
        <w:spacing w:after="0" w:line="139"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We recognize the importance of our employee's financial health and well-being, and offer benefits such as a 401(k) retirement savings plan and make both matching and profit-sharing contributions to that plan. Benefit programs available to eligible employees include, in addition to the 401(k) retirement savings plan, health and life insurance, employee paid holidays and other benefits.</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We value and promote diversity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religion, sex, gender, sexual orientation, ancestry, pregnancy, medical condition, age, marital status, national origin, citizenship status, disability veteran status, gender identity, genetic information, or any other status protected by law.</w:t>
      </w:r>
    </w:p>
    <w:p>
      <w:pPr>
        <w:spacing w:after="0" w:line="14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At December 31, 2025, we had 205 full-time equivalent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class status, but with an appreciation for a diversity of perspectives and experiences. We have designed a compensation structure including an array of benefit plans and programs that we believe is attractive to our current and prospective employees.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and Supervision</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Bank holding companies, banks, and their affiliates are extensively regulated under federal and state law and regulation. These laws and regulations have a material effect on the operations of the Company and its direct and indirect subsidiaries, including the Bank.</w:t>
      </w:r>
    </w:p>
    <w:p>
      <w:pPr>
        <w:spacing w:after="0" w:line="134"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Statutes, regulations and regulatory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insurance funds and the banking system as a whole, and not for the protection of our shareholders or creditors. In many cases, the applicable regulatory authorities have broad enforcement power over bank holding companies, banks and their subsidiaries, including the power to impose substantial fines and other penalties for violations of laws and regulations.</w:t>
      </w:r>
    </w:p>
    <w:p>
      <w:pPr>
        <w:spacing w:after="0" w:line="12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Further, the regulatory system imposes reporting and information collection obligations. Banking statutes and regulations are subject to change, and additional statutes, regulations, and corresponding guidance may be adopted. We are unable to predict these future changes or the effects, if any, that these changes could have on the business, prospects, revenues, and results of operations of the Bank and Company.</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material statutory and regulatory requirements that are applicable to us are summarized below. The description below is not intended to summarize all laws and regulations applicable to us. These summary descriptions are not intended to be a complete explanation of such laws and regulations and their effects on the Company and the Bank and are qualified in their entirety by reference to the actual laws and regulations. You should refer to the full text of the statutes, regulations, and corresponding guidance for more information.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2025 10-K</w:t>
      </w:r>
    </w:p>
    <w:p>
      <w:pPr>
        <w:sectPr>
          <w:pgSz w:w="11900" w:h="16838" w:orient="portrait"/>
          <w:cols w:equalWidth="0" w:num="1">
            <w:col w:w="9019"/>
          </w:cols>
          <w:pgMar w:left="1440" w:top="477"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2018 Regulatory Reform</w:t>
      </w:r>
    </w:p>
    <w:p>
      <w:pPr>
        <w:spacing w:after="0" w:line="16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May 2018 the Economic Growth, Regulatory Relief and Consumer Protection Act (the “2018 Act”), was enacted to modify or remove certain financial reform rules and regulations, including some of those implemented under the Dodd-Frank Wall Street Reform and Consumer Protection Act (“Dodd-Frank Act”) enacted in 2010. While the 2018 Act maintains most of the regulatory structure established by the Dodd-Frank Act, it amends certain aspects of the regulatory framework for small depository institutions with assets of less than $10.0 billion and for large banks with assets of more than $50.0 billion. Many of these changes resulted in meaningful regulatory relief for community banks such as the Bank.</w:t>
      </w:r>
    </w:p>
    <w:p>
      <w:pPr>
        <w:spacing w:after="0" w:line="139"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2018 Act, among other matters, expanded the definition of “qualified mortgages” which may be held by a financial institution and simplified the regulatory capital rules for financial institutions and their holding companies with total consolidated assets of less than $10.0 billion by instructing (as described below) the federal banking regulators to establish a single “Community Bank Leverage Ratio” discussed below. The 2018 Act also expanded the category of holding companies that may rely on the “Small Bank Holding Company and Savings and Loan Holding Company Policy Statement” (the “SBHC Policy”) by raising the maximum amount of assets a qualifying holding company may have from $1.0 billion to $3.0 billion. This expansion also excluded such holding companies from the minimum capital requirements of the Dodd-Frank Act. In addition, the 2018 Act included regulatory relief for community banks regarding regulatory examination cycles, call reports, the Volcker Rule (proprietary trading prohibitions), mortgage disclosures and risk weights for certain high-risk commercial real estate loans.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Bank and Bank Holding Company Regulation</w:t>
      </w:r>
    </w:p>
    <w:p>
      <w:pPr>
        <w:spacing w:after="0" w:line="15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As a Florida-chartered commercial bank, the Bank is subject to ongoing and comprehensive supervision, regulation, examination, and enforcement by the FDIC and the Florida Office of Financial Regulation (“FOFR”). The FOFR supervises and regulates all areas of our operations including, without limitation, the making of loans, the issuance of securities, the conduct of our corporate affairs, the satisfaction of capital adequacy requirements, the payment of dividends, and the establishment or closing of banking centers. In addition, our deposit accounts are insured by the Deposit Insurance Fund (the “DIF”) administered by the FDIC to the maximum extent permitted by law, and the FDIC has certain supervisory and enforcement powers over us.</w:t>
      </w:r>
    </w:p>
    <w:p>
      <w:pPr>
        <w:spacing w:after="0" w:line="13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Any entity that directly or indirectly controls a bank must be approved by the Federal Reserve under the Bank Holding Company Act of 1956 (the “BHC Act”) to become a bank holding company. Bank holding companies are subject to regulation, inspection, examination, supervision and enforcement by the Federal Reserve under the BHC Act. The Federal Reserve's jurisdiction also extends to any company that is directly or indirectly controlled by a bank holding company.</w:t>
      </w:r>
    </w:p>
    <w:p>
      <w:pPr>
        <w:spacing w:after="0" w:line="124" w:lineRule="exact"/>
        <w:rPr>
          <w:sz w:val="20"/>
          <w:szCs w:val="20"/>
          <w:color w:val="auto"/>
        </w:rPr>
      </w:pPr>
    </w:p>
    <w:p>
      <w:pPr>
        <w:ind w:left="660" w:right="739" w:firstLine="256"/>
        <w:spacing w:after="0" w:line="292" w:lineRule="auto"/>
        <w:rPr>
          <w:sz w:val="20"/>
          <w:szCs w:val="20"/>
          <w:color w:val="auto"/>
        </w:rPr>
      </w:pPr>
      <w:r>
        <w:rPr>
          <w:rFonts w:ascii="Arial" w:cs="Arial" w:eastAsia="Arial" w:hAnsi="Arial"/>
          <w:sz w:val="14"/>
          <w:szCs w:val="14"/>
          <w:color w:val="auto"/>
        </w:rPr>
        <w:t>The Company, which controls the Bank, is a bank holding company and, as such, is subject to ongoing and comprehensive supervision, regulation, examination and enforcement by the Federal Reserve.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Notice and Approval Requirements Related to Control</w:t>
      </w:r>
    </w:p>
    <w:p>
      <w:pPr>
        <w:spacing w:after="0" w:line="157"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Banking laws impose notice, approval, and ongoing regulatory requirements on any person or entity that seeks to acquire direct or indirect “control” of an FDIC-insured depository institution. These laws include the BHC Act and the Change in Bank Control Act. Among other things, these laws require regulatory filings by individuals or entities that seek to acquire direct or indirect "control" of an FDIC-insured depository institution. The determination of whether an investor "controls" a depository institution is based on all of the facts and circumstances surrounding the investment. As a general matter, a party is deemed to conclusively control a depository institution or other company if the party owns or controls 25% or more of any class of voting stock or owns one-third or more of the equity of the depository institution or its holding company. Subject to rebuttal, a party may be presumed to control a depository institution or other company if the investor owns or controls 10% or more of any class of voting stock (and the entity’s securities are registered under the Exchange Act or, if not, the investor would be the largest shareholder). Except under limited circumstances, bank holding companies are prohibited from acquiring, without prior approval, control of any other bank or bank holding company or substantially all the assets thereof or more than 5% of the voting shares of a bank or bank holding company which is not already a subsidiary of such bank holding company.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Source of Strength</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All companies, including bank holding companies, that directly or indirectly control an insured depository institution, are required to serve as a source of strength for the institution. Furthermore, the Federal Reserve policy is that a bank holding company should stand ready to use available resources to provide adequate capital to its subsidiary banks during periods of financial stress or adversity and should maintain the financial flexibility and capital-raising capacity to obtain additional resources for assisting its subsidiary banks. Under this requirement, the Company in the future could be required to provide</w:t>
      </w:r>
    </w:p>
    <w:p>
      <w:pPr>
        <w:spacing w:after="0" w:line="236"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2025 10-K</w:t>
      </w:r>
    </w:p>
    <w:p>
      <w:pPr>
        <w:sectPr>
          <w:pgSz w:w="11900" w:h="16838" w:orient="portrait"/>
          <w:cols w:equalWidth="0" w:num="1">
            <w:col w:w="9019"/>
          </w:cols>
          <w:pgMar w:left="1440" w:top="477"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1" w:lineRule="auto"/>
        <w:rPr>
          <w:sz w:val="20"/>
          <w:szCs w:val="20"/>
          <w:color w:val="auto"/>
        </w:rPr>
      </w:pPr>
      <w:r>
        <w:rPr>
          <w:rFonts w:ascii="Arial" w:cs="Arial" w:eastAsia="Arial" w:hAnsi="Arial"/>
          <w:sz w:val="14"/>
          <w:szCs w:val="14"/>
          <w:color w:val="auto"/>
        </w:rPr>
        <w:t>financial assistance to the Bank should it experience financial distress. Such support may be required at times when, absent this statutory and Federal Reserve policy requirement, a bank holding company may not be inclined or able to provide it. A bank holding company’s failure to meet its obligations to serve as a source of strength to its subsidiary banks will generally be considered by the Federal Reserve to be an unsafe and unsound banking practice or a violation of the Federal Reserve’s regulations, or both.</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Safety and Soundness Regulation</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an insured depository institution, we are subject to prudential regulation and supervision and must undergo regular on-site examinations by our state and federal banking agencies. The cost of examinations of insured depository institutions and any affiliates are assessed by the appropriate agency against each institution or affiliate that is subject to examination as it deems necessary or appropriate. We file quarterly consolidated reports of condition and income, or call reports, with the FDIC and the FOFR.</w:t>
      </w:r>
    </w:p>
    <w:p>
      <w:pPr>
        <w:spacing w:after="0" w:line="14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federal banking agencies have also adopted guidelines establishing safety and soundness standards for all insured depository institutions including the Bank. The safety and soundness guidelines relate to, among other things, our internal controls, information systems, cybersecurity, internal audit systems, loan underwriting and documentation, anti-money laundering policies and procedures, transactions with insiders, risk management, compensation, asset growth, and interest rate exposure. These standards assist the federal banking agencies with early identification and resolution of problems at insured depository institutions. If we were to fail to meet or otherwise comply with any of these standards, the FDIC could require us to submit a plan for achieving and maintaining compliance. If a financial institution fails to submit an acceptable compliance plan, or fails in any material respect to implement a compliance plan that has been accepted by the FDIC, the FDIC is required to issue an order directing the institution to cure the deficiency. Until the deficiency cited in the order is cured, the FDIC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including cease and desist orders and civil money penalty assessments. In addition, the FDIC could terminate our deposit insurance if it determines that our financial condition was unsafe or unsound or that we engaged in unsafe or unsound practices that violated applicable rules, regulations, orders or conditions enacted or imposed on us by our regulators.</w:t>
      </w:r>
    </w:p>
    <w:p>
      <w:pPr>
        <w:spacing w:after="0" w:line="144"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interest rate, cybersecurity,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use of outside vendors and cybersecurity are critical sources of operational risk that financial institutions are expected to address in the current environment. We have active Board and senior management oversight policies, procedures and risk limits; adequate risk measurement and monitoring and adequate management information systems; and comprehensive internal controls to address these various risks.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Permissible Activities and Investments</w:t>
      </w:r>
    </w:p>
    <w:p>
      <w:pPr>
        <w:spacing w:after="0" w:line="157"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Banking laws generally restrict the ability of the Company to engage in activities other than those determined by the Federal Reserve to be so closely related to banking as to be a proper incident thereto. The Federal Reserve has determined by regulation that certain activities are closely related to banking including operating a mortgage company, finance company, credit card company, factoring company, trust company or savings association; performing certain data processing operations; providing limited securities brokerage services; acting as an investment or financial advisor; acting as an insurance agent for certain types of credit-related insurance; leasing personal property on a full-payout, non-operating basis; providing tax planning and preparation services; operating a collection agency; and providing certain courier services. In addition, the Gramm-Leach-Bliley Act (the “GLB Act”) expanded the scope of permissible activities for a bank holding company that qualifies as a financial holding company. Under the regulations implementing the GLB Act, a financial holding company may engage in additional activities that are financial in nature or incidental or complementary to a financial activity such as securities underwriting, insurance underwriting and merchant banking. The Company is not a financial holding company.</w:t>
      </w:r>
    </w:p>
    <w:p>
      <w:pPr>
        <w:spacing w:after="0" w:line="146" w:lineRule="exact"/>
        <w:rPr>
          <w:sz w:val="20"/>
          <w:szCs w:val="20"/>
          <w:color w:val="auto"/>
        </w:rPr>
      </w:pPr>
    </w:p>
    <w:p>
      <w:pPr>
        <w:ind w:left="660" w:right="679" w:firstLine="256"/>
        <w:spacing w:after="0" w:line="315" w:lineRule="auto"/>
        <w:rPr>
          <w:sz w:val="20"/>
          <w:szCs w:val="20"/>
          <w:color w:val="auto"/>
        </w:rPr>
      </w:pPr>
      <w:r>
        <w:rPr>
          <w:rFonts w:ascii="Arial" w:cs="Arial" w:eastAsia="Arial" w:hAnsi="Arial"/>
          <w:sz w:val="13"/>
          <w:szCs w:val="13"/>
          <w:color w:val="auto"/>
        </w:rPr>
        <w:t>In addition, as a general matter, the establishment or acquisition by the Company of a non-bank entity, or the initiation of a non-banking activity, requires prior regulatory approval. In approving acquisitions or the addition of activities, the Federal</w:t>
      </w:r>
    </w:p>
    <w:p>
      <w:pPr>
        <w:spacing w:after="0" w:line="19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2025 10-K</w:t>
      </w:r>
    </w:p>
    <w:p>
      <w:pPr>
        <w:sectPr>
          <w:pgSz w:w="11900" w:h="16838" w:orient="portrait"/>
          <w:cols w:equalWidth="0" w:num="1">
            <w:col w:w="9019"/>
          </w:cols>
          <w:pgMar w:left="1440" w:top="477"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Reserve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6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federal banking regulators have adopted risk-based capital adequacy guidelines for bank holding companies and their subsidiary banks and banks without bank holding companies based on the Basel III standards. Under these guidelines, assets and off-balance sheet items are assigned to specific risk categories, each with designated risk weightings. The risk-based capital guidelines are designed to make regulatory capital requirements more sensitive to differences in risk profiles among banks and bank holding companies, to account for off-balance sheet exposure, to minimize disincentives for holding liquid assets, and to achieve greater consistency in evaluating the capital adequacy of major banks throughout the world. The resulting capital ratio requirements represent capital as a percentage of total risk-weighted assets and off-balance sheet items. Final rules implementing the capital adequacy guidelines became effective, with various phase-in periods, on January 1, 2015 for community banks such as us. All of the rules were fully phased in as of January 1, 2019. These final rules represent a significant change to the prior general risk-based capital rules and are designed to substantially conform to the Basel III international standards.</w:t>
      </w:r>
    </w:p>
    <w:p>
      <w:pPr>
        <w:spacing w:after="0" w:line="141"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In computing total risk-weighted assets, bank and bank holding company assets are given risk-weights of 0%, 20%, 50%, 100% and 150%. In addition, certain off-balance sheet items are given similar credit conversion factors to convert them to asset equivalent amounts to which an appropriate risk-weight will apply. Most loans will be assigned to the 100% risk category, except for performing first mortgage loans fully secured by 1-to-4 family or certain multi-family residential properties, which carry a 50% risk rating, and certain past due loans which are assigned a 150% risk rating. Most investment securities (including, primarily, general obligation claims on states or other political subdivisions of the United States) will be assigned to the 20% category, except for municipal or state revenue bonds, which have a 50% risk-weight, and direct obligations of the U.S. Treasury or obligations backed by the full faith and credit of the U.S. government, which have a 0% risk-weight. In covering off -balance sheet items, direct credit substitutes, including general guarantees and standby letters of credit backing financial obligations, are given a 100% conversion factor. Transaction-related contingencies such as bid bonds, standby letters of credit backing nonfinancial obligations, and undrawn commitments (including commercial credit lines with an initial maturity of more than one year) have a 50% conversion factor. Short-term commercial letters of credit are converted at 20% and certain short-term unconditionally cancelable commitments have a 0% factor.</w:t>
      </w:r>
    </w:p>
    <w:p>
      <w:pPr>
        <w:spacing w:after="0" w:line="132"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Under the final rules, minimum requirements increased for both the quality and quantity of capital held by banking organizations. In this respect, the final rules implement strict eligibility criteria for regulatory capital instruments and improve the methodology for calculating risk-weighted assets to enhance risk sensitivity. Consistent with the international Basel III framework, the rules include a new minimum ratio of Common Equity Tier 1 Capital to Risk-Weighted Assets of 4.5%. The rules also create a Common Equity Tier 1 Capital conservation buffer of 2.5% of risk-weighted assets. This buffer is added to each of the three risk-based capital ratios to determine whether an institution has established the buffer. The rules raise the minimum ratio of Tier 1 Capital to Risk-Weighted Assets from 4% to 6% and include a minimum leverage ratio of 4% for all banking organizations. If a financial institution’s capital conservation buffer falls below 2.5% — e.g., if the institution’s Common Equity Tier 1 Capital to Risk -Weighted Assets is less than 7.0% — then capital distributions and discretionary bonus payments will be limited or prohibited based on the size of the institution’s conservation buffer. The types of payments subject to this limitation include dividends, share buybacks, discretionary payments on Tier 1 instruments, and discretionary bonus payments.</w:t>
      </w:r>
    </w:p>
    <w:p>
      <w:pPr>
        <w:spacing w:after="0" w:line="135"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Common Equity Tier 1 capital is generally defined as common stockholders’ equity and retained earnings. Tier 1 capital is generally defined as Common Equity Tier 1 and additional Tier 1 capital. Additional Tier 1 capital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loan and lease losses limited to a maximum of 1.25% of risk-weighted assets. Calculation of all types of regulatory capital is subject to deductions and adjustments specified in the regulations. In assessing an institution’s capital adequacy, the FDIC takes into consideration not only these numeric factors, but qualitative factors as well, and has the authority to establish higher capital requirements for individual institutions where deemed necessary.</w:t>
      </w:r>
    </w:p>
    <w:p>
      <w:pPr>
        <w:spacing w:after="0" w:line="133"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capital regulations may also impact the treatment of accumulated other comprehensive income (“AOCI”) for regulatory capital purposes. Under the rules, AOCI generally flows through to regulatory capital; however, community banks and their holding companies (if any) were allowed to make a one-time irrevocable opt-out election to continue to treat AOCI</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the same as under the old regulations for regulatory capital purposes. This election was required to be made on the first call report filed after January 1, 2015. We made the opt-out election. Additionally, the rules also permit community banks with less than $15.0 billion in total assets to continue to count certain non-qualifying capital instruments issued prior to May 19, 2010 as Tier 1 capital, including trust preferred securities and cumulative perpetual preferred stock (subject to a limit of 25% of Tier 1 capital). However, non-qualifying capital instruments issued on or after May 19, 2010 do not qualify for Tier 1 capital treatment. At December 31, 2025, we had no such investments.</w:t>
      </w:r>
    </w:p>
    <w:p>
      <w:pPr>
        <w:spacing w:after="0" w:line="13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May 2016, amendments to the Federal Reserve’s SBHC Policy became effective which increased the asset threshold to qualify to utilize the provisions of the SBHC Policy from $500.0 million to $1.0 billion. Subsequently, as part of the 2018 Act, the threshold was increased to $3.0 billion. Bank holding companies which are subject to the SBHC Policy are not subject to compliance with the regulatory capital requirements described above until they exceed $3.0 billion in assets. As a consequence, as of December 31, 2025, the Company was not required to comply with the requirements set forth above and will not be subject to such requirements until such time that its consolidated total assets exceed $3.0 billion or the Federal Reserve determines that the Company is no longer deemed to be a small bank holding company. However, if the Company had been subject to the requirements, it would have been in compliance with such requirements.</w:t>
      </w:r>
    </w:p>
    <w:p>
      <w:pPr>
        <w:spacing w:after="0" w:line="131"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September 2019, the federal banking agencies jointly finalized a rule intended to simplify the regulatory capital requirements described above for qualifying community banking organizations that opt into the Community Bank Leverage Ratio, or CBLR, framework, as required by Section 201 of the Regulatory Relief Act.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below in this Form 10-K and will not be required to report or calculate risk-based capital. In order to qualify for the CBLR framework, a community banking organization must have a tier 1 leverage ratio of greater than 9%, less than $10.0 billion in total consolidated assets, off -balance sheet exposures of 25% or less of total consolidated assets, and trading assets and liabilities of 5% or less of total consolidated assets. In November 2025, the federal banking agencies, including the FDIC, proposed a lower CBLR requirement of 8%. Community banks that fail to meet the qualifying criteria after opting into the CBLR framework would have four reporting periods to meet the qualifying criteria again, provided they maintain a leverage ratio above 7% and have not used the grace period for more than eight of the prior 20 quarters. The federal banking agencies also proposed removing the provisions under the CBLR framework that provided temporary relief for qualifying community banks during the COVID-19 outbreak. Although the Bank is a qualifying community banking organization, the Bank has elected not to opt in to the CBLR framework at this time and will continue to follow the Basel III capital requirements as described above.</w:t>
      </w:r>
    </w:p>
    <w:p>
      <w:pPr>
        <w:spacing w:after="0" w:line="13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As of December 31, 2025 and 2024, the U.S. Century Bank qualified as a “well capitalized” institution. See Note 16 “Regulatory Matters” of the Consolidated Financial Statements included in Item 8 of this Annual Report on Form 10-K for further details.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Prompt Corrective Action</w:t>
      </w:r>
    </w:p>
    <w:p>
      <w:pPr>
        <w:spacing w:after="0" w:line="15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Under the Federal Deposit Insurance Act (“FDIA”), the federal bank regulatory agencies must take "prompt corrective action" against undercapitalized U.S. depository institutions. The capital-based regulatory framework contains five categories of compliance with regulatory capital requirements, including "well capitalized," "adequately capitalized," "undercapitalized," "significantly undercapitalized," and "critically undercapitalized," and are subjected to differential regulation corresponding to the capital category within which the institution falls.</w:t>
      </w:r>
    </w:p>
    <w:p>
      <w:pPr>
        <w:spacing w:after="0" w:line="12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An insured depository institution is deemed to be "well capitalized" if it has a total risk-based capital ratio of 10.0% or greater, a tier 1 risk-based capital ratio of 8.0% or greater, a Common Equity Tier 1 risk-based capital ratio of 6.5% and a leverage ratio of 5.0% or greater, and the institution is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if it is determined that the institution is in an unsafe or unsound condition or is engaging in an unsafe or unsound practice. The degree of regulatory scrutiny of a financial institution will increase, and the permissible activities of the institution will decrease, as it moves downward through the capital categories. Under specified circumstances, a federal banking agency may reclassify a “well-capitalized” institution as adequately capitalized and may require an adequately capitalized institution or an undercapitalized institution to comply with supervisory actions as if it were in the next lower category (except that the FDIC may not reclassify a significantly undercapitalized institution as critically undercapitalized).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w:t>
      </w:r>
    </w:p>
    <w:p>
      <w:pPr>
        <w:spacing w:after="0" w:line="2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At As of December 31, 2025, the Bank was deemed to be a “well-capitalized” institution for purposes of the prompt corrective action regulations and as such is not subject to the above mentioned restrictions.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Commercial Real Estate Concentration Guidelines</w:t>
      </w:r>
    </w:p>
    <w:p>
      <w:pPr>
        <w:spacing w:after="0" w:line="16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federal banking regulators have implemented guidelines to address increased concentrations in commercial real estate loans. These guidelines describe the criteria regulatory agencies will use as indicators to identify institutions potentially exposed to commercial real estate concentration risk. An institution that has (i) experienced rapid growth in commercial real estate lending, (ii) notable exposure to a specific type of commercial real estate, (iii) total reported loans for construction, land development, and other land representing 100% or more of total capital, or (iv) total commercial real estate (including construction) loans, as defined in the banking agencies guidance, representing 300% or more of total capital and the outstanding balance of the institution’s commercial real estate portfolio has increased by 50% or more in the prior 36 months, may be identified for further supervisory analysis of a potential concentration risk.</w:t>
      </w:r>
    </w:p>
    <w:p>
      <w:pPr>
        <w:spacing w:after="0" w:line="14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of As of December 31, 2025, our ratio of construction loans to total risk-based capital was 31%, and therefore, we were under the 100% threshold set forth in clause (iii) in the paragraph above. However, with respect to clause (iv) in the paragraph above, as of December 31, 2025, our ratio of total commercial real estate loans to total risk-based capital was 370%. As a result, we are deemed to have a concentration in commercial real estate lending under applicable regulatory guidelines.</w:t>
      </w:r>
    </w:p>
    <w:p>
      <w:pPr>
        <w:spacing w:after="0" w:line="14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If a concentration is present, under the federal banking regulator’ guidance, management should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To address the commercial real estate lending concentration, the Bank has previously established a commercial real estate lending framework to monitor specific exposures and limits by types within the commercial real estate portfolio, including, among other things, annual stress testing of the commercial real estate portfolio, and takes appropriate actions, as necessary.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Payment of Dividends and Share Repurchases</w:t>
      </w:r>
    </w:p>
    <w:p>
      <w:pPr>
        <w:spacing w:after="0" w:line="168" w:lineRule="exact"/>
        <w:rPr>
          <w:sz w:val="20"/>
          <w:szCs w:val="20"/>
          <w:color w:val="auto"/>
        </w:rPr>
      </w:pPr>
    </w:p>
    <w:p>
      <w:pPr>
        <w:ind w:left="660" w:right="659" w:firstLine="256"/>
        <w:spacing w:after="0" w:line="245" w:lineRule="auto"/>
        <w:rPr>
          <w:sz w:val="20"/>
          <w:szCs w:val="20"/>
          <w:color w:val="auto"/>
        </w:rPr>
      </w:pPr>
      <w:r>
        <w:rPr>
          <w:rFonts w:ascii="Arial" w:cs="Arial" w:eastAsia="Arial" w:hAnsi="Arial"/>
          <w:sz w:val="14"/>
          <w:szCs w:val="14"/>
          <w:color w:val="auto"/>
        </w:rPr>
        <w:t>The ability of the board of directors of an insured depository institution to declare a cash dividend or other distribution with respect to capital is subject to federal and state statutory and regulatory restrictions that limit the amount available for such distribution depending upon earnings, financial condition, including whether the institution has negative retained earnings,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 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because the Bank has negative retained earnings, it must obtain the prior approval of the FDIC before effecting a cash dividend or other capital distribution.</w:t>
      </w:r>
    </w:p>
    <w:p>
      <w:pPr>
        <w:spacing w:after="0" w:line="14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 Federal Reserve policy statement on the payment of cash dividends states that a bank holding company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Reserve’s policy statement also provides that it would be inappropriate for a company experiencing serious financial problems to borrow funds to pay dividends. Furthermore, under the federal prompt corrective action regulations, the Federal Reserve may prohibit a bank holding company from paying any dividends if the holding company’s bank subsidiary is classified as “undercapitalized.” See “- Prompt Corrective Action” above.</w:t>
      </w:r>
    </w:p>
    <w:p>
      <w:pPr>
        <w:spacing w:after="0" w:line="138" w:lineRule="exact"/>
        <w:rPr>
          <w:sz w:val="20"/>
          <w:szCs w:val="20"/>
          <w:color w:val="auto"/>
        </w:rPr>
      </w:pPr>
    </w:p>
    <w:p>
      <w:pPr>
        <w:jc w:val="both"/>
        <w:ind w:left="660" w:right="699"/>
        <w:spacing w:after="0" w:line="251" w:lineRule="auto"/>
        <w:rPr>
          <w:sz w:val="20"/>
          <w:szCs w:val="20"/>
          <w:color w:val="auto"/>
        </w:rPr>
      </w:pPr>
      <w:r>
        <w:rPr>
          <w:rFonts w:ascii="Arial" w:cs="Arial" w:eastAsia="Arial" w:hAnsi="Arial"/>
          <w:sz w:val="14"/>
          <w:szCs w:val="14"/>
          <w:color w:val="auto"/>
        </w:rPr>
        <w:t>Section 225.4(b)(1) of Regulation Y promulgated by the Federal Reserve requires that a bank holding company that is not “well-capitalized” or “well-managed”, or that is subject to any unresolved supervisory issues, provide prior notice to the Federal Reserve for any repurchase or redemption of its equity securities for cash or other value that would reduce by 10 percent or more the bank holding company’s consolidated net worth aggregated over the preceding 12-month period. The Federal Reserve may disapprove such a purchase or redemption if it determines that the proposal would constitute an</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1" w:lineRule="auto"/>
        <w:rPr>
          <w:sz w:val="20"/>
          <w:szCs w:val="20"/>
          <w:color w:val="auto"/>
        </w:rPr>
      </w:pPr>
      <w:r>
        <w:rPr>
          <w:rFonts w:ascii="Arial" w:cs="Arial" w:eastAsia="Arial" w:hAnsi="Arial"/>
          <w:sz w:val="14"/>
          <w:szCs w:val="14"/>
          <w:color w:val="auto"/>
        </w:rPr>
        <w:t>unsafe or unsound practice or would violate any law, regulation, Federal Reserve order or any condition imposed by, or written agreement with, the Federal Reserve. As of December 31, 2025, the Company was not subject to any formal supervisory restrictions on its ability to pay dividends but will notify the Federal Reserve in advance of any proposed dividend to the Company's shareholders in light of the Bank's negative retained earnings. In addition, we will provide prior notification to the Federal Reserve prior to effecting proposed share repurchases.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Incentive Compensation</w:t>
      </w:r>
    </w:p>
    <w:p>
      <w:pPr>
        <w:spacing w:after="0" w:line="168"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134"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In June 2010, the federal banking agencies jointly adopted the Guidance on Sound Incentive Compensation Policies, or GSICP. The GSICP was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 The GSICP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43"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Dodd-Frank Act requires the federal banking agencies and the SEC to establish joint regulations or guidelines prohibiting incentive-based payment arrangements at specified regulated entities, such as us, having at least $1.0 billion in total assets that encourage inappropriate risk-taking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$1.0 billion in average total consolidated assets. In addition, in May 2024, a re-proposed rule was published that is intended to prohibit certain financial institutions from establishing or maintaining incentive-based compensation arrangements that encourage inappropriate risk taking by providing covered persons with excessive compensation, fees or benefits that could lead to material financial loss at the financial institution. Final regulations have not been adopted as of the date of this Form 10-K. If adopted, these or other similar regulations would impose limitations on the manner in which we may structure compensation for our executives and other employees that go beyond the requirements of GSICP. The scope and content of the federal banking agencies’ policies on incentive compensation are continuing to develop and are likely to continue evolving, but the timeframe for finalization, if finalized, of such policies is not known at this time.</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Limits on Transactions with Affiliates and Insiders</w:t>
      </w:r>
    </w:p>
    <w:p>
      <w:pPr>
        <w:spacing w:after="0" w:line="168"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Transactions between insured financial institutions and any affiliate are governed by Sections 23A and 23B of the Federal Reserve Act. An affiliate of an insured financial institution is any company or entity which controls, is controlled by or is under common control with the insured financial institution. In a bank holding company context, the bank holding company of an insured financial institution (such as the Company) and any companies which are controlled by such holding company are affiliates of the insured financial institution. Generally, Section 23A limits the extent to which the insured financial institution or its subsidiaries may engage in “covered transactions” with any one affiliate to an amount equal to 10% of such institution’s capital stock and surplus, and contains an aggregate limit on all such transactions with all affiliates to an amount equal to 20% of such capital stock and surplus. Section 23B applies to “covered transactions” as well as certain other transactions and requires that all transactions be on terms substantially the same, or at least as favorable to the insured financial institution, as those provided to a non-affiliate. The term “covered transaction” includes the making of loans to, purchase of assets from and issuance of a guarantee to an affiliate and similar transactions. Section 23B transactions also include the provision of services and the sale of assets by an insured financial institution to an affiliate. In addition, loans or other extensions of credit by the financial institution to the affiliate are to be collateralized in accordance with the requirements set forth in Section 23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66" w:lineRule="auto"/>
        <w:rPr>
          <w:sz w:val="20"/>
          <w:szCs w:val="20"/>
          <w:color w:val="auto"/>
        </w:rPr>
      </w:pPr>
      <w:r>
        <w:rPr>
          <w:rFonts w:ascii="Arial" w:cs="Arial" w:eastAsia="Arial" w:hAnsi="Arial"/>
          <w:sz w:val="13"/>
          <w:szCs w:val="13"/>
          <w:color w:val="auto"/>
        </w:rPr>
        <w:t>Sections 22(g) and (h) of the Federal Reserve Act place restrictions on loans to executive officers, directors and principal shareholders. Under Section 22(h), loans to a director, an executive officer and to a greater than 10% stockholder of an insured financial institution, and certain affiliated interests of either, may not exceed, together with all other outstanding loans to such person and affiliated interests, the insured financial institution’s loans to one borrower limit (generally equal to 15% of the institution’s unimpaired capital and surplus). Section 22(h) also requires that loans to directors, executive officers and principal stockholders be made on terms substantially the same as offered in comparable transactions to other persons unless the loans are made pursuant to a benefit or compensation program that (i) is widely available to employees of the institution and (ii) does not give preference to any director, executive officer or principal stockholder, or certain affiliated interests thereof, over other employees of the insured financial institution. Section 22(h) also requires prior board approval for the issuance of certain loans. In addition, the aggregate amount of extensions of credit by an insured financial institution to all insiders cannot exceed the institution’s unimpaired capital and surplus. Furthermore, Section 22(g) places additional restrictions on loans to executive officers. At December 31, 2025, the Bank was in compliance with the above restrictions.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FDIC Deposit Insurance</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FDIC is an independent federal agency that insures the deposits of federally insured depository institutions up to applicable limits. The FDIC also has certain regulatory, examination and enforcement powers with respect to FDIC-insured institutions. The deposits are insured by the FDIC up to applicable limits. As a general matter, the maximum deposit insurance amount is $250 thousand per depositor.</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13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Under the current system, deposit insurance assessments are based on a bank’s assessment base, which is defined as average total assets minus average tangible equity. For established small institutions, such as the Bank, the FDIC sets deposit assessment rates based on the Financial Ratios Method, which takes into account several ratios that reflect leverage, asset quality, and earnings at each individual institution and then applies a pricing multiplier that is the same for all institutions. An institution’s rate must be within a certain minimum and a certain maximum, and the range varies based on the institution’s composite CAMELS rating. The deposit insurance assessment is calculated by multiplying the bank’s assessment base by the total base assessment rate. Assessment rates for most insured depository institutions with less than $10.0 billion of assets range from 2.5 to 32 basis points of each institution’s total assets less tangible capital.</w:t>
      </w:r>
    </w:p>
    <w:p>
      <w:pPr>
        <w:spacing w:after="0" w:line="131"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October 2022, the FDIC finalized a rule that increased the initial base deposit insurance assessment rates by 2 basis points, beginning with the first quarterly assessment period of 2023 (January 1, 2023 through March 31, 2023). The FDIC, as required under the FDIA, established a plan in September 2020 (the “Restoration Plan”) to restore the DIF reserve ratio to meet or exceed the statutory minimum of 1.35% within eight years. The Restoration Plan did not include an increase in the deposit insurance assessment rate. Based on the FDIC’s recent projections, however, the FDIC determined that the DIF reserve ratio is at risk of not reaching the statutory minimum by the statutory deadline of September 30, 2028 without increasing the deposit insurance assessment rates. The increased assessment would improve the likelihood that the DIF reserve ratio would reach the required minimum by the statutory deadline, consistent with the FDIC’s amended Restoration Plan. The FDIC is maintain ing the Designated Reserve Ratio (“DRR”) for the DIF at 2% for 2026. The assessment rate schedules will remain in effect unless and until the reserve ratio meets or exceeds 2% in order to support growth in the DIF in progressing toward the FDIC’s long-term goal of a 2% DRR. Progressively lower assessment rate schedules will take effect when the reserve ratio reaches 2%, and again when it reaches 2.5%. The revised assessment rate schedule will remain in effect unless and until the reserve ratio meets or exceeds 2%, absent further action by the FDIC.</w:t>
      </w:r>
    </w:p>
    <w:p>
      <w:pPr>
        <w:spacing w:after="0" w:line="14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Brokered Deposits</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FDIA and FDIC regulations generally limit the ability of an insured depository institution to accept, renew or roll-over any brokered deposit unless the institution's capital category is "well capitalized" or, upon application to and a waiver from the FDIC, “adequately capitalized." Less-than-well-capitalized banks are also subject to restrictions on the interest rates that they may pay on deposits. The characterization of deposits as "brokered" may result in the imposition of higher deposit assessments on such deposits. As mandated by the 2018 Act, the FDIC's brokered deposit regulations provide a limited exception for reciprocal deposits for banks that are well-managed and well capitalized (or adequately capitalized and have obtained a waiver from the FDIC as mentioned above). Under the limited exception, qualified banks are eligible for exemption from treatment as "brokered" deposits up to $5.0 billion, or 20% of the institution's total liabilities in reciprocal deposits. In 2021, the FDIC clarified and modernized its brokered deposit regulations by establishing clear standards for determining whether an entity qualifies as a deposit broker, identifying business relationships that automatically qualify for the “primary purpose exception,” creating a transparent application process for entities seeking that exception, and confirming that third parties with exclusive deposit -placement arrangements with one institution are not considered deposit brokers.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Depositor Preference</w:t>
      </w:r>
    </w:p>
    <w:p>
      <w:pPr>
        <w:spacing w:after="0" w:line="16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the Bank, with respect to any extensions of credit they have made to such insured depository institution.</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Overdraft Fee Regulation</w:t>
      </w:r>
    </w:p>
    <w:p>
      <w:pPr>
        <w:spacing w:after="0" w:line="16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Electronic Fund Transfer Act prohibits financial institutions from charging consumers fees for paying overdrafts on automated teller machines, or ATMs, and one-time debit card transactions, unless a consumer consents, or opts in, to the overdraft service for those types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with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Reserve System and Federal Home Loan Bank System</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We are a member of the Federal Home Loan Bank (“FHLB”) of Atlanta, which is one of 11 regional FHLBs. Each FHLB serves as a quasi-reserve bank for its members within its assigned region. It is funded primarily from funds deposited by member institutions and proceeds from the sale of consolidated obligations of the FHLB system. A FHLB makes loans to members (i.e., advances) in accordance with policies and procedures established by the Board of Trustees of the FHLB.</w:t>
      </w:r>
    </w:p>
    <w:p>
      <w:pPr>
        <w:spacing w:after="0" w:line="13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As a member of the FHLB of Atlanta, we are required to own capital stock in the FHLB in an amount at least equal to 0.07% (or 7 basis points), which is subject to annual adjustments, of the Bank’s total assets at the end of each calendar year (up to a maximum of $18.0 million), plus 4.75% of our outstanding advances (borrowings) from the FHLB of Atlanta and 0.10% of the amount of outstanding letters of credit under the activity-based stock ownership requirements. As of December 31, 2025, the Bank was in compliance with such requirements.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Anti-Money Laundering Regulation</w:t>
      </w:r>
    </w:p>
    <w:p>
      <w:pPr>
        <w:spacing w:after="0" w:line="16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in accordance with the Bank Secrecy Act of 1970, as amended (“BSA”), and the regulations issued by the Department of the Treasury in 31 CFR Chapter X, Section 326.8 of the FDIC’s regulations and the Florida Control of Money Laundering and Terrorist Financing in Financial Institutions Act.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high-risk customers. Financial institutions must also take reasonable steps to conduct enhanced scrutiny of account relationships to guard against money laundering and to report transactions that meet certain dollar amount thresholds as</w:t>
      </w:r>
    </w:p>
    <w:p>
      <w:pPr>
        <w:spacing w:after="0" w:line="39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well as any suspicious transactions. Laws, such as the USA PATRIOT Act enacted in 2001, as described below, provide law enforcement authorities with increased access to financial information maintained by banks.</w:t>
      </w:r>
    </w:p>
    <w:p>
      <w:pPr>
        <w:spacing w:after="0" w:line="120" w:lineRule="exact"/>
        <w:rPr>
          <w:sz w:val="20"/>
          <w:szCs w:val="20"/>
          <w:color w:val="auto"/>
        </w:rPr>
      </w:pPr>
    </w:p>
    <w:p>
      <w:pPr>
        <w:ind w:left="660" w:right="639" w:firstLine="256"/>
        <w:spacing w:after="0" w:line="250" w:lineRule="auto"/>
        <w:rPr>
          <w:sz w:val="20"/>
          <w:szCs w:val="20"/>
          <w:color w:val="auto"/>
        </w:rPr>
      </w:pPr>
      <w:r>
        <w:rPr>
          <w:rFonts w:ascii="Arial" w:cs="Arial" w:eastAsia="Arial" w:hAnsi="Arial"/>
          <w:sz w:val="14"/>
          <w:szCs w:val="14"/>
          <w:color w:val="auto"/>
        </w:rPr>
        <w:t>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USA PATRIOT Act</w:t>
      </w:r>
    </w:p>
    <w:p>
      <w:pPr>
        <w:spacing w:after="0" w:line="168"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color w:val="auto"/>
        </w:rPr>
        <w:t>The USA PATRIOT Act became effective in October 2001 and amended the BSA. The USA PATRIOT Act requires banks to establish anti-money laundering programs that include, at a minimum:</w:t>
      </w:r>
    </w:p>
    <w:p>
      <w:pPr>
        <w:spacing w:after="0" w:line="99" w:lineRule="exact"/>
        <w:rPr>
          <w:sz w:val="20"/>
          <w:szCs w:val="20"/>
          <w:color w:val="auto"/>
        </w:rPr>
      </w:pPr>
    </w:p>
    <w:p>
      <w:pPr>
        <w:jc w:val="both"/>
        <w:ind w:left="1180" w:right="699" w:hanging="261"/>
        <w:spacing w:after="0" w:line="251" w:lineRule="auto"/>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bank compliance program that contains internal policies, procedures and controls designed to implement and maintain the bank’s compliance with all of the requirements of the USA PATRIOT Act, the BSA and related laws and regulations; bank wide systems and procedures for monitoring and reporting of suspicious transactions and activities;</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designated compliance officer;</w:t>
      </w:r>
    </w:p>
    <w:p>
      <w:pPr>
        <w:ind w:left="1180" w:hanging="261"/>
        <w:spacing w:after="0"/>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employee training for bank employees;</w:t>
      </w:r>
    </w:p>
    <w:p>
      <w:pPr>
        <w:ind w:left="1180" w:hanging="261"/>
        <w:spacing w:after="0"/>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 independent audit function to test the efficacy of the bank’s anti-money laundering program;</w:t>
      </w:r>
    </w:p>
    <w:p>
      <w:pPr>
        <w:ind w:left="1180" w:hanging="261"/>
        <w:spacing w:after="0"/>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procedures to verify the identity of each bank customer upon the opening of accounts;</w:t>
      </w:r>
    </w:p>
    <w:p>
      <w:pPr>
        <w:spacing w:after="0" w:line="9" w:lineRule="exact"/>
        <w:rPr>
          <w:rFonts w:ascii="Arial" w:cs="Arial" w:eastAsia="Arial" w:hAnsi="Arial"/>
          <w:sz w:val="14"/>
          <w:szCs w:val="14"/>
          <w:color w:val="auto"/>
        </w:rPr>
      </w:pPr>
    </w:p>
    <w:p>
      <w:pPr>
        <w:ind w:left="1180" w:right="699" w:hanging="261"/>
        <w:spacing w:after="0" w:line="246" w:lineRule="auto"/>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heightened due diligence policies, procedures and controls applicable to certain foreign accounts and relationships; and</w:t>
      </w:r>
    </w:p>
    <w:p>
      <w:pPr>
        <w:ind w:left="1180" w:right="679" w:hanging="261"/>
        <w:spacing w:after="0" w:line="255" w:lineRule="auto"/>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required reports to law enforcement and/or financial regulators to assist in the deterrence and prevention of money laundering activities.</w:t>
      </w:r>
    </w:p>
    <w:p>
      <w:pPr>
        <w:spacing w:after="0" w:line="124" w:lineRule="exact"/>
        <w:rPr>
          <w:sz w:val="20"/>
          <w:szCs w:val="20"/>
          <w:color w:val="auto"/>
        </w:rPr>
      </w:pPr>
    </w:p>
    <w:p>
      <w:pPr>
        <w:jc w:val="both"/>
        <w:ind w:left="660" w:right="619" w:firstLine="256"/>
        <w:spacing w:after="0" w:line="246" w:lineRule="auto"/>
        <w:rPr>
          <w:sz w:val="20"/>
          <w:szCs w:val="20"/>
          <w:color w:val="auto"/>
        </w:rPr>
      </w:pPr>
      <w:r>
        <w:rPr>
          <w:rFonts w:ascii="Arial" w:cs="Arial" w:eastAsia="Arial" w:hAnsi="Arial"/>
          <w:sz w:val="14"/>
          <w:szCs w:val="14"/>
          <w:color w:val="auto"/>
        </w:rPr>
        <w:t>Additionally, the USA PATRIOT Act requires each financial institution to develop a customer identification program, or CIP, as part of its anti-money laundering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the financial institution must, among other things, collect certain information from customers at the time they enter into the customer relationship with the financial institution. This information must be verified within a reasonable time. Furthermore, all customers must be screened against any CIP-related government lists of known or suspected terrorists or other “sanctioned” persons. In May 2018, the U.S. Treasury’s Financial Crimes Enforcement Network, or FinCEN, issued a final rule under the BSA requiring banks to identify and verify the identity of the natural persons behind their customers that are legal entities—the beneficial owners. The Anti-Money Laundering Act of 2020 (the “AML Act”) and within the AML Act, the Corporate Transparency Act (the “CTA”), was enacted in January 2021. The AML Act is intended to be a comprehensive reform and modernization of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 -related authority, including increasing available sanctions for certain BSA violations and instituting BSA whistleblower incentives and protections. The CTA establishes uniform beneficial ownership reporting requirements for corporations, limited liability companies, and other similar entities formed or registered to do business in the United States. The CTA authorizes FinCEN to collect that information and share it with authorized government authorities and financial institutions, subject to effective safeguards and controls. In December 2023, FinCEN issued regulations regarding access to the beneficial ownership information collected under the CTA. In March 2025, as a result of various legal challenges to the CTA, the U.S. Treasury announced that it was suspending enforcement of the CTA against domestic reporting companies and their beneficial owners. Later in March 2025, the U.S. Treasury issued a final interim rule that formally excepted domestic reporting companies and their beneficial owners from the reporting requirements. Under the interim final rule, only foreign reporting entities would need to provide foreign beneficial ownership information. We and our affiliates have adopted policies, procedures and controls designed to comply with the BSA, the AML Act, the CTA and the USA PATRIOT Act.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Office of Foreign Assets Control</w:t>
      </w:r>
    </w:p>
    <w:p>
      <w:pPr>
        <w:spacing w:after="0" w:line="16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Office of Foreign Assets Control (the “OFAC”)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w:t>
      </w:r>
    </w:p>
    <w:p>
      <w:pPr>
        <w:spacing w:after="0" w:line="3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or controlled by, or acting on behalf of target countries; and narcotics traffickers. Such persons are referred to as “sanctioned” persons.</w:t>
      </w:r>
    </w:p>
    <w:p>
      <w:pPr>
        <w:spacing w:after="0" w:line="12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If a bank finds a name on any transaction, account or wire transfer that is on an OFAC list, it must freeze the account and/or block the transaction or wire transfer. We utilize an outside vendor to oversee the inspection of our accounts and the filing of any notifications. We also monitor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Laws and Regulations</w:t>
      </w:r>
    </w:p>
    <w:p>
      <w:pPr>
        <w:spacing w:after="0" w:line="157"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Our activities are subject to a variety of federal and state statutes and regulations designed to protect consumers in transactions with banks. Interest and other charges collected or contracted for by us are subject to state usury laws and federal laws concerning interest rates. Our loan operations are also subject to federal laws applicable to credit transactions, such as:</w:t>
      </w:r>
    </w:p>
    <w:p>
      <w:pPr>
        <w:spacing w:after="0" w:line="121" w:lineRule="exact"/>
        <w:rPr>
          <w:sz w:val="20"/>
          <w:szCs w:val="20"/>
          <w:color w:val="auto"/>
        </w:rPr>
      </w:pPr>
    </w:p>
    <w:p>
      <w:pPr>
        <w:jc w:val="both"/>
        <w:ind w:left="1180" w:right="719" w:hanging="261"/>
        <w:spacing w:after="0" w:line="250"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Truth-In-Lending Act, and Regulation Z, governing disclosures of credit and servicing terms to consumer borrowers and including substantial new requirements for mortgage lending and servicing, as mandated by the Dodd-Frank Act</w:t>
      </w:r>
    </w:p>
    <w:p>
      <w:pPr>
        <w:spacing w:after="0" w:line="1" w:lineRule="exact"/>
        <w:rPr>
          <w:rFonts w:ascii="Arial" w:cs="Arial" w:eastAsia="Arial" w:hAnsi="Arial"/>
          <w:sz w:val="14"/>
          <w:szCs w:val="14"/>
          <w:color w:val="auto"/>
        </w:rPr>
      </w:pPr>
    </w:p>
    <w:p>
      <w:pPr>
        <w:jc w:val="both"/>
        <w:ind w:left="1180" w:right="699" w:hanging="261"/>
        <w:spacing w:after="0" w:line="243"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they serve;</w:t>
      </w:r>
    </w:p>
    <w:p>
      <w:pPr>
        <w:spacing w:after="0" w:line="1" w:lineRule="exact"/>
        <w:rPr>
          <w:rFonts w:ascii="Arial" w:cs="Arial" w:eastAsia="Arial" w:hAnsi="Arial"/>
          <w:sz w:val="14"/>
          <w:szCs w:val="14"/>
          <w:color w:val="auto"/>
        </w:rPr>
      </w:pPr>
    </w:p>
    <w:p>
      <w:pPr>
        <w:ind w:left="1180" w:right="699" w:hanging="261"/>
        <w:spacing w:after="0" w:line="246"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Equal Credit Opportunity Act and Regulation B, prohibiting discrimination on the basis of race, color, religion, or other prohibited factors in extending credit;</w:t>
      </w:r>
    </w:p>
    <w:p>
      <w:pPr>
        <w:jc w:val="both"/>
        <w:ind w:left="1180" w:right="679" w:hanging="261"/>
        <w:spacing w:after="0" w:line="243"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Credit Reporting Act of 1978, as amended by the Fair and Accurate Credit Transactions Act, and Regulation V, as well as the rules and regulations of the FDIC governing the use and provision of information to credit reporting agencies, certain identity theft protections and certain credit and other disclosures;</w:t>
      </w:r>
    </w:p>
    <w:p>
      <w:pPr>
        <w:spacing w:after="0" w:line="1"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Debt Collection Practices Act and Regulation F, governing the manner in which consumer debts may be collected by collection agencies; and</w:t>
      </w:r>
    </w:p>
    <w:p>
      <w:pPr>
        <w:ind w:left="1180" w:right="679" w:hanging="261"/>
        <w:spacing w:after="0" w:line="271"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Real Estate Settlement Procedures Act, and Regulation X, which governs aspects of the settlement process for residential mortgage loans.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deposit operations are also subject to federal laws, such as:</w:t>
      </w:r>
    </w:p>
    <w:p>
      <w:pPr>
        <w:spacing w:after="0" w:line="159" w:lineRule="exact"/>
        <w:rPr>
          <w:sz w:val="20"/>
          <w:szCs w:val="20"/>
          <w:color w:val="auto"/>
        </w:rPr>
      </w:pPr>
    </w:p>
    <w:p>
      <w:pPr>
        <w:ind w:left="1180" w:right="679" w:hanging="261"/>
        <w:spacing w:after="0" w:line="256"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FDIA, which, among other things, limits the amount of deposit insurance available per account to $250,000 and imposes other limits on deposit-taking;</w:t>
      </w:r>
    </w:p>
    <w:p>
      <w:pPr>
        <w:spacing w:after="0" w:line="1" w:lineRule="exact"/>
        <w:rPr>
          <w:rFonts w:ascii="Arial" w:cs="Arial" w:eastAsia="Arial" w:hAnsi="Arial"/>
          <w:sz w:val="14"/>
          <w:szCs w:val="14"/>
          <w:color w:val="auto"/>
        </w:rPr>
      </w:pPr>
    </w:p>
    <w:p>
      <w:pPr>
        <w:ind w:left="1180" w:right="679" w:hanging="261"/>
        <w:spacing w:after="0" w:line="246"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Right to Financial Privacy Act, which imposes a duty to maintain the confidentiality of consumer financial records and prescribes procedures for complying with administrative subpoenas of financial records;</w:t>
      </w:r>
    </w:p>
    <w:p>
      <w:pPr>
        <w:ind w:left="1180" w:right="699" w:hanging="261"/>
        <w:spacing w:after="0" w:line="238"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Check Clearing for the 21st Century Act (also known as “Check 21”), which gives “substitute checks,” such as digital check images and copies made from that image, the same legal standing as the original paper check;</w:t>
      </w:r>
    </w:p>
    <w:p>
      <w:pPr>
        <w:jc w:val="both"/>
        <w:ind w:left="1180" w:right="699" w:hanging="261"/>
        <w:spacing w:after="0" w:line="243"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Electronic Funds Transfer Act and Regulation E, which governs automatic deposits to and withdrawals from deposit accounts and customers’ rights and liabilities arising from the use of ATMs and other electronic banking services; and</w:t>
      </w:r>
    </w:p>
    <w:p>
      <w:pPr>
        <w:spacing w:after="0" w:line="1" w:lineRule="exact"/>
        <w:rPr>
          <w:rFonts w:ascii="Arial" w:cs="Arial" w:eastAsia="Arial" w:hAnsi="Arial"/>
          <w:sz w:val="14"/>
          <w:szCs w:val="14"/>
          <w:color w:val="auto"/>
        </w:rPr>
      </w:pPr>
    </w:p>
    <w:p>
      <w:pPr>
        <w:ind w:left="1180" w:right="679" w:hanging="261"/>
        <w:spacing w:after="0" w:line="271"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Truth in Savings Act and Regulation DD, which requires depository institutions to provide disclosures so that consumers can make meaningful comparisons about depository institutions and accounts.</w:t>
      </w:r>
    </w:p>
    <w:p>
      <w:pPr>
        <w:spacing w:after="0" w:line="113"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These laws and regulations mandate certain disclosure requirements and regulate the manner in which financial institutions must deal with clients when taking deposits or making loans to such clients. We must comply with the applicable provisions of these consumer protection laws and regulations as part of both our ongoing client relations and our regulatory compliance obligations.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Financial Privacy and Cybersecurity</w:t>
      </w:r>
    </w:p>
    <w:p>
      <w:pPr>
        <w:spacing w:after="0" w:line="16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Banking organizations are subject to many federal and state laws and regulations governing the collection, use and protection of customer information. Under the privacy protection provisions of the GLB Act and related laws and regulations, including Florida laws, we are limited in our ability to disclose non-public information about consumers to nonaffiliated third parties. These limitations require disclosure of privacy policies to consumers and, in some circumstances, require us to allow consumers to prevent disclosure of certain personal information to a non-affiliated third party and to not disclose account numbers or access codes to non-affiliated third parties for marketing purposes. Federal banking agencies, including the FDIC, have adopted guidelines for establishing information security standards and cybersecurity programs for</w:t>
      </w:r>
    </w:p>
    <w:p>
      <w:pPr>
        <w:spacing w:after="0" w:line="3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implementing safeguards. These guidelines, along with related regulatory materials, increasingly focus on risk management and processes related to information technology and the use of third parties in the provision of financial services.</w:t>
      </w:r>
    </w:p>
    <w:p>
      <w:pPr>
        <w:spacing w:after="0" w:line="12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addition, the federal banking agencies have adopted a rule to establish computer-security incident notification requirements for bank holding companies, banks and their service providers. Under the rule, banking organizations are required to notify their primary federal regulators within 36 hours of any incident that has materially disrupted or degraded, or is reasonably likely to materially disrupt or degrade, the banking organization’s ability to deliver banking services to a material portion of its client base, jeopardize the viability of key operations, or impact the financial stability of the financial sector. The rule also imposes certain notification requirements on third-party bank service providers when they experience a computer-security incident that has caused, or is likely to cause a material service disruption or degradation for four or more hours. In such case, the service provider is required to notify its bank-designated point of contact as soon as possible upon discovery of the incident.</w:t>
      </w:r>
    </w:p>
    <w:p>
      <w:pPr>
        <w:spacing w:after="0" w:line="141"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 addition to federal laws and regulations, we are subject to state laws governing customer privacy and cybersecurity. The Florida Information Protection Act of 2014 (“Florida Act”) requires notification of the Florida Department of Legal Affairs of any breach involving personal information that affects more than 500 people as well as requiring notification of affected individuals of a breach. The Florida Act also requires us to take reasonable measures to protect and secure data in electronic form containing personal information and take all reasonable measures to dispose, or arrange for the disposal, of customer records containing personal information within our custody or control when the records are no longer to be retained. We incur significant costs and expenses in order to address compliance with the federal and state customer privacy and cybersecurity laws and regulations, and we expect such costs and expenses will continue into the future.</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Financial Protection Bureau</w:t>
      </w:r>
    </w:p>
    <w:p>
      <w:pPr>
        <w:spacing w:after="0" w:line="168"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The Consumer Financial Protection Bureau (“CFPB”) is an independent regulatory authority housed within the Federal Reserve Board. The CFPB has broad authority to regulate the offering and provision of consumer financial products and to prevent institutions subject to its authority from engaging in “unfair and deceptive or abusive acts or practices” with respect to their offering of consumer financial products or services. The CFPB has the authority to supervise and examine depository institutions with more than $10.0 billion in assets for compliance with federal consumer laws. The authority to supervise and examine depository institutions with $10.0 billion or less in assets, such as the Bank, for compliance with federal consumer laws remains largely with those institutions’ primary federal regulators. However, the CFPB may participate in examinations of these smaller institutions on a “sampling basis” and may refer potential enforcement actions against such institutions to their primary regulators. As such, the CFPB may participate in examinations of the Bank.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Volcker Rule</w:t>
      </w:r>
    </w:p>
    <w:p>
      <w:pPr>
        <w:spacing w:after="0" w:line="16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Dodd-Frank Act prohibits (subject to certain exceptions) us and our affiliates from engaging in short term proprietary trading in securities and derivatives and from investing in and sponsoring certain investment companies defined in the rule as “covered funds” (including not only hedge funds, commodity pools and private equity funds, but also a range of asset securitization structures that do not meet exemptive criteria in the final rules). This statutory provision is commonly called the “Volcker Rule.” At December 31, 2025, we are not subject to the Volcker Rule because of our asset size, which is below the $10.0 billion Volcker Rule threshold.</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Community Reinvestment Act and Fair Lending Requirements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previously noted, we are subject to certain fair lending requirements and reporting obligations involving home mortgage lending operations. We are also subject to certain requirements and reporting obligations under the federal Community Reinvestment Act (“CRA”). The CRA and its corresponding regulations are intended to encourage banks to help meet the credit needs of the communities they serve, including low- and moderate -income neighborhoods, consistent with safe and sound banking practices.</w:t>
      </w:r>
    </w:p>
    <w:p>
      <w:pPr>
        <w:spacing w:after="0" w:line="14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Accordingly, the CRA generally requires federal banking agencies to evaluate the record of a financial institution in meeting applicable CRA requirements. The CRA further requires the agencies to take into account our record of meeting community credit needs when evaluating applications for, among other things, new branches or mergers. We are also subject to analogous state CRA requirements in Florida and certain other states in which we may establish branch offices. In connection with their assessments of CRA performance, the FDIC and FOFR assign a rating of “outstanding,” “satisfactory,” “needs to improve,” or “substantial noncompliance.” We received a “satisfactory” CRA Assessment Rating from both regulatory agencies in our most recent CRA examinations in 2023. In addition to substantive penalties and corrective measures that may be required for a violation of certain fair lending laws, the federal banking agencies may take</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49" w:lineRule="auto"/>
        <w:rPr>
          <w:sz w:val="20"/>
          <w:szCs w:val="20"/>
          <w:color w:val="auto"/>
        </w:rPr>
      </w:pPr>
      <w:r>
        <w:rPr>
          <w:rFonts w:ascii="Arial" w:cs="Arial" w:eastAsia="Arial" w:hAnsi="Arial"/>
          <w:sz w:val="14"/>
          <w:szCs w:val="14"/>
          <w:color w:val="auto"/>
        </w:rPr>
        <w:t>compliance with such laws and CRA into account when regulating and supervising other activities of the bank, including in acting on expansionary proposals such as when a bank submits an application to establish bank branches, merge with another bank, or acquire the assets and assume the liabilities of another bank. An unsatisfactory CRA and/or fair lending record could substantially delay or block any such transaction. The regulatory agency's assessment of the institution's record is made available to the public at www.ffiec.gov/craratings. Following its most recent CRA performance evaluation in April 2023, the Bank received an overall rating of "Satisfactory."</w:t>
      </w:r>
    </w:p>
    <w:p>
      <w:pPr>
        <w:spacing w:after="0" w:line="13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October 2023, the federal banking agencies jointly issued a final rule to modernize CRA, but in light of litigation, the agencies issued a joint proposal in July 2025 to rescind this rule and reinstate the CRA framework that existed prior to the 2023 final rule.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Call Reports and Examination Cycle</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All institutions, regardless of size, submit a quarterly call report that includes data used by federal banking agencies to monitor the condition, performance, and risk profile of individual institutions and the industry as a whole. In June 2019, the federal banking agencies issued a final rule to permit insured depository institutions with total assets of less than $5.0 billion that do not engage in certain complex or international activities to file the most streamlined version of the quarterly call report, and to reduce data reportable on certain streamlined call report submissions.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Effect of Governmental Monetary Policies</w:t>
      </w:r>
    </w:p>
    <w:p>
      <w:pPr>
        <w:spacing w:after="0" w:line="168" w:lineRule="exact"/>
        <w:rPr>
          <w:sz w:val="20"/>
          <w:szCs w:val="20"/>
          <w:color w:val="auto"/>
        </w:rPr>
      </w:pPr>
    </w:p>
    <w:p>
      <w:pPr>
        <w:jc w:val="both"/>
        <w:ind w:left="660" w:right="619" w:firstLine="256"/>
        <w:spacing w:after="0" w:line="247" w:lineRule="auto"/>
        <w:rPr>
          <w:sz w:val="20"/>
          <w:szCs w:val="20"/>
          <w:color w:val="auto"/>
        </w:rPr>
      </w:pPr>
      <w:r>
        <w:rPr>
          <w:rFonts w:ascii="Arial" w:cs="Arial" w:eastAsia="Arial" w:hAnsi="Arial"/>
          <w:sz w:val="14"/>
          <w:szCs w:val="14"/>
          <w:color w:val="auto"/>
        </w:rPr>
        <w:t>The commercial banking business is affected not only by general economic conditions, but also by the monetary policies of the Federal Reserve. Changes in the discount rate on member bank borrowing, availability of borrowing at the “discount window,” open market operations, changes in the Fed Funds target interest rate, the imposition of changes in reserve requirements against member banks’ deposits and assets of foreign banking centers and the imposition of and changes in reserve requirements against certain borrowings by banks and their affiliates are some of the instruments of monetary policy available to the Federal Reserve. These monetary policies are used in varying combinations to influence overall growth and distributions of bank loans, investments and deposits, which may affect interest rates charged on loans or paid on deposits. The monetary policies of the Federal Reserve have had a significant effect on the operating results of commercial banks and are expected to continue to do so in the future. The Federal Reserve’s policies are primarily influenced by the dual mandate of price stability and full employment, and to a lesser degree by short-term and long-term changes in the international trade balance and in the fiscal policies of the U.S. government. Future changes in monetary policy and the effect of such changes on our business and earnings in the future cannot be predicted.</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Future Legislation and Regulation</w:t>
      </w:r>
    </w:p>
    <w:p>
      <w:pPr>
        <w:spacing w:after="0" w:line="16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 of any such new legislation or regulations.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Securities Laws and the Sarbanes-Oxley Act</w:t>
      </w:r>
    </w:p>
    <w:p>
      <w:pPr>
        <w:spacing w:after="0" w:line="157"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Class A common stock is registered with the SEC under Section 12(b) of the Exchange Act. The Company is subject to the proxy and tender offer rules, insider trading reporting requirements and restrictions, and certain other requirements under the Exchange Act.</w:t>
      </w:r>
    </w:p>
    <w:p>
      <w:pPr>
        <w:spacing w:after="0" w:line="128"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As a public company, the Company is also subject to the Sarbanes-Oxley Act of 2002 (“SOA”), which is applicable to all companies, both U.S. and non-U.S., that file periodic reports under the Exchange Act. The stated goals of the SOA were to increase corporate responsibility, to provide for enhanced penalties for accounting and auditing improprieties at publicly traded companies and to protect investors by improving the accuracy and reliability of corporate disclosures pursuant to the securities laws. The SEC is responsible for establishing rules to implement various provisions of the SOA. The SOA includes specific disclosure requirements and corporate governance rules, requires the SEC and securities exchanges to adopt extensive additional disclosure, corporate governance and other related rules and mandates further studies of certain issues</w:t>
      </w:r>
    </w:p>
    <w:p>
      <w:pPr>
        <w:spacing w:after="0" w:line="38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315" w:lineRule="auto"/>
        <w:rPr>
          <w:sz w:val="20"/>
          <w:szCs w:val="20"/>
          <w:color w:val="auto"/>
        </w:rPr>
      </w:pPr>
      <w:r>
        <w:rPr>
          <w:rFonts w:ascii="Arial" w:cs="Arial" w:eastAsia="Arial" w:hAnsi="Arial"/>
          <w:sz w:val="13"/>
          <w:szCs w:val="13"/>
          <w:color w:val="auto"/>
        </w:rPr>
        <w:t>by the SEC. The SOA represents significant regulation of the accounting profession and corporate governance practices, such as the relationship between a board of directors and management and between a board of directors and its committees.</w:t>
      </w:r>
    </w:p>
    <w:p>
      <w:pPr>
        <w:spacing w:after="0" w:line="9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directed by the SOA, the Company’s principal executive officer and principal financial officer are required to certify that the Company’s quarterly and annual reports do not contain any untrue statement of a material fact. The rules adopted by the SEC under the SOA have several requirements, including having these officers certify that: they are responsible for establishing, maintaining and regularly evaluating the effectiveness of our internal control over financial reporting; they have made certain disclosures to the Company’s auditors and the audit committee of the Board of Directors about the Company’s internal control over financial reporting; and they have included information in the Company’s quarterly and annual reports about their evaluation and whether there have been changes in the Company’s internal control over financial reporting or in other factors that could materially affect the Company’s internal control over financial reporting.</w:t>
      </w:r>
    </w:p>
    <w:p>
      <w:pPr>
        <w:spacing w:after="0" w:line="141"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In March 2020, the SEC issued a final rule, effective April 27, 2020, under the SOA – Amendments to the Accelerated Filer and Large Accelerated Filer Definitions. As a result of the amendments, certain low revenue and/or low public float filers, while they remained obligated to provide a report by management assessing the effectiveness of their internal control over financial reporting (“ICFR”), were not required to provide an attestation report from their independent auditor assessing the effectiveness of their ICFR. The Company meets the amended definition of an accelerated filer as of January 1, 2026 and would normally be required to provide an attestation report from its independent auditor assessing the effectiveness of its ICFR. However, as long as it is an eligible emerging growth company, such auditor attestation requirement will not apply to the Company. The Company will no longer be an emerging growth company as of December 31, 2026 and is expected to be required to comply with the ICFR independent auditor attestation report. In addition, the Bank remains subject to independent auditor attestation required under FDIC regulations set forth at 12 C.F.R. §363.3(b).</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Available Information</w:t>
      </w:r>
    </w:p>
    <w:p>
      <w:pPr>
        <w:spacing w:after="0" w:line="17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website address is www.uscentury.com. Our electronic filings with the FDIC (prior to the bank holding company reorganization) and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FDIC or SEC. The information posted on our website is not incorporated into this Annual Report on Form 10-K. In addition, the FDIC and the SEC each maintain a website that contains reports and other information that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This section contains a description of the material risk and uncertainties identified by management that could, individually or in combination, harm our business, results of operations, liquidity and financial condition. The risks described below are not all inclusive. We may face other risks that are not presently known, or that we presently deem immaterial, which may also adversely affect our business, results of operations, liquidity and financial condition. If any of these known or unknown risks or uncertainties actually occur, our business, results of operations, liquidity and financial condition could be materially and adversely affected.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Our business is subject to a number of risks that could cause actual results to differ materially from those indicated by forward-looking statements made in this Form 10-K or presented elsewhere from time to time. These risks are discussed more fully in this Item 1A and include, without limitation, the following: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Business and Operations</w:t>
      </w:r>
    </w:p>
    <w:p>
      <w:pPr>
        <w:spacing w:after="0" w:line="157" w:lineRule="exact"/>
        <w:rPr>
          <w:sz w:val="20"/>
          <w:szCs w:val="20"/>
          <w:color w:val="auto"/>
        </w:rPr>
      </w:pPr>
    </w:p>
    <w:p>
      <w:pPr>
        <w:ind w:left="1180" w:right="699" w:hanging="261"/>
        <w:spacing w:after="0" w:line="292"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operations and lending activities are concentrated in South Florida, and we are more sensitive to adverse changes in the local economy than our more geographically diversified competitors.</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concentration of real estate loans in a limited market area exposes us to lending risks.</w:t>
      </w:r>
    </w:p>
    <w:p>
      <w:pPr>
        <w:spacing w:after="0" w:line="15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small- to medium-sized businesses to which we lend may have fewer resources to weather adverse business developments, which may impair a borrower's ability to repay a loan.</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Inflationary pressures and rising prices may affect our results of operations and financial condition.</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soundness of other financial institutions could adversely affect us.</w:t>
      </w:r>
    </w:p>
    <w:p>
      <w:pPr>
        <w:spacing w:after="0" w:line="159" w:lineRule="exact"/>
        <w:rPr>
          <w:rFonts w:ascii="Arial" w:cs="Arial" w:eastAsia="Arial" w:hAnsi="Arial"/>
          <w:sz w:val="14"/>
          <w:szCs w:val="14"/>
          <w:color w:val="auto"/>
        </w:rPr>
      </w:pPr>
    </w:p>
    <w:p>
      <w:pPr>
        <w:ind w:left="1180" w:right="639" w:hanging="261"/>
        <w:spacing w:after="0" w:line="292"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Insufficient liquidity could impair our ability to fund operations and jeopardize our financial condition, results of operations, growth and prospects.</w:t>
      </w:r>
    </w:p>
    <w:p>
      <w:pPr>
        <w:spacing w:after="0" w:line="109"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Significant changes to the size, structure, powers and operations of the federal government, changes to U.S. economic policies, and uncertainties regarding the potential for these changes may cause economic disruptions that could, in turn, adversely impact our business, results of operations and financial condition.</w:t>
      </w:r>
    </w:p>
    <w:p>
      <w:pPr>
        <w:spacing w:after="0" w:line="133"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lending business is subject to credit risk, which could lead to unexpected losses.</w:t>
      </w:r>
    </w:p>
    <w:p>
      <w:pPr>
        <w:spacing w:after="0" w:line="169" w:lineRule="exact"/>
        <w:rPr>
          <w:rFonts w:ascii="Arial" w:cs="Arial" w:eastAsia="Arial" w:hAnsi="Arial"/>
          <w:sz w:val="14"/>
          <w:szCs w:val="14"/>
          <w:color w:val="auto"/>
        </w:rPr>
      </w:pPr>
    </w:p>
    <w:p>
      <w:pPr>
        <w:ind w:left="1180" w:right="739" w:hanging="261"/>
        <w:spacing w:after="0" w:line="276"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Natural disasters and severe weather events in Florida could have a material adverse impact on our business, financial condition and operations.</w:t>
      </w:r>
    </w:p>
    <w:p>
      <w:pPr>
        <w:spacing w:after="0" w:line="109"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is subject to interest rate risk and variations in interest rates may materially and adversely affect our financial performance.</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allowance for credit losses may not be sufficient to absorb potential losses in our loan portfolio.</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commercial loan portfolio may expose us to increased credit risk.</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imposition of further limits by the bank regulators on commercial real estate lending activities could curtail our growth and adversely affect our earnings.</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SBA lending program depends on our status as a participant in the SBA's Preferred Lenders Program, and we face specific risks associated with originating SBA loans and selling the guaranteed portion thereof.</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SBA may not honor its guarantees if we do not originate loans in compliance with SBA guidelines.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Correspondent banking is an important part of our business, which creates increased BSA/AML risk.</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not recover all amounts that are contractually owed to us by our borrowers.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71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Non-performing assets take significant time to resolve and adversely affect our results of operations and financial condition, and could result in further losses in the future.</w:t>
      </w:r>
    </w:p>
    <w:p>
      <w:pPr>
        <w:spacing w:after="0" w:line="120"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engage in lending secured by real estate and may foreclose on the collateral and own the underlying real estate, subjecting us to the costs and potential risks associated with the ownership of real property and other risks, including exposure to environmental liability, or consumer protection initiatives or changes in state or federal law may substantially raise the cost of foreclosure or prevent us from foreclosing at all.</w:t>
      </w:r>
    </w:p>
    <w:p>
      <w:pPr>
        <w:spacing w:after="0" w:line="134"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are exposed to risk of environmental liability when we take title to property.</w:t>
      </w:r>
    </w:p>
    <w:p>
      <w:pPr>
        <w:spacing w:after="0" w:line="15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are subject to certain operational risks, including, but not limited to, customer, employee or third-party fraud and data processing system failures and errors.</w:t>
      </w:r>
    </w:p>
    <w:p>
      <w:pPr>
        <w:spacing w:after="0" w:line="120"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face significant operational risks because the nature of the financial services business involves a high volume of transactions.</w:t>
      </w:r>
    </w:p>
    <w:p>
      <w:pPr>
        <w:spacing w:after="0" w:line="9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have several large depositor relationships, the loss of which could force us to fund our business through more expensive and less stable sources.</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change in the Bank's ability to gather brokered deposits may adversely impact the Bank.</w:t>
      </w:r>
    </w:p>
    <w:p>
      <w:pPr>
        <w:spacing w:after="0" w:line="16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securities portfolio performance in difficult market conditions could have adverse effects on our results of operations.</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not effectively execute on our expansion strategy, which may adversely affect our ability to maintain our historical growth and earnings trends.</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New lines of business, products, product enhancements or services may subject us to additional risk.</w:t>
      </w:r>
    </w:p>
    <w:p>
      <w:pPr>
        <w:spacing w:after="0" w:line="15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needs and future growth may require us to raise additional capital and that capital may not be available on terms acceptable to us or may be dilutive to existing shareholders.</w:t>
      </w:r>
    </w:p>
    <w:p>
      <w:pPr>
        <w:spacing w:after="0" w:line="109"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33"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loss of one or more of our key personnel, or our failure to attract and retain other highly qualified personnel in the future, could harm our business.</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Damage to our reputation could significantly harm our businesses.</w:t>
      </w:r>
    </w:p>
    <w:p>
      <w:pPr>
        <w:spacing w:after="0" w:line="159" w:lineRule="exact"/>
        <w:rPr>
          <w:rFonts w:ascii="Arial" w:cs="Arial" w:eastAsia="Arial" w:hAnsi="Arial"/>
          <w:sz w:val="14"/>
          <w:szCs w:val="14"/>
          <w:color w:val="auto"/>
        </w:rPr>
      </w:pPr>
    </w:p>
    <w:p>
      <w:pPr>
        <w:ind w:left="1180" w:right="71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face strong competition from financial services companies and other companies that offer banking services, which could materially and adversely affect our business.</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must respond to rapid technological changes to remain competitive.</w:t>
      </w:r>
    </w:p>
    <w:p>
      <w:pPr>
        <w:spacing w:after="0" w:line="15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continually encounter technological change, and we may have fewer resources than many of our competitors to invest in technological improvements.</w:t>
      </w:r>
    </w:p>
    <w:p>
      <w:pPr>
        <w:spacing w:after="0" w:line="99" w:lineRule="exact"/>
        <w:rPr>
          <w:rFonts w:ascii="Arial" w:cs="Arial" w:eastAsia="Arial" w:hAnsi="Arial"/>
          <w:sz w:val="14"/>
          <w:szCs w:val="14"/>
          <w:color w:val="auto"/>
        </w:rPr>
      </w:pPr>
    </w:p>
    <w:p>
      <w:pPr>
        <w:ind w:left="1180" w:hanging="261"/>
        <w:spacing w:after="0"/>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current and future uses of artificial intelligence and other emerging technologies may create additional risks.</w:t>
      </w:r>
    </w:p>
    <w:p>
      <w:pPr>
        <w:spacing w:after="0" w:line="169"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17"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28" w:lineRule="exact"/>
        <w:rPr>
          <w:rFonts w:ascii="Arial" w:cs="Arial" w:eastAsia="Arial" w:hAnsi="Arial"/>
          <w:sz w:val="14"/>
          <w:szCs w:val="14"/>
          <w:color w:val="auto"/>
        </w:rPr>
      </w:pPr>
    </w:p>
    <w:p>
      <w:pPr>
        <w:jc w:val="both"/>
        <w:ind w:left="1180" w:right="699" w:hanging="261"/>
        <w:spacing w:after="0" w:line="315"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1180" w:right="67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of our directors may have conflicts of interest in determining whether to present business opportunities to us or another entity with which they are, or may become, affiliated.</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Tax, Accounting and Regulatory Compliance</w:t>
      </w:r>
    </w:p>
    <w:p>
      <w:pPr>
        <w:spacing w:after="0" w:line="168" w:lineRule="exact"/>
        <w:rPr>
          <w:sz w:val="20"/>
          <w:szCs w:val="20"/>
          <w:color w:val="auto"/>
        </w:rPr>
      </w:pPr>
    </w:p>
    <w:p>
      <w:pPr>
        <w:ind w:left="1180" w:right="67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recognize the benefits of our deferred tax assets is dependent on future cash flows and taxable income and may be materially impaired upon significant changes in ownership of our common stock.</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accuracy of our financial statements and related disclosures could be affected if the judgments, assumptions or estimates used in our critical accounting policies are inaccurate.</w:t>
      </w:r>
    </w:p>
    <w:p>
      <w:pPr>
        <w:spacing w:after="0" w:line="120" w:lineRule="exact"/>
        <w:rPr>
          <w:rFonts w:ascii="Arial" w:cs="Arial" w:eastAsia="Arial" w:hAnsi="Arial"/>
          <w:sz w:val="14"/>
          <w:szCs w:val="14"/>
          <w:color w:val="auto"/>
        </w:rPr>
      </w:pPr>
    </w:p>
    <w:p>
      <w:pPr>
        <w:jc w:val="both"/>
        <w:ind w:left="1180" w:right="679" w:hanging="261"/>
        <w:spacing w:after="0" w:line="251"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39"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17" w:lineRule="exact"/>
        <w:rPr>
          <w:rFonts w:ascii="Arial" w:cs="Arial" w:eastAsia="Arial" w:hAnsi="Arial"/>
          <w:sz w:val="14"/>
          <w:szCs w:val="14"/>
          <w:color w:val="auto"/>
        </w:rPr>
      </w:pPr>
    </w:p>
    <w:p>
      <w:pPr>
        <w:ind w:left="1180" w:right="65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face a risk of noncompliance with the Bank Secrecy Act and other anti-money laundering statutes and regulations and corresponding enforcement proceedings.</w:t>
      </w:r>
    </w:p>
    <w:p>
      <w:pPr>
        <w:spacing w:after="0" w:line="120"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17"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subject to capital adequacy requirements and may become subject to more stringent capital requirements, which could adversely affect our financial condition and operations.</w:t>
      </w:r>
    </w:p>
    <w:p>
      <w:pPr>
        <w:spacing w:after="0" w:line="109"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33"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17"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Climate change and related legislative and regulatory initiatives may materially affect our business and results of operations.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Class A Common Stock</w:t>
      </w:r>
    </w:p>
    <w:p>
      <w:pPr>
        <w:spacing w:after="0" w:line="168" w:lineRule="exact"/>
        <w:rPr>
          <w:sz w:val="20"/>
          <w:szCs w:val="20"/>
          <w:color w:val="auto"/>
        </w:rPr>
      </w:pPr>
    </w:p>
    <w:p>
      <w:pPr>
        <w:ind w:left="1180" w:hanging="261"/>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pay dividends is subject to restrictions.</w:t>
      </w:r>
    </w:p>
    <w:p>
      <w:pPr>
        <w:spacing w:after="0" w:line="169" w:lineRule="exact"/>
        <w:rPr>
          <w:rFonts w:ascii="Arial" w:cs="Arial" w:eastAsia="Arial" w:hAnsi="Arial"/>
          <w:sz w:val="14"/>
          <w:szCs w:val="14"/>
          <w:color w:val="auto"/>
        </w:rPr>
      </w:pPr>
    </w:p>
    <w:p>
      <w:pPr>
        <w:ind w:left="1180" w:right="63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fail to pay interest on or otherwise default on our subordinated notes, we will be prohibited from paying dividends or distributions on our Class A common stock.</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issue additional debt securities, which would be senior to our common stock and may cause the market price of our Class A common stock to decline.</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market price and trading volume of our Class A common stock may be volatile, which could result in rapid and substantial losses for our shareholders.</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are significant restrictions in our Articles of Incorporation that restrict the ability to sell our capital stock to shareholders that would own 4.95% or more of our stock, excluding our Significant Investors.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19" w:hanging="261"/>
        <w:spacing w:after="0" w:line="265"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17" w:lineRule="exact"/>
        <w:rPr>
          <w:rFonts w:ascii="Arial" w:cs="Arial" w:eastAsia="Arial" w:hAnsi="Arial"/>
          <w:sz w:val="14"/>
          <w:szCs w:val="14"/>
          <w:color w:val="auto"/>
        </w:rPr>
      </w:pPr>
    </w:p>
    <w:p>
      <w:pPr>
        <w:jc w:val="both"/>
        <w:ind w:left="1180" w:right="659" w:hanging="261"/>
        <w:spacing w:after="0" w:line="265"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existing investors that own a significant amount of our common stock whose individual interests may differ from yours.</w:t>
      </w:r>
    </w:p>
    <w:p>
      <w:pPr>
        <w:spacing w:after="0" w:line="10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Provisions in our governing documents and Florida law may have an anti-takeover effect and there are substantial regulatory limitations on changes of control of the Company.</w:t>
      </w:r>
    </w:p>
    <w:p>
      <w:pPr>
        <w:spacing w:after="0" w:line="11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Risks Related to our Business and Operations</w:t>
      </w:r>
    </w:p>
    <w:p>
      <w:pPr>
        <w:spacing w:after="0" w:line="161" w:lineRule="exact"/>
        <w:rPr>
          <w:sz w:val="20"/>
          <w:szCs w:val="20"/>
          <w:color w:val="auto"/>
        </w:rPr>
      </w:pPr>
    </w:p>
    <w:p>
      <w:pPr>
        <w:ind w:left="660" w:right="719" w:firstLine="256"/>
        <w:spacing w:after="0" w:line="285" w:lineRule="auto"/>
        <w:rPr>
          <w:sz w:val="20"/>
          <w:szCs w:val="20"/>
          <w:color w:val="auto"/>
        </w:rPr>
      </w:pPr>
      <w:r>
        <w:rPr>
          <w:rFonts w:ascii="Arial" w:cs="Arial" w:eastAsia="Arial" w:hAnsi="Arial"/>
          <w:sz w:val="14"/>
          <w:szCs w:val="14"/>
          <w:b w:val="1"/>
          <w:bCs w:val="1"/>
          <w:i w:val="1"/>
          <w:iCs w:val="1"/>
          <w:color w:val="auto"/>
        </w:rPr>
        <w:t>Our business operations and lending activities are concentrated in South Florida, and we are more sensitive to adverse changes in the local economy than our more geographically diversified competitors.</w:t>
      </w:r>
    </w:p>
    <w:p>
      <w:pPr>
        <w:spacing w:after="0" w:line="10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Unlike many of our larger competitors that maintain significant operations located outside of our market area, most of our customers are concentrated in South Florida. In addition, we have a high concentration of loans secured by real estate located in South Florida. Therefore, our success depends upon the general economic conditions in South Florida, which may differ from the economic conditions in other areas of the U.S. or the U.S. generally.</w:t>
      </w:r>
    </w:p>
    <w:p>
      <w:pPr>
        <w:spacing w:after="0" w:line="13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Our real estate collateral provides an alternate source of repayment in the event of default by the borrower; however, the value of the collateral may decline during the time the credit is outstanding. The concentration of our loans in the South Florida area subjects us to risk that a downturn in the local economy or recession in this area could result in a decrease in loan originations and increases in delinquencies and foreclosures, which would have a greater negative effect on us than if our lending were more geographically diversified. Additionally, the COVID-19 pandemic accelerated the adoption of remote work options, potentially influencing the long-term performance of office properties within our commercial real estate portfolio. If we are required to liquidate our real estate collateral securing a loan during a period of reduced real estate values to satisfy the debt, our earnings and capital could be adversely affected. Moreover, since a large portion of our loan portfolio is secured by properties located in South Florida, the occurrence of a natural disaster, such as a hurricane, or a man-made disaster could result in a decline in loan originations, a decline in the value or the destruction of mortgaged properties and an increase in the risk of delinquencies, foreclosures or loss on loans originated by us. We may suffer further losses due to the decline in the value of the properties underlying our mortgage loans, which would have an adverse impact on our results of operations and financial condition.</w:t>
      </w:r>
    </w:p>
    <w:p>
      <w:pPr>
        <w:spacing w:after="0" w:line="140"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A downturn in the local economy generally may lead to loan losses that are not offset by operations in other markets; it may also reduce the ability of our customers to grow or maintain their deposits with us. For these reasons, any regional or local economic downturn that affects South Florida, or existing or prospective borrowers or depositors in South Florida, could have a material adverse effect on our business, financial condition and results of operations.</w:t>
      </w:r>
    </w:p>
    <w:p>
      <w:pPr>
        <w:spacing w:after="0" w:line="137"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In addition, there are continuing concerns related to, among other things, the increasing level of U.S. government debt and fiscal actions that may be taken to address that debt, price fluctuations of key natural resources, inflation, the potential resurgence of economic and political tensions with China, the continuing war in Ukraine and the level of oil and natural gas prices due to, among other things, Russian supply disruptions resulting from the ongoing Ukrainian conflict,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concentration of real estate loans in a limited market area exposes us to lending risks.</w:t>
      </w:r>
    </w:p>
    <w:p>
      <w:pPr>
        <w:spacing w:after="0" w:line="16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December 31, 2025, approximately $1.55 billion, or 71.1%, of our total loan portfolio, was secured by real estate, in particular commercial real estate, most of which is located in our primary lending market area of the Miami metropolitan statistical area. Future declines in the real estate values in our primary lending market and surrounding markets could significantly impair the value of the particular real estate collateral securing our loans and our ability to sell the collateral upon foreclosure for an amount necessary to satisfy the borrower’s obligations to us. This could require increasing our allowance for credit losses to address the decrease in the value of the real estate securing our loans, which could have a material adverse effect on our business, financial condition, results of operations, and growth prospects.</w:t>
      </w:r>
    </w:p>
    <w:p>
      <w:pPr>
        <w:spacing w:after="0" w:line="130"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small- to medium-sized businesses to which we lend may have fewer resources to weather adverse business developments, which may impair a borrower's ability to repay a loan.</w:t>
      </w:r>
    </w:p>
    <w:p>
      <w:pPr>
        <w:spacing w:after="0" w:line="10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We target our business development and marketing strategies primarily to serve the banking and financial services needs of SMBs and the owners and operators of those businesses. SMBs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individually or in the aggregate, may impair their ability as a borrower to repay a loan. In addition, the success of SMBs often depends on the management skills, talents and efforts of a small group of key people, and the death, disability or resignation of one or more of these individuals could have an adverse impact on the business and its ability to repay its loan. If general economic conditions negatively impact the markets in which we operate or any of our borrowers otherwise are affected by adverse business developments, our SMB borrowers may be disproportionately affected and their ability to repay outstanding loans may be adversely affected, which could have a material adverse effect on our business, financial condition and results of operations.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Inflationary pressures and rising prices may affect our results of operations and financial condition.</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inflationary outlook in the United States remains uncertain. As of December 31, 2025, the consumer price index was 2.7% year-over-year. While this is a significant reduction to the rate of inflation experienced in 2023 and 2024, it is still above the FRB’s targeted rate. The risks to our business from inflation depend on the durability of the inflationary pressures in our markets. Although the FRB has reduced the federal funds rate three times in 2024, and further three times in 2025, no assurance can be given that it will continue to do so. At the end of January 2026, the FRB determined not to reduce the federal funds rate. The resurgence of elevated levels of inflation could lead the FRB to cease reducing its benchmark rate or potentially starting to increase it again which could, in turn, increase the borrowings costs of our customers, making it more difficult for them to repay their loans or other obligations. Elevated interest rates may be needed to tame inflationary price pressures, which could also push down asset prices, including collateral values, and weaken economic activity.</w:t>
      </w:r>
    </w:p>
    <w:p>
      <w:pPr>
        <w:spacing w:after="0" w:line="141" w:lineRule="exact"/>
        <w:rPr>
          <w:sz w:val="20"/>
          <w:szCs w:val="20"/>
          <w:color w:val="auto"/>
        </w:rPr>
      </w:pPr>
    </w:p>
    <w:p>
      <w:pPr>
        <w:ind w:left="660" w:right="659" w:firstLine="256"/>
        <w:spacing w:after="0" w:line="248" w:lineRule="auto"/>
        <w:rPr>
          <w:sz w:val="20"/>
          <w:szCs w:val="20"/>
          <w:color w:val="auto"/>
        </w:rPr>
      </w:pPr>
      <w:r>
        <w:rPr>
          <w:rFonts w:ascii="Arial" w:cs="Arial" w:eastAsia="Arial" w:hAnsi="Arial"/>
          <w:sz w:val="14"/>
          <w:szCs w:val="14"/>
          <w:color w:val="auto"/>
        </w:rPr>
        <w:t>As inflation increases and market interest rates rise the value of our investment securities, particularly those with longer maturities, decreases, although this effect can be less pronounced for floating-rate instruments. In addition, inflation generally increases the cost of goods and services we use in our business operations, such as electricity and other utilities, which increases our noninterest expenses. Also, a prolonged period of inflation could cause wages and other of our costs to increase, which could adversely affect our results of operations and financial condition. Furthermore, our customers are also affected by inflation and the rising costs of goods and services used in their households and businesses, which could have a negative impact on their ability to repay their loans with us. In addition, SMBs may be impacted more during periods of high inflation, as they are not able to leverage economics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soundness of other financial institutions could adversely affect us.</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Our ability to engage in routine funding and other transactions could be adversely affected by the actions and commercial soundness of other financial institutions. Financial services companies are interrelated as a result of trading, clearing, counterparty or other relationships. We have exposure to different industries and counterparties, and through transactions with counterparties in the financial services industry, including brokers and dealers, commercial banks, investment banks, and other institutional clients. Defaults by, or even rumors or questions about, one or more financial institutions or market utilities, or the financial services industry generally, may lead to market-wide liquidity problems, losses of depositor, creditor and counterparty confidence and losses or defaults by us or by other institutions. These losses or defaults could have a material adverse effect on our business, financial condition, results of operations and growth prospects. Additionally, if our competitors were extending credit on terms we found to pose excessive risks, or at interest rates which we believed did not warrant the credit exposure, we may not be able to maintain our business volume and could experience deteriorating financial performance.</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jc w:val="both"/>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Insufficient liquidity could impair our ability to fund operations and jeopardize our financial condition, results of operations, growth and prospects.</w:t>
      </w:r>
    </w:p>
    <w:p>
      <w:pPr>
        <w:spacing w:after="0" w:line="85"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Effective liquidity management is essential for the operation of our business. Although we have implemented strategies to maintain sufficient and diverse sources of funding to accommodate planned, as well as unanticipated, liquidity needs (including changes in assets, liabilities, and off-balance sheet commitments under various economic conditions), an inability to raise funds through deposits, borrowings, the sale of investment securities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disruption, a decrease in the borrowing capacity assigned to our pledged assets by our secured creditors, competition from other financial institutions which could drive up the costs of deposits or adverse regulatory action against us. Deterioration in economic conditions and the loss of confidence in financial institutions may increase our cost of funding and limit our access to some of our customary sources of liquidity, including, but not limited to, inter-bank borrowings and borrowings from the Federal Home Loan Bank of Atlanta, or the FHLB, and the Federal Reserve Bank of Atlanta. Our ability to acquire deposits or borrow could also be impaired by factors that are not specific to us, such as a severe disruption of the financial markets or negative views and expectations about the prospects for the financial services industry generally as a result of conditions faced by banking organizations in the domestic and international credit markets. Any decline in available funding or cost of liquidity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136"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Significant changes to the size, structure, powers and operations of the federal government, changes to U.S. economic policies, and uncertainties regarding the potential for these changes may cause economic disruptions that could, in turn, adversely impact our business, results of operations and financial condition.</w:t>
      </w:r>
    </w:p>
    <w:p>
      <w:pPr>
        <w:spacing w:after="0" w:line="118"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current U.S. administration has implemented significant changes in federal priorities and has taken steps to change the operations, structure, and policy focus of various federal agencies, as well as regulatory priorities, policy approaches and interpretations of existing laws by those federal agencies. For example, recent executive actions and proposed legislation has changed agency mandates, modified or reduced federal program funding, altered regulatory frameworks, or adjusted the size and composition of the federal workforce. Moreover, leadership transitions at key federal agencies have impacted or may impact rulemaking, supervision, enforcement, and examination priorities across the financial regulatory landscape. These developments in the federal government may have varying effects on the banking and financial services industry that are difficult to predict, which makes it difficult for us to anticipate and mitigate attendant risks. Compliance with changing federal and regulatory priorities could, among other things, increase the costs of operating our business, reduce the demand for our products and services, impact our ability to achieve our business goals, and increase our legal, operational and reputational risks, any or all of which could materially adversely affect our results of operations.</w:t>
      </w:r>
    </w:p>
    <w:p>
      <w:pPr>
        <w:spacing w:after="0" w:line="141"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The current U.S. administration also has implemented rapid shifts in macroeconomic policies, such as those relating to trade restrictions and tariffs, which have created significant uncertainties regarding U.S. economic growth, the potential for recession, and concerns over an increase in inflation. Slow economic growth, economic contraction or recession, or shifts in broader consumer and business trends would significantly impact our ability to originate loans, the ability of borrowers to repay loans, and the value of the collateral securing loans.</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Changes in U.S. immigration policies, particularly those that could lead to mass deportations, may disrupt key industries in our region such as construction and hospitality. These disruptions could exacerbate labor shortages, reduce productivity, and cause financial instability among affected businesses, impairing the repayment abilities of borrowers in these sectors.</w:t>
      </w:r>
    </w:p>
    <w:p>
      <w:pPr>
        <w:spacing w:after="0" w:line="118"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Other political and economic events within the U.S., including a contentious domestic political environment, changes in or disagreements over U.S. monetary policy and actions of the FRB, disagreements over long-term federal budget and deficit reduction plans, disagreements over or threats not to increase the U.S. government's borrowing limit (or "debt ceiling"), and risk of further downgrade of the ratings of U.S. government debt obligations, also may negatively impact financial markets and the U.S. economy.</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Further, the perception of the potential for additional significant changes in federal regulatory or economic policy has also increased uncertainty and may exacerbate declines in investor and consumer confidence, which in turn may adversely impact financial markets and the broader economy of the United States.</w:t>
      </w:r>
    </w:p>
    <w:p>
      <w:pPr>
        <w:spacing w:after="0" w:line="12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Regional business and economic conditions are a major driver of our results of operations. Difficult conditions in the regional’s business and economic environment, including those caused by the lack of stability and predictability of U.S.</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76" w:lineRule="auto"/>
        <w:rPr>
          <w:sz w:val="20"/>
          <w:szCs w:val="20"/>
          <w:color w:val="auto"/>
        </w:rPr>
      </w:pPr>
      <w:r>
        <w:rPr>
          <w:rFonts w:ascii="Arial" w:cs="Arial" w:eastAsia="Arial" w:hAnsi="Arial"/>
          <w:sz w:val="14"/>
          <w:szCs w:val="14"/>
          <w:color w:val="auto"/>
        </w:rPr>
        <w:t>policymaking, may materially adversely affect our operating expenses, the quality of our assets, credit losses, and the demand for our products and services.</w:t>
      </w:r>
    </w:p>
    <w:p>
      <w:pPr>
        <w:spacing w:after="0" w:line="120"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Regional business and economic conditions are a major driver of our results of operations. Difficult conditions in the regional business and economic environment, including those caused by the lack of stability and predictability of U.S. policymaking, may materially adversely affect our operating expenses, the quality of our assets, credit losses, and the demand for our products and services.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lending business is subject to credit risk, which could lead to unexpected losses.</w:t>
      </w:r>
    </w:p>
    <w:p>
      <w:pPr>
        <w:spacing w:after="0" w:line="157"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primary business involves making loans to customers. The business of lending is inherently risky because the principal or interest on the loan may not be repaid timely or at all or the value of any collateral securing the loan may be insufficient to cover our outstanding exposure. These risks may be affected by the strength or weakness of the particular borrower's business sector and local, regional and national market and economic conditions. Many of our loans are made to SMBs that may be less able to withstand competitive, economic and financial pressures than larger borrowers. Our risk management practices, such as monitoring the concentration of our loans within specific industries in which we lend and concentrations with individual borrowers or related borrowers, and our credit approval practices, may not adequately reduce credit risk. In addition, there are risks inherent in making any loan, including risks relating to proper loan underwriting, risks resulting from changes in economic and industry conditions, risks inherent in dealing with individual borrowers, including the risk that a borrower may not provide information to us about their business in a timely manner, may present inaccurate or incomplete information to us, may lack a U.S. credit history, or may leave the U.S. without fulfilling their loan obligations, leaving us with little recourse to them personally, and/or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for credit losses, each of which could adversely affect our net income. A failure to effectively manage credit risk associated with our loan portfolio could lead to unexpected losses and have a material adverse effect on our business, financial condition and results of operations.</w:t>
      </w:r>
    </w:p>
    <w:p>
      <w:pPr>
        <w:spacing w:after="0" w:line="151"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Natural disasters and severe weather events in Florida could have a material adverse impact on our business, financial condition and operations.</w:t>
      </w:r>
    </w:p>
    <w:p>
      <w:pPr>
        <w:spacing w:after="0" w:line="8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Our operations and our customer base are primarily located in South Florida. This region is vulnerable to natural disasters and severe weather events or acts of God, such as hurricanes or tropical storms, which can have a material adverse impact on our loan portfolio, our overall business, financial condition and operations, cause widespread property damage and have the potential to significantly depress the local economies in which we operate. Future adverse weather events in Florida could potentially result in extensive and costly property damage to businesses and residences, depress the value of property serving as collateral for our loans, force the relocation of residents, and significantly disrupt economic activity in the region.</w:t>
      </w:r>
    </w:p>
    <w:p>
      <w:pPr>
        <w:spacing w:after="0" w:line="13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cannot predict the extent of damage that may result from such adverse weather events, which will depend on a variety of factors that are beyond our control, including, but not limited to, the severity and duration of the event, the timing and level of government responsiveness, the pace of economic recovery and availability of insurance to cover losses. In addition, the nature, frequency and severity of these adverse weather events and other natural disasters may be exacerbated by climate change. If a significant adverse weather event or other natural disaster were to occur, it could have a materially adverse impact on our financial condition, results of operations and our business, as well as potentially increase our exposure to credit and liquidity risks.</w:t>
      </w:r>
    </w:p>
    <w:p>
      <w:pPr>
        <w:spacing w:after="0" w:line="140"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Our business is subject to interest rate risk, and variations in interest rates may materially and adversely affect our financial performance.</w:t>
      </w:r>
    </w:p>
    <w:p>
      <w:pPr>
        <w:spacing w:after="0" w:line="10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Changes in the interest rate environment may reduce our profits. It is expected that our primary source of income will continue to be from the differential or "spread" between the interest earned on loans, securities and other interest-earning assets, and the interest paid on deposits, borrowings and other interest-bearing liabilities. Net interest spreads are affected, in part, by the difference between the maturities and repricing characteristics of interest-earning assets and interest-bearing liabilities. Changes in market interest rates generally affect loan volume, loan yields, funding sources and funding costs. Our net interest spread depends on many factors that are partly or completely out of our control, including competition, general economic conditions, and federal economic monetary and fiscal policies, and in particular, the Federal Reserve's policy determinations with respect to interest rates.</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During 2022 and 2023, the Federal Open Market Committee (the “FOMC”) increased certain benchmark interest rates to reduce the rate of inflation to the extent necessary to reduce inflation to the target rate that the FOMC believes is appropriate. All of these increases were expressly made in response to inflationary pressures. However, In 2024, the FOMC decreased such benchmark rates three times followed in 2025 by three additional decreases totaling 0.75%. However, there can be no assurances as to any future FOMC action, including whether it continues to decrease the federal funds rate or implements increases. In late January 2026, the FOMC determined to not change the federal funds rate at 3.50% to 3.75%.</w:t>
      </w:r>
    </w:p>
    <w:p>
      <w:pPr>
        <w:spacing w:after="0" w:line="13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While an increase in interest rates may increase our weighted average loan yield, it may adversely affect the ability of certain borrowers with variable rate loans to pay the contractual interest and principal due to us. Following an increase in interest rates, our ability to maintain a positive net interest spread is dependent on our ability to increase our loan offering rates, replace loans that mature and repay or that prepay before maturity with new originations at higher rates, minimize increases on our deposit rates, and maintain an acceptable level and composition of funding. We cannot provide assurances that we will be able to increase our loan offering rates and continue to originate loans due to the competitive landscape in which we operate. Additionally, we cannot provide assurances that we can minimize the increases in our deposit rates while maintaining an acceptable level of deposits. Due to competitive pressures in 2023, we increased the rates paid on our interest-bearing deposits such that our weighted average cost of deposits increased from 0.62% for 2022 to 3.04% for 2023. However, in 2024 and 2025, in light of the FOMC’s actions to decrease the federal funds rate a total of six times, we decreased the rates paid on our interest-bearing deposits. As a result, while the overall cost of funds increased, as compared to 2022 and 2023, it increased at a slower pace when compared to the increase in the cost of deposits from 2022 to 2023. Finally, we cannot provide any assurances that we can maintain our current levels of noninterest-bearing deposits as customers continue seeking higher-yielding products due to the increased interest rates being paid on deposits currently, as compared to rates in early 2024 and 2023 and 2022.</w:t>
      </w:r>
    </w:p>
    <w:p>
      <w:pPr>
        <w:spacing w:after="0" w:line="149"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Accordingly, changes in levels of interest rates could materially and adversely affect our net interest margin, asset quality, loan origination volume, average loan portfolio balance, liquidity, and overall profitability.</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allowance for credit losses may not be sufficient to absorb potential losses in our loan portfolio.</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maintain an allowance for credit losses that represents management's judgment of probable losses and risks inherent in our loan portfolio. The level of the allowance reflects management's continuing evaluation of general economic conditions, present political and regulatory conditions, diversification and seasoning of the loan portfolio, historic loss experience, identified credit problems, delinquency levels and adequacy of collateral. Determining the appropriate level of our allowance for credit losses involves a degree of subjective judgment and requires management to make significant estimates of and assumptions regarding current credit risks and future trends, all of which may undergo material changes.</w:t>
      </w:r>
    </w:p>
    <w:p>
      <w:pPr>
        <w:spacing w:after="0" w:line="138"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Inaccurate management assumptions, deterioration of economic conditions affecting borrowers, new negative information regarding existing loans, identification of additional problem loans or deterioration of existing problem loans, and other factors (including third-party review and analysis), both within and outside of our control, may require us to increase our allowance for credit losses. In addition, our regulators, as an integral part of their periodic examinations, review our methodology for calculating, and the adequacy of, our allowance for credit losses and may direct us to make additions to the allowance based on their judgments about information available to them at the time of their examination. Further, if actual charge-offs in future periods exceed the amounts allocated to our allowance for credit losses, we may need additional provisions for credit losses to restore the adequacy of our allowance for credit losses. Finally, the measure of our allowance for credit losses depends on the adoption and interpretation of accounting standards. The Financial Accounting Standards Board, or FASB, issued a new credit impairment model, the Current Expected Credit Loss, or CECL model, which became applicable to us on January 1, 2023. CECL requires financial institutions to estimate and develop a provision for credit losses over the lifetime of the loan at origination, as opposed to reserving for incurred or probable losses up to the balance sheet date. Under the CECL model, expected credit deterioration will be reflected in the income statement in the period of origination or acquisition of a loan, with changes in expected credit losses due to further credit deterioration or improvement reflected in the periods in which the expectation changes. As a result of the initial implementation of CECL, we incurred as of January 1, 2023 a $1.1 million cumulative effect of the adoption of CECL. Moreover, the CECL model may create more volatility in our level of allowance for credit losses. If we are required to materially increase our level of allowance for credit losses for any reason, such increase could adversely affect our business, prospects, cash flow, liquidity, financial condition and results of operations.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commercial loan portfolio may expose us to increased credit risk.</w:t>
      </w:r>
    </w:p>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Commercial business and real estate loans generally have a higher risk of loss because loan balances are typically larger than residential real estate and consumer loans and repayment is usually dependent on cash flows from the borrower’s business or the property securing the loan. Our commercial business loans are primarily made to small business</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8" w:lineRule="auto"/>
        <w:rPr>
          <w:sz w:val="20"/>
          <w:szCs w:val="20"/>
          <w:color w:val="auto"/>
        </w:rPr>
      </w:pPr>
      <w:r>
        <w:rPr>
          <w:rFonts w:ascii="Arial" w:cs="Arial" w:eastAsia="Arial" w:hAnsi="Arial"/>
          <w:sz w:val="14"/>
          <w:szCs w:val="14"/>
          <w:color w:val="auto"/>
        </w:rPr>
        <w:t>and middle market customers. These loans typically involve repayment that depends upon income generated, or expected to be generated, by the property securing the loan and/or by the cash flow generated by the business borrower and may be adversely affected by changes in the economy or local market conditions. These loans expose a lender to the risk of having to liquidate the collateral securing these loans at times when there may be significant fluctuation of commercial real estate values or to the risk of inadequate cash flows to service the commercial loans. Unexpected deterioration in the credit quality of our commercial business and/or real estate loan portfolio could require us to increase our allowance for credit losses, which would reduce our profitability and could have an adverse effect on our business, financial condition, and results of operations.</w:t>
      </w:r>
    </w:p>
    <w:p>
      <w:pPr>
        <w:spacing w:after="0" w:line="141"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Commercial construction loans generally have a higher risk of loss due to the assumptions used to estimate the value of property at completion and the cost of the project, including interest. It can be difficult to accurately evaluate the total funds required to complete a project, and construction lending often involves the disbursement of substantial funds with repayment dependent, in large part, on the success of the ultimate project rather than the ability of a borrower or guarantor to repay the loan from sources other than the subject project. If the assumptions and estimates are inaccurate, the value of completed property may fall below the related loan amount. If we are forced to foreclose on a project prior to completion, we may be unable to recover the entire unpaid portion of the loan, which would lead to losses. In addition, we may be required to fund additional amounts to complete a project, incur taxes, maintenance and compliance costs for a foreclosed property and may have to hold the property for an indeterminate period of time, any of which could adversely affect our business, prospects, cash flow, liquidity, financial condition and results of operations.</w:t>
      </w:r>
    </w:p>
    <w:p>
      <w:pPr>
        <w:spacing w:after="0" w:line="141"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imposition of further limits by the bank regulators on commercial real estate lending activities could curtail our growth and adversely affect our earnings.</w:t>
      </w:r>
    </w:p>
    <w:p>
      <w:pPr>
        <w:spacing w:after="0" w:line="96" w:lineRule="exact"/>
        <w:rPr>
          <w:sz w:val="20"/>
          <w:szCs w:val="20"/>
          <w:color w:val="auto"/>
        </w:rPr>
      </w:pPr>
    </w:p>
    <w:p>
      <w:pPr>
        <w:ind w:left="660" w:right="639" w:firstLine="256"/>
        <w:spacing w:after="0" w:line="266" w:lineRule="auto"/>
        <w:rPr>
          <w:sz w:val="20"/>
          <w:szCs w:val="20"/>
          <w:color w:val="auto"/>
        </w:rPr>
      </w:pPr>
      <w:r>
        <w:rPr>
          <w:rFonts w:ascii="Arial" w:cs="Arial" w:eastAsia="Arial" w:hAnsi="Arial"/>
          <w:sz w:val="13"/>
          <w:szCs w:val="13"/>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Regulatory guidance on concentrations in commercial real estate lending provides that a bank’s commercial real estate lending exposure could receive increased supervisory scrutiny where total commercial real estate loans, including loans secured by multi-family residential properties, owner-occupied and nonowner-occupied investor real estate, and construction and land loans, represent 300% or more of an institution’s total risk-based capital, and the outstanding balance of the commercial real estate loan portfolio has increased by 50% or more during the preceding 36 months. At December 31, 2025, our total commercial investor real estate loans, including loans secured by apartment buildings, commercial real estate, and construction and land loans represented 370% of the Bank’s total risk-based capital. However, the growth in the commercial real estate portfolio did not exceed 50% over the preceding 36 months but it has exceeded the threshold in prior periods.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guide institutions in developing risk management practices and capital levels commensurate with the level and nature of real estate concentrations. Management has established a commercial real estate lending framework to monitor specific exposures and limits by types within the commercial real estate portfolio and takes appropriate actions, as necessary. While we believe we have implemented policies and procedures with respect to our commercial real estate loan portfolio consistent with this guidance, the FDIC, the Bank’s primary federal regulator, could require us to implement additional policies and procedures pursuant to their interpretation of the guidance that may result in additional costs to us. In addition, If the FDIC were to impose restrictions on the amount of commercial real estate loans we can hold in our portfolio, our earnings would be adversely affected.</w:t>
      </w:r>
    </w:p>
    <w:p>
      <w:pPr>
        <w:spacing w:after="0" w:line="289"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Our SBA lending program is dependent upon the federal government and our status as a participant in the SBA's Preferred Lenders Program, and we face specific risks associated with originating SBA loans and selling the guaranteed portion thereof.</w:t>
      </w:r>
    </w:p>
    <w:p>
      <w:pPr>
        <w:spacing w:after="0" w:line="11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We have been approved by the SBA to participate in the SBA's Preferred Lenders Program. As an SBA Preferred Lender, we enable our clients to obtain SBA loans without being subject to the potentially lengthy SBA approval process necessary for lenders that are not SBA Preferred Lenders.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Preferred Lender status. If we lose our status as an SBA Preferred Lender, we may lose some or all of our customers to lenders who are SBA Preferred Lenders, which could adversely affect our business, financial condition and results of operations.</w:t>
      </w:r>
    </w:p>
    <w:p>
      <w:pPr>
        <w:spacing w:after="0" w:line="141"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We generally sell the guaranteed portion of our SBA 7(a) loans in the secondary market. These sales have resulted in both premium income for us at the time of sale and created a stream of future servicing income. There can be no assurance</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that we will be able to continue originating these loans, that a secondary market for these loans will continue to exist or that we will continue to realize premiums upon the sale of the guaranteed portion of these loans. When we sell the guaranteed portion of our SBA 7(a) loans, we incur credit risk on the non-guaranteed portion of the loans, and if a customer defaults on the non-guaranteed portion of a loan, we share any loss and recovery related to the loan pro-rata with the SBA.</w:t>
      </w:r>
    </w:p>
    <w:p>
      <w:pPr>
        <w:spacing w:after="0" w:line="124"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especially our organization, changes in the laws, regulations and procedures applicable to SBA loans could adversely affect our ability to operate profitably. In addition, the aggregate amount of SBA 7(a) and 504 loan guarantees by the SBA must be approved each fiscal year by the federal government. We cannot predict the amount of SBA 7(a) loan guarantees in any given fiscal year. If the federal government were to reduce the amount of SBA loan guarantees, such reduction could adversely impact our SBA lending program, including making and selling the guaranteed portion of fewer SBA 7(a) and 504 loans.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 xml:space="preserve">The SBA may not honor its guarantees if we do not originate loans in compliance with SBA guidelines </w:t>
      </w:r>
      <w:r>
        <w:rPr>
          <w:rFonts w:ascii="Arial" w:cs="Arial" w:eastAsia="Arial" w:hAnsi="Arial"/>
          <w:sz w:val="14"/>
          <w:szCs w:val="14"/>
          <w:color w:val="auto"/>
        </w:rPr>
        <w:t>.</w:t>
      </w:r>
    </w:p>
    <w:p>
      <w:pPr>
        <w:spacing w:after="0" w:line="170"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SBA lending programs typically guarantee 75% of the principal on an underlying loan. If the SBA establishes that a loss on an SBA guaranteed loan is attributable to significant technical deficiencies in the manner in which the loan was originated, funded or serviced by us, the SBA may seek recovery of the principal loss related to the deficiency from us notwithstanding that a portion of the loan was guaranteed by the SBA, which could adversely affect our business, financial condition and results of operations. While we follow the SBA's underwriting guidelines, our ability to do so depends on the knowledge and diligence of our employees and the effectiveness of controls we have established. If our employees do not follow the SBA guidelines in originating loans and if our loan review and audit programs fail to identify and rectify such failures, the SBA may reduce or, in some cases, refuse to honor its guarantee obligations and we may incur losses as a result.</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Correspondent banking is an important part of our business, which creates increased BSA/AML risk.</w:t>
      </w:r>
    </w:p>
    <w:p>
      <w:pPr>
        <w:spacing w:after="0" w:line="168" w:lineRule="exact"/>
        <w:rPr>
          <w:sz w:val="20"/>
          <w:szCs w:val="20"/>
          <w:color w:val="auto"/>
        </w:rPr>
      </w:pPr>
    </w:p>
    <w:p>
      <w:pPr>
        <w:ind w:left="660" w:right="619" w:firstLine="256"/>
        <w:spacing w:after="0" w:line="246" w:lineRule="auto"/>
        <w:rPr>
          <w:sz w:val="20"/>
          <w:szCs w:val="20"/>
          <w:color w:val="auto"/>
        </w:rPr>
      </w:pPr>
      <w:r>
        <w:rPr>
          <w:rFonts w:ascii="Arial" w:cs="Arial" w:eastAsia="Arial" w:hAnsi="Arial"/>
          <w:sz w:val="14"/>
          <w:szCs w:val="14"/>
          <w:color w:val="auto"/>
        </w:rPr>
        <w:t>As our business model includes correspondent services to banks in Latin America and the Caribbean, these cross-border correspondent banking relationships pose unique risks because they create situations in which a U.S. financial institution will be handling funds from a financial institution in Latin America and the Caribbean whose customers may not be transparent to us. Moreover, many foreign financial institutions, including in Latin America and the Caribbean where our correspondent banking services are located, are not subject to the same or similar regulatory guidelines as U.S. banks. Accordingly, these foreign institutions may pose greater money laundering risk to their respective U.S. bank correspondent(s). Because of the large amount of funds, multiple transactions, and our potential lack of familiarity with a foreign correspondent financial institution's customers, these customers may be able to more easily conceal the source and use of illicit funds. Consequently, we may have a higher risk of non-compliance with the BSA and other anti-money laundering (“AML”) rules and regulations including the AML Act due to our correspondent banking relationships with foreign financial institutions. Additionally, international private banking places additional pressure on our policies, procedures and systems for complying with the BSA, and AML statutes and regulations as well as the recently enacted CTA. Our failure to strictly adhere to the terms and requirements of our OFAC license or our failure to adequately manage our BSA/AML compliance risk in light of our correspondent banking relationship with foreign financial institutions and international private banking could result in regulatory or other actions being taken against us, including the imposition of civil money penalties, formal agreements and cease and desist orders. Furthermore, failure to meet regulatory requirements could require us to incur additional significant costs in order to bring our BSA/AML processes and procedures into compliance, negatively impact our reputation, and have a material adverse effect on our business, financial condition and results of operations .</w:t>
      </w:r>
    </w:p>
    <w:p>
      <w:pPr>
        <w:spacing w:after="0" w:line="134"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recent years, sanctions that the regulators have imposed on banks that have not complied with all BSA and AML requirements have been especially severe. In order to comply with regulations, guidelines and examination procedures in this area, we have dedicated significant resources to our BSA/AML process and procedures. If our policies, procedures and systems are deemed deficient, we could be subject to liability, including fines and regulatory actions such as additional restrictions on our ability to pay dividends and the necessity to obtain regulatory approvals to proceed with certain aspects of our business plan, such as acquisitions.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may not recover all amounts that are contractually owed to us by our borrowers.</w:t>
      </w:r>
    </w:p>
    <w:p>
      <w:pPr>
        <w:spacing w:after="0" w:line="157"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We are dependent on the collection of loan principal, interest, and fees to partially fund our operations. A shortfall in collections and proceeds may impair our ability to fund our operations or to repay our existing debt.</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When we lend funds, commit to fund a loan or enter into a letter of credit or other credit-related contract with a counterparty, we incur credit risk. The credit quality of our portfolio can have a significant impact on our earnings. We expect to experience charge-offs and delinquencies on our loans in the future. Our customers' actual operating results may be worse than our underwriting contemplated when we originated the loans, and in these circumstances, we could incur substantial impairment or loss of the value on these loans. We may fail to identify problems because our customer did not report them in a timely manner or, even if the customer did report the problem, we may fail to address it quickly enough or at all, or some loans, due to market circumstances, may not be able to be fully rehabilitated. Even if customers provide us with full and accurate disclosure of all material information concerning their businesses, we may misinterpret or incorrectly analyze this information. Mistakes may cause us to make loans that we otherwise would not have made or to fund advances that we otherwise would not have funded, either of which could result in losses on loans, or necessitate that we significantly increase our allowance for loan and lease losses. As a result, we could suffer loan losses and have non-performing loans, which could have a material adverse effect on our net earnings and results of operations and financial condition, to the extent the losses exceed our allowance for loan and lease losses.</w:t>
      </w:r>
    </w:p>
    <w:p>
      <w:pPr>
        <w:spacing w:after="0" w:line="14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Some of our loans are secured by liens on specified collateral of the borrowers and we may not obtain or properly perfect our liens or the value of the collateral securing any particular loan may not be sufficient to protect us from suffering a partial or complete loss if the loan becomes non-performing and we proceed to foreclose on or repossess the collateral. With respect to loans that we originate for condominium or homeowners' associations (“Associations”), these loans are primarily secured by and rely upon the cash flow received by the Associations from payments received from their property owners, as well as cash on hand. These Associations rely upon payments received from their property owners in order to perform on these loans and for the loan collateral. Accordingly, our ability to recover amounts on non-performing loans made to Associations is dependent upon the Association having sufficient cash on hand for repayment of the loan and/or having the ability to impose assessments on its property owners, some of whom may not have the ability to pay such assessments. In such events, we could suffer loan losses, which could have a material adverse effect on our net earnings, allowance for loan and lease losses, financial condition, and results of operations.</w:t>
      </w:r>
    </w:p>
    <w:p>
      <w:pPr>
        <w:spacing w:after="0" w:line="143"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Non-performing assets take significant time to resolve and adversely affect our results of operations and financial condition, and could result in further losses in the future.</w:t>
      </w:r>
    </w:p>
    <w:p>
      <w:pPr>
        <w:spacing w:after="0" w:line="9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Non-performing assets adversely affect our net income in various ways. We do not record interest income on nonaccrual loans or other real estate owned (“OREO”),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Non-performing loans and OREO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In addition, there are legal fees associated with the resolution of problem assets as well as carrying costs such as taxes, insurance, and maintenance related to OREO.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35" w:lineRule="exact"/>
        <w:rPr>
          <w:sz w:val="20"/>
          <w:szCs w:val="20"/>
          <w:color w:val="auto"/>
        </w:rPr>
      </w:pPr>
    </w:p>
    <w:p>
      <w:pPr>
        <w:jc w:val="both"/>
        <w:ind w:left="660" w:right="699" w:firstLine="256"/>
        <w:spacing w:after="0" w:line="264" w:lineRule="auto"/>
        <w:rPr>
          <w:sz w:val="20"/>
          <w:szCs w:val="20"/>
          <w:color w:val="auto"/>
        </w:rPr>
      </w:pPr>
      <w:r>
        <w:rPr>
          <w:rFonts w:ascii="Arial" w:cs="Arial" w:eastAsia="Arial" w:hAnsi="Arial"/>
          <w:sz w:val="14"/>
          <w:szCs w:val="14"/>
          <w:b w:val="1"/>
          <w:bCs w:val="1"/>
          <w:i w:val="1"/>
          <w:iCs w:val="1"/>
          <w:color w:val="auto"/>
        </w:rPr>
        <w:t>We engage in lending secured by real estate and may foreclose on the collateral and own the underlying real estate, subjecting us to the costs and potential risks associated with the ownership of real property, including exposure to environmental liability, or consumer protection initiatives or changes in state or federal law may substantially raise the cost of foreclosure or prevent us from foreclosing at all.</w:t>
      </w:r>
    </w:p>
    <w:p>
      <w:pPr>
        <w:spacing w:after="0" w:line="111"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Since we originate loans secured by real estate, we may have to foreclose on the collateral property to recover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various assessments relating to the ownership of the property,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Additionally, consumer protection initiatives or changes in state or federal law may substantially increase the time and expenses associated with the residential foreclosure process or prevent us from foreclosing at all. A number of states in recent years have either considered or adopted foreclosure reform laws that make it substantially more difficult and expensive for lenders to foreclose on residential properties in default. Furthermore, federal regulators have prosecuted a number of mortgage servicing companies for alleged consumer law violations. If new state or federal laws or regulations</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are ultimately enacted that significantly raise the cost of residential foreclosures or raise outright barriers, they could have an adverse effect on our business, financial condition, and results of operations.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exposed to risk of environmental liability when we take title to property.</w:t>
      </w:r>
    </w:p>
    <w:p>
      <w:pPr>
        <w:spacing w:after="0" w:line="157" w:lineRule="exact"/>
        <w:rPr>
          <w:sz w:val="20"/>
          <w:szCs w:val="20"/>
          <w:color w:val="auto"/>
        </w:rPr>
      </w:pPr>
    </w:p>
    <w:p>
      <w:pPr>
        <w:jc w:val="both"/>
        <w:ind w:left="660" w:right="679" w:firstLine="256"/>
        <w:spacing w:after="0" w:line="271" w:lineRule="auto"/>
        <w:rPr>
          <w:sz w:val="20"/>
          <w:szCs w:val="20"/>
          <w:color w:val="auto"/>
        </w:rPr>
      </w:pPr>
      <w:r>
        <w:rPr>
          <w:rFonts w:ascii="Arial" w:cs="Arial" w:eastAsia="Arial" w:hAnsi="Arial"/>
          <w:sz w:val="13"/>
          <w:szCs w:val="13"/>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and results of operations could be adversely affecte d.</w:t>
      </w:r>
    </w:p>
    <w:p>
      <w:pPr>
        <w:spacing w:after="0" w:line="117" w:lineRule="exact"/>
        <w:rPr>
          <w:sz w:val="20"/>
          <w:szCs w:val="20"/>
          <w:color w:val="auto"/>
        </w:rPr>
      </w:pPr>
    </w:p>
    <w:p>
      <w:pPr>
        <w:ind w:left="660" w:right="739" w:firstLine="256"/>
        <w:spacing w:after="0" w:line="285" w:lineRule="auto"/>
        <w:rPr>
          <w:sz w:val="20"/>
          <w:szCs w:val="20"/>
          <w:color w:val="auto"/>
        </w:rPr>
      </w:pPr>
      <w:r>
        <w:rPr>
          <w:rFonts w:ascii="Arial" w:cs="Arial" w:eastAsia="Arial" w:hAnsi="Arial"/>
          <w:sz w:val="14"/>
          <w:szCs w:val="14"/>
          <w:b w:val="1"/>
          <w:bCs w:val="1"/>
          <w:i w:val="1"/>
          <w:iCs w:val="1"/>
          <w:color w:val="auto"/>
        </w:rPr>
        <w:t>We are subject to certain operational risks, including, but not limited to, customer, employee or third-party fraud and data processing system failures and errors.</w:t>
      </w:r>
    </w:p>
    <w:p>
      <w:pPr>
        <w:spacing w:after="0" w:line="10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14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We have implemented a system of internal controls designed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 internal controls fail to prevent or detect an occurrence, or if any resulting loss is not insured or exceeds applicable insurance limits, it could adversely affect our business, prospects, cash flow, liquidity, financial condition and results of operations.</w:t>
      </w:r>
    </w:p>
    <w:p>
      <w:pPr>
        <w:spacing w:after="0" w:line="140"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We also rely on the integrity and security of a variety of third party processors, payment, clearing and settlement systems, as well as the various participants involved in these systems, many of which have no direct relationship with us. Failure by these participants or their systems to protect our customers' transaction data may put us at risk for possible losses due to fraud or operational disruption. At the date of this Annual Report Form 10-K, there is no knowledge or indication that customer sensitive information was compromised as a result of third parties system vulnerabilities, but management continues to monitor developments and vendor communications.</w:t>
      </w:r>
    </w:p>
    <w:p>
      <w:pPr>
        <w:spacing w:after="0" w:line="13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When we originate loans, we rely heavily upon information supplied by third parties, including the information contained in credit applications, property appraisals, title information, equipment pricing and valuation and employment and income documentation, in deciding which loans we will originate, as well as the terms of those loans. If any of the information upon which we rely is misrepresented, either fraudulently or inadvertently, and the misrepresentation is not detected prior to funding, the value of the loan may be significantly lower than expected, or we may fund a loan that we would not have funded or on terms that do not comply with our general underwriting standards. Whether a misrepresentation is made by the applicant, the borrower, one of our employees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41" w:lineRule="exact"/>
        <w:rPr>
          <w:sz w:val="20"/>
          <w:szCs w:val="20"/>
          <w:color w:val="auto"/>
        </w:rPr>
      </w:pPr>
    </w:p>
    <w:p>
      <w:pPr>
        <w:ind w:left="660" w:right="699" w:firstLine="256"/>
        <w:spacing w:after="0" w:line="288" w:lineRule="auto"/>
        <w:rPr>
          <w:sz w:val="20"/>
          <w:szCs w:val="20"/>
          <w:color w:val="auto"/>
        </w:rPr>
      </w:pPr>
      <w:r>
        <w:rPr>
          <w:rFonts w:ascii="Arial" w:cs="Arial" w:eastAsia="Arial" w:hAnsi="Arial"/>
          <w:sz w:val="14"/>
          <w:szCs w:val="14"/>
          <w:b w:val="1"/>
          <w:bCs w:val="1"/>
          <w:color w:val="auto"/>
        </w:rPr>
        <w:t>We face significant operational risks because the nature of the financial services business involves a high volume of transactions</w:t>
      </w:r>
      <w:r>
        <w:rPr>
          <w:rFonts w:ascii="Arial" w:cs="Arial" w:eastAsia="Arial" w:hAnsi="Arial"/>
          <w:sz w:val="14"/>
          <w:szCs w:val="14"/>
          <w:i w:val="1"/>
          <w:iCs w:val="1"/>
          <w:color w:val="auto"/>
        </w:rPr>
        <w:t>.</w:t>
      </w:r>
    </w:p>
    <w:p>
      <w:pPr>
        <w:spacing w:after="0" w:line="104"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We operate in diverse markets and rely on the ability of our employees and systems to process a high number of transactions. Operational risk is the risk of loss resulting from our operations, including but not limited to, the risk of fraud by employees or persons outside the Company, the execution of unauthorized transactions by employees, errors relating to transaction processing and technology, breaches of our internal control systems and compliance requirements. Insurance coverage may not be available for such losses, or where available, such losses may exceed insurance limits. This risk of loss also includes potential legal actions that could arise as a result of operational deficiencies or as a result of non-compliance with applicable regulatory standards, adverse business decisions or their implementation, or customer attrition</w:t>
      </w:r>
    </w:p>
    <w:p>
      <w:pPr>
        <w:spacing w:after="0" w:line="3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315" w:lineRule="auto"/>
        <w:rPr>
          <w:sz w:val="20"/>
          <w:szCs w:val="20"/>
          <w:color w:val="auto"/>
        </w:rPr>
      </w:pPr>
      <w:r>
        <w:rPr>
          <w:rFonts w:ascii="Arial" w:cs="Arial" w:eastAsia="Arial" w:hAnsi="Arial"/>
          <w:sz w:val="13"/>
          <w:szCs w:val="13"/>
          <w:color w:val="auto"/>
        </w:rPr>
        <w:t>due to potential adverse publicity. In the event of a breakdown in our internal control systems, improper operation of systems or improper employee actions, we could suffer financial loss, face regulatory action, and/or suffer damage to our reputation.</w:t>
      </w:r>
    </w:p>
    <w:p>
      <w:pPr>
        <w:spacing w:after="0" w:line="100"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We have several large depositor relationships, the loss of which could force us to fund our business through more expensive and less stable sources.</w:t>
      </w:r>
    </w:p>
    <w:p>
      <w:pPr>
        <w:spacing w:after="0" w:line="106" w:lineRule="exact"/>
        <w:rPr>
          <w:sz w:val="20"/>
          <w:szCs w:val="20"/>
          <w:color w:val="auto"/>
        </w:rPr>
      </w:pPr>
    </w:p>
    <w:p>
      <w:pPr>
        <w:ind w:left="660" w:right="619" w:firstLine="256"/>
        <w:spacing w:after="0" w:line="250" w:lineRule="auto"/>
        <w:rPr>
          <w:sz w:val="20"/>
          <w:szCs w:val="20"/>
          <w:color w:val="auto"/>
        </w:rPr>
      </w:pPr>
      <w:r>
        <w:rPr>
          <w:rFonts w:ascii="Arial" w:cs="Arial" w:eastAsia="Arial" w:hAnsi="Arial"/>
          <w:sz w:val="14"/>
          <w:szCs w:val="14"/>
          <w:color w:val="auto"/>
        </w:rPr>
        <w:t>Withdrawals of deposits by any one of our largest depositors could force us to rely more heavily on more expensive and less stable funding sources. Consequently, the occurrence of such event could have a material adverse effect on our business, financial condition and results of operations. At December 31, 2025, our top 10 depositors held 15.5% of our total deposit portfolio. As of December 31, 2025, 49% of our deposits are estimated to be FDIC-insured. At such date, our public funds are 7% of total deposits and are partially collateralized. The estimated average account size of our deposit portfolio is $113 thousand as of December 31, 2025. In addition, the Bank was considered a “well capitalized” institution as of December 31, 2025 and 2024.</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Any change in the Bank's ability to gather brokered deposits may adversely impact the Bank.</w:t>
      </w:r>
    </w:p>
    <w:p>
      <w:pPr>
        <w:spacing w:after="0" w:line="157"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Failure to maintain the Bank's status as a "well capitalized" institution could have an adverse effect on us, and our ability to fund our operations. The Bank uses brokered deposits to assist in funding its loan and other financing products. As of December 31, 2025, 11% of our total deposits consisted of brokered deposits. Should the Bank ever fail to be well capitalized in the future as a result of not meeting the well capitalized requirements or the imposition of an individual minimum capital requirement or similar formal requirement, then, the Bank would be prohibited, absent waiver from the FDIC, from utilizing brokered deposits (i.e., no insured depository institution that is deemed to be less than "well capitalized" may accept, renew or rollover brokered deposits absent a waiver from the FDIC). In such event, such a result could produce material adverse consequences for the Bank with respect to liquidity and could also have material adverse effects on our financial condition and results of operations. Further, depending on the Bank's condition in the future and its reliance on these deposits as a source of funding, the FDIC could increase the surcharge on our brokered deposits. If we are ever required to pay higher surcharge assessments with respect to these deposits, such payments could be material and therefore could have a material adverse effect on our financial condition and results of operations. In addition, changes to FDIC regulations regarding brokered deposits or interpretations of such regulations by federal banking agencies could have an adverse impact on the Bank’s ability to accept brokered deposits. Additionally, brokered deposits are highly sensitive to changes in interest rates and, accordingly, can be a more volatile source of funding. Use of brokered deposits involves the risk that growth supported by such deposits would be halted, or the Bank’s liquidity adversely impacted, if the rates offered by the Bank were less than those offered by other institutions seeking such deposits, or if depositors were to perceive a decline in the Bank’s safety and soundness, or both.</w:t>
      </w:r>
    </w:p>
    <w:p>
      <w:pPr>
        <w:spacing w:after="0" w:line="136" w:lineRule="exact"/>
        <w:rPr>
          <w:sz w:val="20"/>
          <w:szCs w:val="20"/>
          <w:color w:val="auto"/>
        </w:rPr>
      </w:pPr>
    </w:p>
    <w:p>
      <w:pPr>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Our securities portfolio performance in difficult market conditions could have adverse effects on our results of operations</w:t>
      </w:r>
      <w:r>
        <w:rPr>
          <w:rFonts w:ascii="Arial" w:cs="Arial" w:eastAsia="Arial" w:hAnsi="Arial"/>
          <w:sz w:val="14"/>
          <w:szCs w:val="14"/>
          <w:b w:val="1"/>
          <w:bCs w:val="1"/>
          <w:color w:val="auto"/>
        </w:rPr>
        <w:t>.</w:t>
      </w:r>
    </w:p>
    <w:p>
      <w:pPr>
        <w:spacing w:after="0" w:line="96" w:lineRule="exact"/>
        <w:rPr>
          <w:sz w:val="20"/>
          <w:szCs w:val="20"/>
          <w:color w:val="auto"/>
        </w:rPr>
      </w:pPr>
    </w:p>
    <w:p>
      <w:pPr>
        <w:jc w:val="both"/>
        <w:ind w:left="660" w:right="619" w:firstLine="256"/>
        <w:spacing w:after="0" w:line="248" w:lineRule="auto"/>
        <w:rPr>
          <w:sz w:val="20"/>
          <w:szCs w:val="20"/>
          <w:color w:val="auto"/>
        </w:rPr>
      </w:pPr>
      <w:r>
        <w:rPr>
          <w:rFonts w:ascii="Arial" w:cs="Arial" w:eastAsia="Arial" w:hAnsi="Arial"/>
          <w:sz w:val="14"/>
          <w:szCs w:val="14"/>
          <w:color w:val="auto"/>
        </w:rPr>
        <w:t>Unrealized losses on investment securities result from changes in credit spreads and liquidity issues in the marketplace, along with changes in the credit profile of individual securities issuers. Under GAAP, we are required to review our investment portfolio periodically for the presence of credit losses of our securities, taking into consideration current and future market conditions, the extent and nature of changes in fair value, issuer rating changes and trends, volatility of earnings, current analysts’ evaluations, our ability and intent to hold investments until a recovery of fair value, as well as other factors. Adverse developments with respect to one or more of the foregoing factors may require us to deem particular securities to be impaired, with the credit-related portion of the reduction in the value recognized as a charge to our earnings through an allowance. Subsequent valuations, in light of factors prevailing at that time, may result in significant changes in the values of these securities in future periods. Any of these factors could require us to recognize further impairments in the value of our securities portfolio, which may have an adverse effect on our results of operations in future periods.</w:t>
      </w:r>
    </w:p>
    <w:p>
      <w:pPr>
        <w:spacing w:after="0" w:line="131"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We may not effectively execute on our expansion strategy, which may adversely affect our ability to maintain our historical growth and earnings trends.</w:t>
      </w:r>
    </w:p>
    <w:p>
      <w:pPr>
        <w:spacing w:after="0" w:line="85"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Our primary expansion strategy focuses on organic growth, supplemented by potential acquisitions of financial institutions and banking teams; however, we may not be able to successfully execute on these aspects of our expansion strategy, which may cause our future growth rate to decline below our recent historical levels, or may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restrict the growth of our operations. Further, we may be unable to attract and retain experienced bankers, which could adversely affect our growth. The success of our strategy also depends on our ability to manage our growth effectively, which in turn depends on a number of factors, including our ability to adapt our credit, operational, technology, risk management, internal controls and governance</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infrastructure to accommodate expanded operations. Even if we are successful in continuing our growth, such growth may not offer the same levels of potential profitability, and we may not be successful in controlling costs and maintaining asset quality in the face of that growth. Accordingly, our inability to maintain growth or to effectively manage growth could have an adverse effect on our business, financial condition and results of operations.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New lines of business, products, product enhancements or services may subject us to additional risk.</w:t>
      </w:r>
    </w:p>
    <w:p>
      <w:pPr>
        <w:spacing w:after="0" w:line="168"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compliance with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develop and implement new lines of business or offerings of new products, product enhancements or services could have an adverse effect on our business, financial condition and results of operations and could subject us to new and unanticipated operational, credit, regulatory and reputational risks, among other risks.</w:t>
      </w:r>
    </w:p>
    <w:p>
      <w:pPr>
        <w:spacing w:after="0" w:line="136" w:lineRule="exact"/>
        <w:rPr>
          <w:sz w:val="20"/>
          <w:szCs w:val="20"/>
          <w:color w:val="auto"/>
        </w:rPr>
      </w:pPr>
    </w:p>
    <w:p>
      <w:pPr>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Our business needs and future growth may require us to raise additional capital and that capital may not be available on terms acceptable to us or may be dilutive to existing shareholders.</w:t>
      </w:r>
    </w:p>
    <w:p>
      <w:pPr>
        <w:spacing w:after="0" w:line="106"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We believe that we have sufficient capital to meet our capital needs for our current growth plans. However, we expect that we would need to raise additional capital, in the form of debt or equity securities, in the future to have sufficient capital resources to meet our longer-term growth plans, and/or if the quality of our assets or earnings were to deteriorate significantly. In addition, we are required by federal regulatory authorities to maintain adequate levels of capital to support our operations.</w:t>
      </w:r>
    </w:p>
    <w:p>
      <w:pPr>
        <w:spacing w:after="0" w:line="14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Further, if we need to raise capital in the future, we may have to do so when many other financial institutions are also seeking to raise capital and would then have to compete with those institutions for investors. Any inability to raise capital on acceptable terms when needed may cause us to either issue additional shares of common stock or other securities on less than desirable terms or reduce our rate of growth until market conditions become more favorable. If any of such events occur, they could have a material adverse effect on our business, financial condition and results of operations and could be dilutive to both tangible book value and our share price.</w:t>
      </w:r>
    </w:p>
    <w:p>
      <w:pPr>
        <w:spacing w:after="0" w:line="129"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Federal law requires that a holding company act as a source of financial and managerial strength to its subsidiary bank and to commit resources to support such subsidiary bank. Under the “source of strength” doctrine, the Federal Reserve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 be required to attempt to borrow the funds or raise capital. Thus, any borrowing that must be done by the Company to make a required capital injection becomes more difficult and expensive and could have an adverse effect on our business, financial condition and results of operations. Moreover, it is possible that we will be unable to borrow funds or otherwise raise capital at a time when it is needed. 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133"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1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As part of our growth strategy, we may pursue mergers and acquisitions of banks and non-bank financial services companies within or outside our principal market areas that fit within the mission-driven values of our franchise and that we</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49" w:lineRule="auto"/>
        <w:rPr>
          <w:sz w:val="20"/>
          <w:szCs w:val="20"/>
          <w:color w:val="auto"/>
        </w:rPr>
      </w:pPr>
      <w:r>
        <w:rPr>
          <w:rFonts w:ascii="Arial" w:cs="Arial" w:eastAsia="Arial" w:hAnsi="Arial"/>
          <w:sz w:val="14"/>
          <w:szCs w:val="14"/>
          <w:color w:val="auto"/>
        </w:rPr>
        <w:t>believe support our business and make financial and strategic sense. We may have difficulty identifying suitable acquisition candidates or executing on acquisitions that we pursue, and we may not realize the anticipated benefits of any transactions we complete. Additionally, for any opportunistic acquisition we were to consider, we expect to face significant competition from numerous other financial services institutions, many of which will have greater financial resources than we do. Accordingly, attractive opportunistic acquisitions may not be available to us. There can be no assurance that we will be successful in identifying or completing any future acquisitions.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Mergers and acquisitions involve numerous risks, any of which could harm our business, including:</w:t>
      </w:r>
    </w:p>
    <w:p>
      <w:pPr>
        <w:spacing w:after="0" w:line="170" w:lineRule="exact"/>
        <w:rPr>
          <w:sz w:val="20"/>
          <w:szCs w:val="20"/>
          <w:color w:val="auto"/>
        </w:rPr>
      </w:pPr>
    </w:p>
    <w:p>
      <w:pPr>
        <w:ind w:left="1180" w:right="699" w:hanging="261"/>
        <w:spacing w:after="0" w:line="249"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that expected benefits may not materialize in the time frame expected or at all, or may be more costly to achieve, or that the acquired business will not perform to our expectations;</w:t>
      </w:r>
    </w:p>
    <w:p>
      <w:pPr>
        <w:jc w:val="both"/>
        <w:ind w:left="1180" w:right="679" w:hanging="261"/>
        <w:spacing w:after="0" w:line="249"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time, expense and difficulties in integrating the operations, management, products and services, technologies, existing contracts, accounting processes and personnel of the target and realizing the anticipated synergies of the combined businesses;</w:t>
      </w:r>
    </w:p>
    <w:p>
      <w:pPr>
        <w:jc w:val="both"/>
        <w:ind w:left="1180" w:right="679" w:hanging="261"/>
        <w:spacing w:after="0" w:line="238"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incurring the time and expense associated with identifying and evaluating potential acquisitions and merger partners and negotiating potential transactions, resulting in management’s attention being diverted from the operation of our existing business;</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difficulties in supporting and transitioning customers of the target and disruption of our ongoing banking business;</w:t>
      </w:r>
    </w:p>
    <w:p>
      <w:pPr>
        <w:spacing w:after="0" w:line="9" w:lineRule="exact"/>
        <w:rPr>
          <w:rFonts w:ascii="Arial" w:cs="Arial" w:eastAsia="Arial" w:hAnsi="Arial"/>
          <w:sz w:val="14"/>
          <w:szCs w:val="14"/>
          <w:color w:val="auto"/>
        </w:rPr>
      </w:pPr>
    </w:p>
    <w:p>
      <w:pPr>
        <w:ind w:left="1180" w:right="699" w:hanging="261"/>
        <w:spacing w:after="0" w:line="246"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price we pay or other resources that we devote may exceed the value we realize, or the value we could have realized if we had allocated the purchase consideration or other resources to another opportunity;</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entering new markets or areas in which we have limited or no experience;</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that our culture is disrupted as a result of an acquisition;</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potential loss of key personnel and customers from either our business or the target’s business;</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assumption of unanticipated problems, claims or other liabilities of the acquired business;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 inability to realize expected synergies or returns on investment;</w:t>
      </w:r>
    </w:p>
    <w:p>
      <w:pPr>
        <w:jc w:val="both"/>
        <w:ind w:left="1180" w:right="679" w:hanging="261"/>
        <w:spacing w:after="0" w:line="244"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of regulatory approval for the acquisition being delayed, impeded, restrictively conditioned, including the requirement to divest various activities, or denied due to existing or new regulatory issues surrounding us, the target institution or the proposed combined entity and the possibility that any such issues associated with the target institution, of which we may or may not be aware at the time of the acquisition, could adversely impact the combined entity after completion of the acquisition;</w:t>
      </w:r>
    </w:p>
    <w:p>
      <w:pPr>
        <w:spacing w:after="0" w:line="3"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possibility that the acquisition may not be timely completed, if at all;</w:t>
      </w: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need to raise capital; and</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inability to generate sufficient revenue to offset acquisition costs.</w:t>
      </w:r>
    </w:p>
    <w:p>
      <w:pPr>
        <w:spacing w:after="0" w:line="145"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Any acquisition activities we engage in could require us to use a substantial amount of cash, other liquid assets, and/or incur debt. Also, if we finance acquisitions by issuing equity securities, our existing shareholders’ ownership may be diluted, which could negatively affect the market price of our Class A common stock. Additionally, if the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 Acquisitions may also involve the payment of a premium over book and market values and, therefore, some dilution of our tangible book value and net income per common share may occur in connection with any future transaction.</w:t>
      </w:r>
    </w:p>
    <w:p>
      <w:pPr>
        <w:spacing w:after="0" w:line="141"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a result, we may not achieve the anticipated benefits of any such merger or acquisition, and we may incur costs in excess of what we anticipate. Our failure to successfully evaluate and execute mergers, acquisitions or investments or otherwise adequately address and manage the risks associated with such transactions could have a material adverse effect on our business, results of operations and financial condition, including short-term and long-term liquidity.</w:t>
      </w:r>
    </w:p>
    <w:p>
      <w:pPr>
        <w:spacing w:after="0" w:line="137"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loss of one or more of our key personnel, or our failure to attract and retain other highly qualified personnel in the future, could harm our business.</w:t>
      </w:r>
    </w:p>
    <w:p>
      <w:pPr>
        <w:spacing w:after="0" w:line="10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Our future success will, to some extent, depend on the continued service of our directors, executive officers and senior management team. The loss of the services of any of these individuals could have a significant adverse effect on our business. In particular, we believe that retaining Luis de la Aguilera, our Chairman, President and Chief Executive Officer, Robert Anderson, our Chief Financial Officer, Nicholas Bustle, our Chief Lending Officer, and William Turner, our Chief Credit Officer, is important to our continuing success. Although we have entered into employment or change-in-control agreements with certain members of our executive and senior management team, including Messrs. de la Aguilera, Anderson, Bustle and Turner, no assurance can be given that these individuals will continue to be employed by us. The loss of any of these individuals could negatively affect our ability to achieve our growth strategy and could have a material adverse effect on our business and results of operations.</w:t>
      </w:r>
    </w:p>
    <w:p>
      <w:pPr>
        <w:spacing w:after="0" w:line="39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We also need to continue to attract and retain other senior management and to recruit qualified individuals to succeed existing key personnel to ensure the continued growth and successful operation of our business. We may be unable to attract or retain qualified management and other key personnel in the future due to the intense competition for qualified personnel among companies in the financial services business and related businesses. The loss of the services of any senior management personnel, or the inability to recruit and retain qualified personnel in the future, could have an adverse effect on our business, results of operations, financial condition and prospects. Additionally, to attract and retain personnel with appropriate skills and knowledge to support our business, we may offer a variety of benefits, including equity awards, which may reduce our earnings or adversely affect our business, results of operations, financial condition or prospects.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Damage to our reputation could significantly harm our businesses.</w:t>
      </w:r>
    </w:p>
    <w:p>
      <w:pPr>
        <w:spacing w:after="0" w:line="15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Our ability to attract and retain customers and highly-skilled management and employees is impacted by our reputation. A negative public opinion of us and our business can result from any number of activities, including our lending practices, corporate governance and regulatory compliance, acquisitions, customer complaints and actions taken by community organizations in response to these activities. Furthermore, negative publicity regarding us as an employer could have an adverse impact on our reputation, especially with respect to matters of diversity, pay equity and workplace harassment.</w:t>
      </w:r>
    </w:p>
    <w:p>
      <w:pPr>
        <w:ind w:left="660" w:right="619"/>
        <w:spacing w:after="0" w:line="246" w:lineRule="auto"/>
        <w:rPr>
          <w:sz w:val="20"/>
          <w:szCs w:val="20"/>
          <w:color w:val="auto"/>
        </w:rPr>
      </w:pPr>
      <w:r>
        <w:rPr>
          <w:rFonts w:ascii="Arial" w:cs="Arial" w:eastAsia="Arial" w:hAnsi="Arial"/>
          <w:sz w:val="14"/>
          <w:szCs w:val="14"/>
          <w:color w:val="auto"/>
        </w:rPr>
        <w:t>Significant harm to our reputation could also arise as a result of regulatory or governmental actions, litigation and the activities of our customers, other participants in the financial services industry or our contractual counterparties, such as our service providers and vendors. The potential harm is heightened given increased attention to how corporations address environmental, social and governance issues. In addition, a cybersecurity event affecting us or our customers' data could have a negative impact on our reputation and customer confidence in us and our cybersecurity practices. Damage to our reputation could also adversely affect our credit ratings and access to the capital markets. Additionally, whereas negative public opinion once was primarily driven by adverse news coverage in traditional media, the widespread use of social media platforms by virtually every segment of society facilitates the rapid dissemination of information or misinformation, which magnifies the potential harm to our reputation.</w:t>
      </w:r>
    </w:p>
    <w:p>
      <w:pPr>
        <w:spacing w:after="0" w:line="146"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We face strong competition from financial services companies and other companies that offer banking services, which could materially and adversely affect our business.</w:t>
      </w:r>
    </w:p>
    <w:p>
      <w:pPr>
        <w:spacing w:after="0" w:line="96"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The financial services industry has become even more competitive as a result of legislative, regulatory and technological changes and continued banking consolidation, which may increase as a result of current economic, market and political conditions. We face substantial competition in all phases of our operations from a variety of competitors, including local banks, regional banks, community banks and, more recently, financial technology, or "fintech" companies. Many of our competitors offer the same banking services that we offer and our success depends on our ability to adapt our products and services to evolving industry standards and customer requirements. Increased competition in our market may result in reduced new loan and lease production and/or decreased deposit balances or less favorable terms on loans and leases and/or deposit accounts. We also face competition from many other types of financial institutions, including without limitation, non-bank specialty lenders, insurance companies, private investment funds, investment banks, and other financial intermediaries. Should competition in the financial services industry intensify, our ability to market our products and services may be adversely affected. If we are unable to attract and retain banking customers, we may be unable to grow or maintain the levels of our loans and deposits and our results of operations and financial condition may be adversely affected as a result. Ultimately, we may not be able to compete successfully against current and future competitors.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must respond to rapid technological changes to remain competitive.</w:t>
      </w:r>
    </w:p>
    <w:p>
      <w:pPr>
        <w:spacing w:after="0" w:line="168"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We will have to continue to respond to future technological changes, which are occurring at a rapid pace in the financial services industry in order to remain competitive. 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our future success will depend, in part, upon our ability to address the needs of our customers by using technology to provide products and services that will satisfy customer demands for convenience, as well as to create additional efficiencies in our operations.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We continually encounter technological change, and we may have fewer resources than many of our competitors to invest in technological improvements.</w:t>
      </w:r>
    </w:p>
    <w:p>
      <w:pPr>
        <w:spacing w:after="0" w:line="10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financial services industry continues to undergo rapid technological changes with frequent introductions of new technology-driven products and services, including recent and rapid developments in artificial intelligence (“AI”) including agentic AI. The effective use of technology increases efficiency and enables financial institutions to better serve customers and to reduce costs. Our future success will depend, in part, upon our ability to address the needs of our clients by using technology to provide products and services that will satisfy client demands for convenience, as well as to create additional efficiencies in our operations, including through AI capabilities. Many national vendors provide turn-key services to community banks, such as internet banking and remote deposit capture that allow smaller banks to compete with institutions that have substantially greater resources to invest in technological improvements. We may not be able, however, to effectively implement new technology-driven products and services or be successful in marketing these products and services to our customers.</w:t>
      </w:r>
    </w:p>
    <w:p>
      <w:pPr>
        <w:spacing w:after="0" w:line="141"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Our current and future uses of artificial intelligence and other emerging technologies may create additional risks.</w:t>
      </w:r>
    </w:p>
    <w:p>
      <w:pPr>
        <w:spacing w:after="0" w:line="96"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increasing adoption of AI in financial services presents significant opportunities but also introduces a range of risks that could impact our operations, regulatory compliance, and customer trust. AI introduces model risk, where flawed algorithms or biased data could result in inaccurate credit decisions, compliance violations, or discriminatory outcomes in lending or customer service. Cybersecurity threats, such as data breaches, adversarial attacks, and data poisoning, pose significant challenges, particularly as these systems handle large volumes of sensitive customer information. Additionally, the opaque nature of some AI models, often referred to as "black-box" systems, raises regulatory compliance concerns, as regulators increasingly require transparency and explainability in AI-driven decision-making. The legal and regulatory environment for AI is uncertain and rapidly evolving, potentially increasing compliance cost and risk of non-compliance.</w:t>
      </w:r>
    </w:p>
    <w:p>
      <w:pPr>
        <w:spacing w:after="0" w:line="141"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Operational risks also arise from potential system failures, over-reliance on AI, and integration challenges with existing infrastructure. Disruptions in AI systems could impact critical functions such as fraud detection, transaction monitoring, and customer support. Ethical and reputational risks, including unintended consequences or perceived unfairness in AI-driven decisions, may erode customer trust and expose us to regulatory scrutiny. Mitigating these risks requires a robust governance framework, regularly testing and auditing of AI models, and strong human oversight. Investments in cybersecurity, data privacy protections, and employee training are critical to managing these risks.</w:t>
      </w:r>
    </w:p>
    <w:p>
      <w:pPr>
        <w:spacing w:after="0" w:line="141"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b w:val="1"/>
          <w:bCs w:val="1"/>
          <w:i w:val="1"/>
          <w:iCs w:val="1"/>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24"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Although we devote significant resources to maintain and regularly update our systems and processes that are designed to protect the security of our computer systems, software, networks and other technology assets, as well as the confidentiality, integrity and availability of information belonging to us and our customers, there is no assurance that all of our security measures will provide absolute security. Many financial institutions, including us, have been subjected to attempts to infiltrate the security of their websites or other systems, some involving sophisticated targeted attacks intended to obtain unauthorized access to confidential information, destroy data, disrupt or degrade service, sabotage systems or cause other damage, including through the introduction of computer viruses or malware, cyber-attacks and other means. At this point, although there is no knowledge or indication that we have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w:t>
      </w:r>
    </w:p>
    <w:p>
      <w:pPr>
        <w:spacing w:after="0" w:line="13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Despite efforts to ensure the integrity and security of our systems, it is possible that we may not be able to anticipate, detect or recognize threats to our systems or to implement effective preventive measures against all efforts to breach our security inside or outside our business, especially because the techniques used to attack our systems change frequently or are not recognized until launched, and because cyber-attacks can originate from a wide variety of sources, including individuals or groups who are associated with external service providers or who are or may be involved in organized crime or linked to terrorist organizations or hostile foreign governments. Those parties may also attempt to fraudulently induce employees, customers, third-party service providers or other users of our systems to disclose sensitive information in order to gain access to our data or that of our customers or clients. Similar to other companies, our risks and exposures related to cybersecurity attacks have increased as a result of the related increased reliance on remote working and the increase in digital operations. Such risks and exposures are expected to remain high for the foreseeable future due to the rapidly evolving nature and sophistication of these threats and the expanding use of technology, as our web-based product offerings grow and we expand internal usage of web-based applications. Cybersecurity risk and other security matters are also a major focus of regulatory authorities.</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 successful penetration or circumvention of the security of our systems, including those of our third-party vendors, could cause serious negative consequences, including significant disruption of our operations, misappropriation of confidential information, or damage to computers or systems, and may result in violations of applicable privacy and other laws, financial loss, loss of confidence in our security measures, customer dissatisfaction, increased insurance premiums, significant litigation exposure and harm to our reputation, all of which could have a material adverse effect on our business, financial condition, results of operations, and future prospects.</w:t>
      </w:r>
    </w:p>
    <w:p>
      <w:pPr>
        <w:spacing w:after="0" w:line="140" w:lineRule="exact"/>
        <w:rPr>
          <w:sz w:val="20"/>
          <w:szCs w:val="20"/>
          <w:color w:val="auto"/>
        </w:rPr>
      </w:pPr>
    </w:p>
    <w:p>
      <w:pPr>
        <w:jc w:val="both"/>
        <w:ind w:left="660" w:right="719" w:firstLine="256"/>
        <w:spacing w:after="0" w:line="261" w:lineRule="auto"/>
        <w:rPr>
          <w:sz w:val="20"/>
          <w:szCs w:val="20"/>
          <w:color w:val="auto"/>
        </w:rPr>
      </w:pPr>
      <w:r>
        <w:rPr>
          <w:rFonts w:ascii="Arial" w:cs="Arial" w:eastAsia="Arial" w:hAnsi="Arial"/>
          <w:sz w:val="14"/>
          <w:szCs w:val="14"/>
          <w:b w:val="1"/>
          <w:bCs w:val="1"/>
          <w:i w:val="1"/>
          <w:iCs w:val="1"/>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24"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Third parties provide key components of our business operations such as data processing, recording and monitoring transactions, online banking interfaces and services, Internet connections and network access. While we have selected these third-party vendors carefully, performing upfront due diligence and ongoing monitoring activities, we do not control their actions. Any problems caused by these third parties, including those resulting from disruptions in services provided by a vendor (including as a result of a cyber-attack, other information security event or a natural disaster), financial or operational difficulties for the vendor, issues at third-party vendors to our vendors, failure of a vendor to handle current or higher volumes, failure of a vendor to provide services for any reason, poor performance of services, failure to comply with applicable laws and regulations, or fraud or misconduct on the part of employees of any of our vendors, could adversely affect our ability to deliver products and services to our customers, our reputation and our ability to conduct our business, which could adversely affect our business, prospects, cash flow, liquidity, financial condition and results of operations. In certain situations, replacing these third-party vendors could also create significant delay, expense, and operational difficulties, which could also adversely affect our business. Accordingly, use of such third parties creates an unavoidable and inherent risk to our business operations. Such risk is generally expected to remain elevated as many of our vendors have also been, and may further be, affected by increased reliance on remote work environments, market volatility and other factors that increase their risks of business disruption or that may otherwise affect their ability to perform under the terms of any agreements with us or provide essential services.</w:t>
      </w:r>
    </w:p>
    <w:p>
      <w:pPr>
        <w:spacing w:after="0" w:line="134" w:lineRule="exact"/>
        <w:rPr>
          <w:sz w:val="20"/>
          <w:szCs w:val="20"/>
          <w:color w:val="auto"/>
        </w:rPr>
      </w:pPr>
    </w:p>
    <w:p>
      <w:pPr>
        <w:ind w:left="660" w:right="619" w:firstLine="256"/>
        <w:spacing w:after="0" w:line="249" w:lineRule="auto"/>
        <w:rPr>
          <w:sz w:val="20"/>
          <w:szCs w:val="20"/>
          <w:color w:val="auto"/>
        </w:rPr>
      </w:pPr>
      <w:r>
        <w:rPr>
          <w:rFonts w:ascii="Arial" w:cs="Arial" w:eastAsia="Arial" w:hAnsi="Arial"/>
          <w:sz w:val="14"/>
          <w:szCs w:val="14"/>
          <w:color w:val="auto"/>
        </w:rPr>
        <w:t>Our operations could be interrupted or materially impacted if any of our third-party service providers fail to comply with banking regulations and other applicable laws. The Federal Reserve, FDIC, FOFR, and other regulators expect financial institutions to be responsible for all aspects of their performance, including aspects that they delegate to third parties. Accordingly, we will be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remedial and/or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142"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24"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and/or punitive damages or claims for indeterminate amounts of damages. Further, in the future our federal and/or state bank regulators may impose consent orders, civil money penalties, matters requiring attention, or similar types of supervisory penalties or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away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Certain of our directors may have conflicts of interest in determining whether to present business opportunities to us or another entity with which they are, or may become, affiliated.</w:t>
      </w:r>
    </w:p>
    <w:p>
      <w:pPr>
        <w:spacing w:after="0" w:line="10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Certain of our directors are or may become subject to fiduciary obligations in connection with their service on the boards of directors of other corporations, including financial institutions. A director's association with other financial institutions, which give rise to fiduciary or contractual obligations to such other institutions, may create conflicts of interest. To the extent that any of our directors become aware of acquisition opportunities that may be suitable for entities other than us to which they have fiduciary or contractual obligations, or they are presented with such opportunities in their capacities as fiduciaries to such entities, they may honor such obligations to such other entities. You should assume that to the extent any of our directors become aware of an opportunity that may be suitable both for us and another entity to which such person has a fiduciary obligation or contractual obligation to present such opportunity as set forth above, he or she may first give the opportunity to such other entity or entities and may give such opportunity to us only to the extent such other entity or entities reject or are unable to pursue such opportunity. In addition, you should assume that to the extent any of our directors become aware of an acquisition opportunity that does not fall within the above parameters, but that may otherwise be suitable for us, he or she may not present such opportunity to us.</w:t>
      </w:r>
    </w:p>
    <w:p>
      <w:pPr>
        <w:spacing w:after="0" w:line="135"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Pursuant to an agreement between us and each of our Significant Investors (as defined below), each of the Significant Investors has the right to nominate one director to serve on our Board, including Board committees, and to designate one non-voting Board observer. The directors and Board observers designated by the Significant Investors have the right to, and have no duty not to, engage in the same or similar business activities or lines of business as us. In the event that a director or Board observer designated by a Significant Investor acquires knowledge of a potential transaction or matter that may be a corporate opportunity for us, such person shall have no duty to communicate or present such corporate opportunity to us and shall not be liable to us or our shareholders for breach of any duty by reason of the fact that such person or a related investment fund thereof, directly or indirectly, pursues or acquires such opportunity for itself, directs such opportunity to another person, or does not present such opportunity to us.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Tax, Accounting and Regulatory Compliance</w:t>
      </w:r>
    </w:p>
    <w:p>
      <w:pPr>
        <w:spacing w:after="0" w:line="161"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Our ability to recognize the benefits of our deferred tax assets is dependent on future cash flows and taxable income and may be materially impaired upon significant changes in ownership of our common stock.</w:t>
      </w:r>
    </w:p>
    <w:p>
      <w:pPr>
        <w:spacing w:after="0" w:line="10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We recognize the expected future tax benefit from deferred tax assets when it is more likely than not that the tax benefit will be realized. Otherwise, a valuation allowance is applied against our deferred tax assets, reducing the value of such assets. Assessing the recoverability of deferred tax assets requires management to make significant estimates related to expectations of future taxable income from all sources, including reversal of taxable temporary differences, forecasted operating earnings and available tax planning strategies. Estimates of future taxable income are based on forecasted income from operations and the application of existing tax laws in each jurisdiction. The improved risk profile of the Bank is a key component used in the determination of our ability to realize the expected future benefit of our deferred tax assets. To the extent that future taxable income differs significantly from estimates as a result of the interest rate environment and loan growth capabilities or other factors, our ability to realize the net deferred tax assets could be negatively affected.</w:t>
      </w:r>
    </w:p>
    <w:p>
      <w:pPr>
        <w:spacing w:after="0" w:line="129"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Subject to certain exceptions, our Class A common stock is subject to transfer restrictions as set forth in our Articles of Incorporation that are designed to preserve our deferred tax assets. Notwithstanding these protective provisions, the Articles of Incorporation include an exception that allows our Significant Investors the right to effect any transfer that would otherwise be prohibited, which transfer could result in the loss of the deferred tax assets.</w:t>
      </w:r>
    </w:p>
    <w:p>
      <w:pPr>
        <w:spacing w:after="0" w:line="121" w:lineRule="exact"/>
        <w:rPr>
          <w:sz w:val="20"/>
          <w:szCs w:val="20"/>
          <w:color w:val="auto"/>
        </w:rPr>
      </w:pPr>
    </w:p>
    <w:p>
      <w:pPr>
        <w:jc w:val="both"/>
        <w:ind w:left="660" w:right="699" w:firstLine="256"/>
        <w:spacing w:after="0" w:line="255" w:lineRule="auto"/>
        <w:rPr>
          <w:sz w:val="20"/>
          <w:szCs w:val="20"/>
          <w:color w:val="auto"/>
        </w:rPr>
      </w:pPr>
      <w:r>
        <w:rPr>
          <w:rFonts w:ascii="Arial" w:cs="Arial" w:eastAsia="Arial" w:hAnsi="Arial"/>
          <w:sz w:val="14"/>
          <w:szCs w:val="14"/>
          <w:color w:val="auto"/>
        </w:rPr>
        <w:t>Additionally, significant future issuances of common stock or common stock equivalents, or changes in the direct or indirect ownership of our common stock or common stock equivalents, could cause an ownership change and could limit our ability to utilize our net operating loss carryforwards and other tax attributes pursuant to Section 382 and Section 383 of the Internal Revenue Code of 1986, as amended. Future changes in tax law or changes in ownership structure could limit our ability to utilize our recorded net deferred tax assets.</w:t>
      </w:r>
    </w:p>
    <w:p>
      <w:pPr>
        <w:spacing w:after="0" w:line="128" w:lineRule="exact"/>
        <w:rPr>
          <w:sz w:val="20"/>
          <w:szCs w:val="20"/>
          <w:color w:val="auto"/>
        </w:rPr>
      </w:pPr>
    </w:p>
    <w:p>
      <w:pPr>
        <w:jc w:val="both"/>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85"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The preparation of our financial statements and related disclosures in conformity with GAAP requires us to make judgments, assumptions and estimates that affect the amounts reported in our consolidated financial statements and accompanying notes.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Certain accounting policies are critical or significant to presenting our financial condition and results of operations. Our critical accounting policies, which are included</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59"/>
        <w:spacing w:after="0" w:line="249" w:lineRule="auto"/>
        <w:rPr>
          <w:sz w:val="20"/>
          <w:szCs w:val="20"/>
          <w:color w:val="auto"/>
        </w:rPr>
      </w:pPr>
      <w:r>
        <w:rPr>
          <w:rFonts w:ascii="Arial" w:cs="Arial" w:eastAsia="Arial" w:hAnsi="Arial"/>
          <w:sz w:val="14"/>
          <w:szCs w:val="14"/>
          <w:color w:val="auto"/>
        </w:rPr>
        <w:t>in the section captioned "Management's Discussion and Analysis of Financial Condition and Results of Operations" in Item 7 of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analyses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Class A common stock and adversely affect our business, prospects, cash flow, liquidity, financial condition and results of operations.</w:t>
      </w:r>
    </w:p>
    <w:p>
      <w:pPr>
        <w:spacing w:after="0" w:line="131" w:lineRule="exact"/>
        <w:rPr>
          <w:sz w:val="20"/>
          <w:szCs w:val="20"/>
          <w:color w:val="auto"/>
        </w:rPr>
      </w:pPr>
    </w:p>
    <w:p>
      <w:pPr>
        <w:jc w:val="both"/>
        <w:ind w:left="660" w:right="679" w:firstLine="256"/>
        <w:spacing w:after="0" w:line="258" w:lineRule="auto"/>
        <w:rPr>
          <w:sz w:val="20"/>
          <w:szCs w:val="20"/>
          <w:color w:val="auto"/>
        </w:rPr>
      </w:pPr>
      <w:r>
        <w:rPr>
          <w:rFonts w:ascii="Arial" w:cs="Arial" w:eastAsia="Arial" w:hAnsi="Arial"/>
          <w:sz w:val="14"/>
          <w:szCs w:val="14"/>
          <w:b w:val="1"/>
          <w:bCs w:val="1"/>
          <w:i w:val="1"/>
          <w:iCs w:val="1"/>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14"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GAAP. As a public company, we are required to comply with SEC regulations, including the SOA and other rules that govern public companies that we previously were not required to comply with as a private company. In particular, we are required to certify our compliance with Section 404 of the SOA, which requires us to annually furnish a report by management on the effectiveness of our internal control over financial reporting. When evaluating our internal controls over financial reporting, we may identify material weaknesses that we may not be able to remediate in time to meet the applicable deadline imposed upon us for compliance with the requirements of Section 404 of the SOA. We periodically review our formal policies, processes and practices related to financial reporting and to the identification of key financial reporting risks, assess their potential impact and the linkage of those risks to specific areas and controls within our organization.</w:t>
      </w:r>
    </w:p>
    <w:p>
      <w:pPr>
        <w:spacing w:after="0" w:line="135"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If we fail to achieve and maintain the adequacy of our internal controls, as such standards are modified, supplemented, or amended from time to time, we may not be able to ensure that we will be able to conclude on an ongoing basis that we have effective internal controls over financial reporting in accordance with Section 404 of the SOA. We cannot be certain as to the timing of completion of our evaluation, testing, and any remediation actions or the impact of the same on our operations. If we fail to adequately comply with the requirements of Section 404 of the SOA, we may be subject to adverse regulatory consequences and there could be a negative reaction in the financial markets due to a loss of investor confidence in us and the reliability of our financial statements. In addition, we may be required to incur costs in improving our internal control system and hiring additional personnel. Any such action could negatively affect our business, financial condition, results of operations, and the price of our Class A common stock may decline.</w:t>
      </w:r>
    </w:p>
    <w:p>
      <w:pPr>
        <w:spacing w:after="0" w:line="14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While we remain an emerging growth company, we will not be required to include an attestation report on internal control over financial reporting issued by our independent registered public accounting firm. We will cease to be an emerging growth company no later than December 31, 2026. To prepare for compliance with the auditor attestation requirement of Section 404 of the SOA once we no longer qualify as an emerging growth company or as a non-accelerated smaller reporting company, we are engaged in a process to document and evaluate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continue to refine our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of Sarbanes-Oxley. If we identify one or more material weaknesses, it could result in an adverse reaction in the financial markets due to a loss of confidence in the reliability of our financial statements.</w:t>
      </w:r>
    </w:p>
    <w:p>
      <w:pPr>
        <w:spacing w:after="0" w:line="142"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24"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We operate in a highly regulated industry and we are subject to examination, supervision and comprehensive regulation by various federal and state agencies, including the Federal Reserve, the FDIC and the FOFR. As such, we are subject to extensive regulation, supervision and legal requirements that govern almost all aspects of our operations. These laws and regulations are not intended to protect our shareholders. Rather, these laws and regulations are intended to protect</w:t>
      </w:r>
    </w:p>
    <w:p>
      <w:pPr>
        <w:spacing w:after="0" w:line="2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39"/>
        <w:spacing w:after="0" w:line="247" w:lineRule="auto"/>
        <w:rPr>
          <w:sz w:val="20"/>
          <w:szCs w:val="20"/>
          <w:color w:val="auto"/>
        </w:rPr>
      </w:pPr>
      <w:r>
        <w:rPr>
          <w:rFonts w:ascii="Arial" w:cs="Arial" w:eastAsia="Arial" w:hAnsi="Arial"/>
          <w:sz w:val="14"/>
          <w:szCs w:val="14"/>
          <w:color w:val="auto"/>
        </w:rPr>
        <w:t>customers, depositors, the Deposit Insurance Fund, or DIF, and the overall financial health and stability of the United States banking system. These laws and regulations, among other matters, prescribe minimum capital requirements, impose limitations on the business activities and investments in which we can engage, regulate and restrict our lending activities, require us to provide certain banking services broadly within the communities in which we operate, determine the locations of our branch offices and impose certain specific accounting requirements on us that may be more restrictive and may result in greater or earlier charges to earnings or reductions in our capital than GAAP would require. We are also subject to capitalization guidelines established by our regulators, which require us to maintain adequate capital to support our business. Compliance with laws and regulations can be difficult and costly, and changes to laws and regulations often impose additional operating costs. Further, we must obtain approval from our regulators before engaging in many activities, and our regulators have the ability to compel us to, or restrict us from, taking certain actions entirely. There can be no assurance that any regulatory approvals we may require or otherwise seek will be obtained.</w:t>
      </w:r>
    </w:p>
    <w:p>
      <w:pPr>
        <w:spacing w:after="0" w:line="14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Regulations affecting banks and other financial institutions are undergoing continuous review and frequently change, and the ultimate effect of such changes cannot be predicted. Changes to the legal and regulatory framework governing our operations, including the Dodd-Frank Act and the 2018 Act, have significantly revised the laws and regulations under which we operate. Such regulations and laws may be modified or repealed at any time, and new legislation may be enacted that will affect us and our subsidiaries.</w:t>
      </w:r>
    </w:p>
    <w:p>
      <w:pPr>
        <w:spacing w:after="0" w:line="140"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were imposed under the Dodd-Frank Act or the 2018 Act, could make compliance more difficult or expensive or otherwise adversely affect our business, prospects, cash flow, liquidity, financial condition and results of operations.</w:t>
      </w:r>
    </w:p>
    <w:p>
      <w:pPr>
        <w:spacing w:after="0" w:line="141"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We face a risk of noncompliance with the Bank Secrecy Act and other anti-money laundering statutes and regulations and corresponding enforcement proceedings.</w:t>
      </w:r>
    </w:p>
    <w:p>
      <w:pPr>
        <w:spacing w:after="0" w:line="85"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The BSA, the USA PATRIOT Act, and other laws and regulations require financial institutions, among other duties, to institute and maintain effective anti-money laundering programs and to file suspicious activity and currency transaction reports, as appropriate. FinCEN,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Additionally, South Florida has been designated as a “High Intensity Financial Crime Area” (“HIFCA”) by FinCEN and a “High Intensity Drug Trafficking Area” (“HIDTA”) by the Office of National Drug Control Policy. The HIFCA program is intended to concentrate law enforcement efforts to combat money laundering efforts in higher-risk areas. There is also increased scrutiny of compliance with the rules enforced by OFAC. Federal and state bank regulators have for many years focused on compliance with the BSA and anti-money laundering regulations. In order to comply with regulations, guidelines and examination procedures in this area, we have dedicated significant resources to our anti-money laundering program, especially due to the regulatory focus on financial and other institutions located in South Florida. Our business includes supporting our customers, including foreign financial institutions, with respect to their international banking needs and our policies, procedures and systems have been designed to address federal and state anti-money laundering compliance. If our policies, procedures and systems are deemed deficient or the policies, procedures and systems of the financial institutions that we may acquire are deficient, we would be subject to liability, including fines, and regulatory actions that are deemed necessary in order to remediate such deficiencies and prevent the recurrence thereof. In recent years, sanctions that the regulators have imposed on banks that have not complied with all anti-money laundering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143"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b w:val="1"/>
          <w:bCs w:val="1"/>
          <w:i w:val="1"/>
          <w:iCs w:val="1"/>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24"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regulatory and political environment has generally been challenging for U.S. financial institutions, which have been subject to increased regulatory scrutiny, including in the wake of the failures of several regional banks and other banking stresses in recent periods. The general heightened scrutiny and expectations from regulators could lead to a more stringent regulatory posture by the regulators, investigations and other inquiries, as well as remediation requirements, regulatory and operational restrictions, more regulatory or other enforcement proceedings, civil litigation and substantial compliance, regulatory and other risks and costs. Our regulators have broad powers and discretion under their supervisory authority. A failure to comply with regulators’ expectations and requirements, even if inadvertent, or to resolve any identified deficiencies</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50" w:lineRule="auto"/>
        <w:rPr>
          <w:sz w:val="20"/>
          <w:szCs w:val="20"/>
          <w:color w:val="auto"/>
        </w:rPr>
      </w:pPr>
      <w:r>
        <w:rPr>
          <w:rFonts w:ascii="Arial" w:cs="Arial" w:eastAsia="Arial" w:hAnsi="Arial"/>
          <w:sz w:val="14"/>
          <w:szCs w:val="14"/>
          <w:color w:val="auto"/>
        </w:rPr>
        <w:t>in a timely and sufficiently satisfactory manner to regulators, could result in increased regulatory oversight; material restrictions, including, among others, imposition of limitations on capital distributions or other business activities or operations; enforcement proceedings; penalties; and fines. Responding to regulatory inquiries and proceedings can be time consuming and costly and divert management attention from our other business activities. As a result of these regulatory efforts and pressures, like many other financial institutions, from time to time, we may be subject to public and non-public written agreements, cease and desist orders, consent orders, memoranda of understanding or other enforcement or supervisory actions by our regulators.</w:t>
      </w:r>
    </w:p>
    <w:p>
      <w:pPr>
        <w:spacing w:after="0" w:line="140" w:lineRule="exact"/>
        <w:rPr>
          <w:sz w:val="20"/>
          <w:szCs w:val="20"/>
          <w:color w:val="auto"/>
        </w:rPr>
      </w:pPr>
    </w:p>
    <w:p>
      <w:pPr>
        <w:jc w:val="both"/>
        <w:ind w:left="660" w:right="719" w:firstLine="256"/>
        <w:spacing w:after="0" w:line="285" w:lineRule="auto"/>
        <w:rPr>
          <w:sz w:val="20"/>
          <w:szCs w:val="20"/>
          <w:color w:val="auto"/>
        </w:rPr>
      </w:pPr>
      <w:r>
        <w:rPr>
          <w:rFonts w:ascii="Arial" w:cs="Arial" w:eastAsia="Arial" w:hAnsi="Arial"/>
          <w:sz w:val="14"/>
          <w:szCs w:val="14"/>
          <w:b w:val="1"/>
          <w:bCs w:val="1"/>
          <w:i w:val="1"/>
          <w:iCs w:val="1"/>
          <w:color w:val="auto"/>
        </w:rPr>
        <w:t>We are subject to capital adequacy requirements and may become subject to more stringent capital requirements, which could adversely affect our financial condition and operations.</w:t>
      </w:r>
    </w:p>
    <w:p>
      <w:pPr>
        <w:spacing w:after="0" w:line="96" w:lineRule="exact"/>
        <w:rPr>
          <w:sz w:val="20"/>
          <w:szCs w:val="20"/>
          <w:color w:val="auto"/>
        </w:rPr>
      </w:pPr>
    </w:p>
    <w:p>
      <w:pPr>
        <w:jc w:val="both"/>
        <w:ind w:left="660" w:right="699" w:firstLine="256"/>
        <w:spacing w:after="0" w:line="261" w:lineRule="auto"/>
        <w:rPr>
          <w:sz w:val="20"/>
          <w:szCs w:val="20"/>
          <w:color w:val="auto"/>
        </w:rPr>
      </w:pPr>
      <w:r>
        <w:rPr>
          <w:rFonts w:ascii="Arial" w:cs="Arial" w:eastAsia="Arial" w:hAnsi="Arial"/>
          <w:sz w:val="14"/>
          <w:szCs w:val="14"/>
          <w:color w:val="auto"/>
        </w:rPr>
        <w:t>In 2013, the federal banking agencies published new regulatory capital rules based on the international standards, known as Basel III, that were developed by the Basel Committee on Banking Supervision. The new rules raised the risk-based capital requirements and revised the methods for calculating risk-weighted assets, usually resulting in higher risk weights. The rules apply to us.</w:t>
      </w:r>
    </w:p>
    <w:p>
      <w:pPr>
        <w:spacing w:after="0" w:line="121"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Basel III rules increased capital requirements and included two new capital measurements, a risk-based common equity Tier 1 ratio and a capital conservation buffer. Common Equity Tier 1 (CET1) capital is a subset of Tier 1 capital and is limited to common equity (plus related surplus), retained earnings, accumulated other comprehensive income and certain other items. Other instruments that have historically qualified for Tier 1 treatment, including noncumulative perpetual preferred stock, are consigned to a category known as Additional Tier 1 capital and must be phased out of CETI over a period of nine years beginning in 2014. In order to be a “well-capitalized” depository institution under the new regime, an institution must maintain a CET1 capital ratio of 7.0% or more; a Tier 1 capital ratio of 8.5% or more; a total capital ratio of 10.5% or more; and a Tier 1 leverage ratio of 4% or more. Institutions must also maintain a capital conservation buffer consisting of common equity Tier 1 capital (which amount (2.5%) is reflected above in the CET1, Tier 1 and total capital ratios). In addition to the higher required capital ratios and the new deductions and adjustments, the final rules increased the risk weights for certain assets, meaning that we will have to hold more capital against these assets. We are also required to hold capital against short-term commitments that are not unconditionally cancellable.</w:t>
      </w:r>
    </w:p>
    <w:p>
      <w:pPr>
        <w:spacing w:after="0" w:line="135"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While we currently meet the requirements of the Basel III-based capital requirements, we may fail to do so in the future.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3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addition, in the current economic and regulatory environment bank regulators may impose capital requirements that are more stringent than those required by applicable existing regulations. The application of more stringent capital requirements for us could, among other things, result in lower returns on equity, require the raising of additional capital, and result in regulatory actions if we were to be unable to comply with such requirements. Implementation of changes to asset risk weightings for risk-based capital calculations, items included or deducted in calculating regulatory capital or additional capital conservation buffers, could result in management modifying our business strategy and could limit our ability to make distributions, including paying dividends.</w:t>
      </w:r>
    </w:p>
    <w:p>
      <w:pPr>
        <w:spacing w:after="0" w:line="140"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b w:val="1"/>
          <w:bCs w:val="1"/>
          <w:i w:val="1"/>
          <w:iCs w:val="1"/>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24"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As part of the bank regulatory process, the Federal Reserve, the FDIC and the FOFR periodically conduct examinations of our business, including compliance with applicable laws and regulations. If, as a result of an examination, one of these banking agencies were to determine that the financial condition, capital resources, asset quality, asset concentration, earnings prospects, management, liquidity sensitivity to market risk, risk management and internal controls or other aspects of any of our operations has become unsatisfactory, or that we or our management are in violation of any law or regulation, the banking agency could take a number of different remedial or punitive actions as it deems appropriate. These actions include the power to prohibit the continuation of "unsafe or unsound" practices, to require affirmative actions to correct any conditions resulting from any violation or practice, to issue an administrative order or enforcement that can be judicially enforced, to direct an increase in our capital, to restrict our growth, to change the asset composition of our loan or securities portfolios or balance sheet, to assess civil monetary penalties against our officers or directors, to remove officers and directors and, if it is concluded that such conditions cannot be corrected or there is an imminent risk of loss to depositors, to terminate our deposit insurance and force us to terminate our business operations. If we become subject to such regulatory actions, our business, financial condition, result s of operations and reputation may be negatively impacted.</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jc w:val="both"/>
        <w:ind w:left="660" w:right="699" w:firstLine="256"/>
        <w:spacing w:after="0" w:line="269" w:lineRule="auto"/>
        <w:rPr>
          <w:sz w:val="20"/>
          <w:szCs w:val="20"/>
          <w:color w:val="auto"/>
        </w:rPr>
      </w:pPr>
      <w:r>
        <w:rPr>
          <w:rFonts w:ascii="Arial" w:cs="Arial" w:eastAsia="Arial" w:hAnsi="Arial"/>
          <w:sz w:val="14"/>
          <w:szCs w:val="14"/>
          <w:b w:val="1"/>
          <w:bCs w:val="1"/>
          <w:i w:val="1"/>
          <w:iCs w:val="1"/>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07"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The CRA directs all insured depository institutions to help meet the credit needs of the local communities in which they operate branches, including low- and moderate-income neighborhoods. Each institution is examined periodically by its primary federal regulator, which assesses the institution’s CRA performance. The Equal Credit Opportunity Act, the Fair Housing Act and other fair lending laws and regulations impose nondiscriminatory lending requirements on financial institutions. The U.S. Department of Justice, the Federal Reserve, and other federal agencies are responsible for enforcing these laws and regulations. A successful regulatory challenge to our performance under the CRA, fair lending or consumer lending laws and regulations could result in a wide variety of sanctions, including damages and civil money penalties, injunctive relief, customer restitution,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an adverse effect on our business, financial condition and results of operations.</w:t>
      </w:r>
    </w:p>
    <w:p>
      <w:pPr>
        <w:spacing w:after="0" w:line="135" w:lineRule="exact"/>
        <w:rPr>
          <w:sz w:val="20"/>
          <w:szCs w:val="20"/>
          <w:color w:val="auto"/>
        </w:rPr>
      </w:pPr>
    </w:p>
    <w:p>
      <w:pPr>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Climate change and related legislative and regulatory initiatives may materially affect our business and results of operations.</w:t>
      </w:r>
    </w:p>
    <w:p>
      <w:pPr>
        <w:spacing w:after="0" w:line="96"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The effects of climate change continue to create a significant level of concern for the state of the global environment. The lack of empirical data surrounding the credit and other financial risks posed by climate change render it difficult, or even impossible, to predict how climate change may impact our financial condition and results of operations; however, the physical effects of climate change may also directly impact us. Specifically, unpredictable and more frequent weather disasters may adversely impact the real property, and/or the value of the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natural disasters and related events, which could impact our financial condition and results of operations. Further, the effects of climate change may negatively impact regional and local economic activity, which could adversely affect our customers and the communities in which we operate. Overall, climate change, its effects and the resulting unknown impact could have a material adverse effect on our financial condition and results of operations.</w:t>
      </w:r>
    </w:p>
    <w:p>
      <w:pPr>
        <w:spacing w:after="0" w:line="141" w:lineRule="exact"/>
        <w:rPr>
          <w:sz w:val="20"/>
          <w:szCs w:val="20"/>
          <w:color w:val="auto"/>
        </w:rPr>
      </w:pPr>
    </w:p>
    <w:p>
      <w:pPr>
        <w:ind w:left="920" w:right="3019" w:firstLine="2059"/>
        <w:spacing w:after="0" w:line="485" w:lineRule="auto"/>
        <w:rPr>
          <w:sz w:val="20"/>
          <w:szCs w:val="20"/>
          <w:color w:val="auto"/>
        </w:rPr>
      </w:pPr>
      <w:r>
        <w:rPr>
          <w:rFonts w:ascii="Arial" w:cs="Arial" w:eastAsia="Arial" w:hAnsi="Arial"/>
          <w:sz w:val="14"/>
          <w:szCs w:val="14"/>
          <w:b w:val="1"/>
          <w:bCs w:val="1"/>
          <w:color w:val="auto"/>
        </w:rPr>
        <w:t xml:space="preserve">Risks Related to Our Class A Common Stock </w:t>
      </w:r>
      <w:r>
        <w:rPr>
          <w:rFonts w:ascii="Arial" w:cs="Arial" w:eastAsia="Arial" w:hAnsi="Arial"/>
          <w:sz w:val="14"/>
          <w:szCs w:val="14"/>
          <w:b w:val="1"/>
          <w:bCs w:val="1"/>
          <w:i w:val="1"/>
          <w:iCs w:val="1"/>
          <w:color w:val="auto"/>
        </w:rPr>
        <w:t>Our ability to pay dividends is subject to restrictions.</w:t>
      </w:r>
    </w:p>
    <w:p>
      <w:pPr>
        <w:jc w:val="both"/>
        <w:ind w:left="660" w:right="659" w:firstLine="256"/>
        <w:spacing w:after="0" w:line="249" w:lineRule="auto"/>
        <w:rPr>
          <w:sz w:val="20"/>
          <w:szCs w:val="20"/>
          <w:color w:val="auto"/>
        </w:rPr>
      </w:pPr>
      <w:r>
        <w:rPr>
          <w:rFonts w:ascii="Arial" w:cs="Arial" w:eastAsia="Arial" w:hAnsi="Arial"/>
          <w:sz w:val="14"/>
          <w:szCs w:val="14"/>
          <w:color w:val="auto"/>
        </w:rPr>
        <w:t>Holders of our Class A common stock are only entitled to receive cash dividends when, as and if declared by our Board out of funds legally available for dividends. The Company is a bank holding company that conducts substantially all of its operations through the Bank, which is a legal entity separate and distinct from the Company. As a result, our ability to pay dividends on our common stock will substantially depend upon the receipt of dividends and other distributions from the Bank, the profitability of which is subject to the fluctuating cost and availability of money, changes in interest rates and economic conditions in general. There are numerous laws and banking regulations and guidance that limit the Bank's ability to pay dividends to us and our ability to pay dividends on our common stock. Due to the fact that the Bank has negative retained earnings, the Bank may not pay dividends to the Company without the prior approval of the FDIC. Similarly, we have agreed to notify the Federal Reserve before declaring and paying any dividends on our Class A common stock.</w:t>
      </w:r>
    </w:p>
    <w:p>
      <w:pPr>
        <w:spacing w:after="0" w:line="131"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If we fail to pay interest on or otherwise default on our subordinated notes, we will be prohibited from paying dividends or distributions on our Class A common stock.</w:t>
      </w:r>
    </w:p>
    <w:p>
      <w:pPr>
        <w:spacing w:after="0" w:line="85" w:lineRule="exact"/>
        <w:rPr>
          <w:sz w:val="20"/>
          <w:szCs w:val="20"/>
          <w:color w:val="auto"/>
        </w:rPr>
      </w:pPr>
    </w:p>
    <w:p>
      <w:pPr>
        <w:ind w:left="660" w:right="619" w:firstLine="256"/>
        <w:spacing w:after="0" w:line="250" w:lineRule="auto"/>
        <w:rPr>
          <w:sz w:val="20"/>
          <w:szCs w:val="20"/>
          <w:color w:val="auto"/>
        </w:rPr>
      </w:pPr>
      <w:r>
        <w:rPr>
          <w:rFonts w:ascii="Arial" w:cs="Arial" w:eastAsia="Arial" w:hAnsi="Arial"/>
          <w:sz w:val="14"/>
          <w:szCs w:val="14"/>
          <w:color w:val="auto"/>
        </w:rPr>
        <w:t>As of December 31, 2025, we had $40.0 million of subordinated notes outstanding. The indenture under which the subordinated notes were issued prohibits us from paying any dividends on our common stock or making any other distributions to our shareholders upon our failure to make any required payment of principal or interest or during the continuance of an event of default under the applicable agreement. Events of default generally consist of, among other things, certain events of bankruptcy, insolvency or liquidation relating to us. If we were to fail to make a required payment of principal or interest on our subordinated notes, it could have a material adverse effect on the market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right="639" w:firstLine="256"/>
        <w:spacing w:after="0" w:line="285" w:lineRule="auto"/>
        <w:rPr>
          <w:sz w:val="20"/>
          <w:szCs w:val="20"/>
          <w:color w:val="auto"/>
        </w:rPr>
      </w:pPr>
      <w:r>
        <w:rPr>
          <w:rFonts w:ascii="Arial" w:cs="Arial" w:eastAsia="Arial" w:hAnsi="Arial"/>
          <w:sz w:val="14"/>
          <w:szCs w:val="14"/>
          <w:b w:val="1"/>
          <w:bCs w:val="1"/>
          <w:i w:val="1"/>
          <w:iCs w:val="1"/>
          <w:color w:val="auto"/>
        </w:rPr>
        <w:t>We may issue additional debt securities, which would be senior to our common stock and may cause the market price of our Class A common stock to decline.</w:t>
      </w:r>
    </w:p>
    <w:p>
      <w:pPr>
        <w:spacing w:after="0" w:line="10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We have issued $40.0 million in aggregate principal amount of 7.625% Fixed-to-Floating Rate Subordinated Notes due 2035. In the future, we may increase our capital resources by making additional offerings of debt or equity securities, which may include senior or additional subordinated notes, classes of preferred shares and/or common shares. Holders of our common stock are not entitled to preemptive rights or other protections against dilution. Preferred shares and debt, if issued, have a preference on liquidating distributions or a preference on dividend or interest payments that could limit our ability to make a distribution to the holders of our common stock. Future issuances and sales of parity preferred stock, or the perception that such issuances and sales could occur, may also cause prevailing market price for our Class A common stock to decline and may adversely affect our ability to raise additional capital in the financial markets at times and prices favorable to us. Further issuances of our Class A common stock could be dilutive to holders of our Class A common stock.</w:t>
      </w:r>
    </w:p>
    <w:p>
      <w:pPr>
        <w:spacing w:after="0" w:line="143"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The market price and trading volume of our Class A common stock may be volatile, which could result in rapid and substantial losses for our shareholders.</w:t>
      </w:r>
    </w:p>
    <w:p>
      <w:pPr>
        <w:spacing w:after="0" w:line="85" w:lineRule="exact"/>
        <w:rPr>
          <w:sz w:val="20"/>
          <w:szCs w:val="20"/>
          <w:color w:val="auto"/>
        </w:rPr>
      </w:pPr>
    </w:p>
    <w:p>
      <w:pPr>
        <w:jc w:val="both"/>
        <w:ind w:left="660" w:right="639" w:firstLine="256"/>
        <w:spacing w:after="0" w:line="255" w:lineRule="auto"/>
        <w:rPr>
          <w:sz w:val="20"/>
          <w:szCs w:val="20"/>
          <w:color w:val="auto"/>
        </w:rPr>
      </w:pPr>
      <w:r>
        <w:rPr>
          <w:rFonts w:ascii="Arial" w:cs="Arial" w:eastAsia="Arial" w:hAnsi="Arial"/>
          <w:sz w:val="14"/>
          <w:szCs w:val="14"/>
          <w:color w:val="auto"/>
        </w:rPr>
        <w:t>The market price of our Class A common stock may be highly volatile and could be subject to wide fluctuations. In addition, the trading volume on our Class A common stock may fluctuate and cause significant price variations to occur. We cannot assure you that the market price of our Class A common stock will not fluctuate or decline significantly in the future. Some, but certainly not all, of the factors that could negatively affect the price of our Class A common stock, or result in fluctuations in the price or trading volume of our Class A common stock, include but not limited to:</w:t>
      </w:r>
    </w:p>
    <w:p>
      <w:pPr>
        <w:spacing w:after="0" w:line="126"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market conditions;</w:t>
      </w:r>
    </w:p>
    <w:p>
      <w:pPr>
        <w:spacing w:after="0" w:line="13"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domestic and international economic factors unrelated to our performance;</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variations in our quarterly operating results or failure to meet the market’s earnings expectations;</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publication of research reports about us or the financial services industry in general;</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determination of securities analysts to not cover our Class A common stock;</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opinion of securities analysts about our stock as an investment;</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additions to or departures of our key personnel;</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future sales of our Class A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adverse market reactions to any indebtedness we may incur or securities we may issue in the future;</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actions by our shareholders;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operating and securities price performance of companies that investors consider to be comparable to us;</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or proposed changes in laws or regulations affecting our business; and</w:t>
      </w: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actual or potential litigation and governmental investigations.</w:t>
      </w:r>
    </w:p>
    <w:p>
      <w:pPr>
        <w:spacing w:after="0" w:line="156"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In addition, if the market for stocks in our industry, or the stock market in general, experiences a loss of investor confidence, the trading price of the Class A common stock could decline for reasons unrelated to our business, financial condition or results of operations. If any of the foregoing occurs, it could cause our Class A common stock price to fall and may expose us to lawsuits that, even if unsuccessful, could be costly to defend and a distraction to management.</w:t>
      </w:r>
    </w:p>
    <w:p>
      <w:pPr>
        <w:spacing w:after="0" w:line="126"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There are significant restrictions in our Articles of Incorporation that restrict the ability to sell our capital stock to shareholders that would own 4.95% or more of our stock, excluding our Significant Investors.</w:t>
      </w:r>
    </w:p>
    <w:p>
      <w:pPr>
        <w:spacing w:after="0" w:line="9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Because the continued availability of our "deferred tax assets" depends, in part, on the value of our stock owned by shareholders owning 5% or more of our stock, our amended Articles of Incorporation, except as otherwise may be approved by the Board or except for transfers by our Significant Investors, prohibits any direct or indirect transfer of stock or options to acquire stock to any person who, as a result of the transfer, would own 4.95% or more of our stock, as long as the Company continues to have "deferred tax assets." Such restrictions may limit the ability to transfer our stock.</w:t>
      </w:r>
    </w:p>
    <w:p>
      <w:pPr>
        <w:spacing w:after="0" w:line="142" w:lineRule="exact"/>
        <w:rPr>
          <w:sz w:val="20"/>
          <w:szCs w:val="20"/>
          <w:color w:val="auto"/>
        </w:rPr>
      </w:pPr>
    </w:p>
    <w:p>
      <w:pPr>
        <w:ind w:left="660" w:right="639" w:firstLine="256"/>
        <w:spacing w:after="0" w:line="261" w:lineRule="auto"/>
        <w:rPr>
          <w:sz w:val="20"/>
          <w:szCs w:val="20"/>
          <w:color w:val="auto"/>
        </w:rPr>
      </w:pPr>
      <w:r>
        <w:rPr>
          <w:rFonts w:ascii="Arial" w:cs="Arial" w:eastAsia="Arial" w:hAnsi="Arial"/>
          <w:sz w:val="14"/>
          <w:szCs w:val="14"/>
          <w:b w:val="1"/>
          <w:bCs w:val="1"/>
          <w:i w:val="1"/>
          <w:iCs w:val="1"/>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We are an “emerging growth company,” as defined in the JOBS Act. For as long as we remain an emerging growth company, we will have the option to take advantage of certain exemptions from various reporting and other requirements that are applicable to other public companies that are not emerging growth companies, including:</w:t>
      </w:r>
    </w:p>
    <w:p>
      <w:pPr>
        <w:spacing w:after="0" w:line="118" w:lineRule="exact"/>
        <w:rPr>
          <w:sz w:val="20"/>
          <w:szCs w:val="20"/>
          <w:color w:val="auto"/>
        </w:rPr>
      </w:pPr>
    </w:p>
    <w:p>
      <w:pPr>
        <w:ind w:left="1180" w:right="739" w:hanging="261"/>
        <w:spacing w:after="0" w:line="292"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present only two years of audited financial statements and only two years of related management’s discussion and analysis of financial condition and results of operations</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79" w:hanging="261"/>
        <w:spacing w:after="0" w:line="25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exempt from the requirements to obtain an attestation and report from our auditors on management’s assessment of our internal control over financial reporting under the SOA;</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permitted to have less extensive disclosure about our executive compensation arrangements; and</w:t>
      </w:r>
    </w:p>
    <w:p>
      <w:pPr>
        <w:ind w:left="1180" w:right="699" w:hanging="261"/>
        <w:spacing w:after="0" w:line="255"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not required to give our shareholders non-binding advisory votes on executive compensation or golden parachute arrangements.</w:t>
      </w:r>
    </w:p>
    <w:p>
      <w:pPr>
        <w:spacing w:after="0" w:line="13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may continue to take advantage of some or all of the reduced regulatory and reporting requirements that will be available to us as long as we continue to qualify as an emerging growth company. We will remain an emerging growth company until the earliest to occur of (i) the last day of the first fiscal year in which our annual gross revenues exceed $1.235 billion, (ii) the date that the market value of our Class A common stock that is held by non-affiliates exceeds $700.0 million as of the last business day in June of that year, (iii) the date on which we have, during the previous three-year period, issued more than $1.0 billion in non-convertible debt, or (iv) the end of fiscal year following the fifth anniversary of the completion of our initial public offering (which will be December 31, 2026).</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It is possible that some investors may find our Class A common stock less attractive since we chose to rely on these exemptions. If some investors find our Class A common stock less attractive, there may be a less active trading market for our Class A common stock and our stock price may be more volatile.</w:t>
      </w:r>
    </w:p>
    <w:p>
      <w:pPr>
        <w:spacing w:after="0" w:line="136"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07"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As an emerging growth company, we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Class A common stock. We cannot predict if investors will find our Class A common stock less attractive because we have relied on this exemption. If some investors find our Class A common stock less attractive as a result, there may be a less active trading market for our Class A common stock and our stock price may be more volatile.</w:t>
      </w:r>
    </w:p>
    <w:p>
      <w:pPr>
        <w:spacing w:after="0" w:line="135" w:lineRule="exact"/>
        <w:rPr>
          <w:sz w:val="20"/>
          <w:szCs w:val="20"/>
          <w:color w:val="auto"/>
        </w:rPr>
      </w:pPr>
    </w:p>
    <w:p>
      <w:pPr>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We have existing investors that own a significant amount of our common stock whose individual interests may differ from yours.</w:t>
      </w:r>
    </w:p>
    <w:p>
      <w:pPr>
        <w:spacing w:after="0" w:line="106"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A significant percentage of our Class A common stock is currently held by a few institutional investors, including Patriot Financial Partners II, L.P. and Patriot Financial Partners Parallel II, L.P. (collectively, "Patriot"), and Priam Capital Fund II, LP ("Priam," and together with Patriot, the "Significant Investors"). As of February 28, 2026 Patriot and Priam own approximately 10.4% and 21.8%, respectively, of our outstanding shares of Class A common stock. In addition, Patriot and Priam are each entitled to nominate a director to our Board and have certain subscription rights to purchase new equity securities that we issue in the future, in each case as long as certain equity ownership criteria are met. Patriot and Priam also have certain registration rights (which they have exercised), including demand registration rights, and information rights. Although Patriot and Priam are independent of each other, these institutional investors will continue to have a significant level of influence over us because of their level of Class A common stock ownership and their right to representation on our Board. For example, Patriot and Priam will have a greater ability than our other shareholders to influence the election of directors and the potential outcome of other matters submitted to a vote of our shareholders, including mergers and other acquisition transactions, amendments to our amended Articles of Incorporation and Amended and Restated Bylaws, and other extraordinary corporate matters. The interests of these investors could conflict with the interests of our other shareholders, and any future transfer by these investors of their shares of Class A common stock to other investors who have different business objectives could adversely affect our business, results of operations, financial condition, prospects or the market value of our Class A common stock.</w:t>
      </w:r>
    </w:p>
    <w:p>
      <w:pPr>
        <w:spacing w:after="0" w:line="146"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Provisions in our governing documents and Florida law may have an anti-takeover effect and there are substantial regulatory limitations on changes of control of the Company.</w:t>
      </w:r>
    </w:p>
    <w:p>
      <w:pPr>
        <w:spacing w:after="0" w:line="10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or management.</w:t>
      </w:r>
    </w:p>
    <w:p>
      <w:pPr>
        <w:spacing w:after="0" w:line="3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governing documents include provisions that:</w:t>
      </w:r>
    </w:p>
    <w:p>
      <w:pPr>
        <w:spacing w:after="0" w:line="170" w:lineRule="exact"/>
        <w:rPr>
          <w:sz w:val="20"/>
          <w:szCs w:val="20"/>
          <w:color w:val="auto"/>
        </w:rPr>
      </w:pPr>
    </w:p>
    <w:p>
      <w:pPr>
        <w:ind w:left="1180" w:right="679" w:hanging="261"/>
        <w:spacing w:after="0" w:line="249"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empower our Board, without shareholder approval, to issue shares of preferred stock, the terms of which, including voting power, are set by our Board;</w:t>
      </w:r>
    </w:p>
    <w:p>
      <w:pPr>
        <w:ind w:left="1180" w:right="679" w:hanging="261"/>
        <w:spacing w:after="0" w:line="24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provide that directors may be removed from office only for cause and only upon a majority vote of the shares of our Company with voting power;</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prohibit holders of our Class A common stock to take action by written consent in lieu of a shareholder meeting;</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require holders of at least 10% of our Class A common stock to call a special meeting;</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do not provide for cumulative voting in elections of our directors;</w:t>
      </w:r>
    </w:p>
    <w:p>
      <w:pPr>
        <w:ind w:left="1180" w:hanging="261"/>
        <w:spacing w:after="0"/>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provide that our Board has the authority to amend our Amended and Restated Bylaws without shareholder approval;</w:t>
      </w:r>
    </w:p>
    <w:p>
      <w:pPr>
        <w:spacing w:after="0" w:line="10" w:lineRule="exact"/>
        <w:rPr>
          <w:rFonts w:ascii="Arial" w:cs="Arial" w:eastAsia="Arial" w:hAnsi="Arial"/>
          <w:sz w:val="13"/>
          <w:szCs w:val="13"/>
          <w:color w:val="auto"/>
        </w:rPr>
      </w:pPr>
    </w:p>
    <w:p>
      <w:pPr>
        <w:jc w:val="both"/>
        <w:ind w:left="1180" w:right="679" w:hanging="261"/>
        <w:spacing w:after="0" w:line="243"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require shareholders that wish to bring business before annual or special meetings of shareholders, or to nominate candidates for election as directors at our annual meeting of shareholders, to provide timely notice of their intent in writing and satisfy disclosure requirements; and</w:t>
      </w:r>
    </w:p>
    <w:p>
      <w:pPr>
        <w:spacing w:after="0" w:line="1" w:lineRule="exact"/>
        <w:rPr>
          <w:rFonts w:ascii="Arial" w:cs="Arial" w:eastAsia="Arial" w:hAnsi="Arial"/>
          <w:sz w:val="14"/>
          <w:szCs w:val="14"/>
          <w:color w:val="auto"/>
        </w:rPr>
      </w:pPr>
    </w:p>
    <w:p>
      <w:pPr>
        <w:jc w:val="both"/>
        <w:ind w:left="1180" w:right="679" w:hanging="261"/>
        <w:spacing w:after="0" w:line="254"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enable our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126" w:lineRule="exact"/>
        <w:rPr>
          <w:sz w:val="20"/>
          <w:szCs w:val="20"/>
          <w:color w:val="auto"/>
        </w:rPr>
      </w:pPr>
    </w:p>
    <w:p>
      <w:pPr>
        <w:ind w:left="660" w:right="659" w:firstLine="256"/>
        <w:spacing w:after="0" w:line="249" w:lineRule="auto"/>
        <w:rPr>
          <w:sz w:val="20"/>
          <w:szCs w:val="20"/>
          <w:color w:val="auto"/>
        </w:rPr>
      </w:pPr>
      <w:r>
        <w:rPr>
          <w:rFonts w:ascii="Arial" w:cs="Arial" w:eastAsia="Arial" w:hAnsi="Arial"/>
          <w:sz w:val="14"/>
          <w:szCs w:val="14"/>
          <w:color w:val="auto"/>
        </w:rPr>
        <w:t>In addition,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and the Bank Holding Company Act. These laws could delay or prevent an acquisition. Also, for preservation and continued availability of our "deferred tax assets," our amended Articles of Incorporation prohibit any direct or indirect transfer of stock or options to acquire stock to any person who, as a result of the transfer, would own 4.95% or more of our stock, as long as we continue to have "deferred tax assets," subject to limited exceptions as provided in our amended Articles of Incorporation. Because of the requirements to overcome this restriction, this provision of the amended Articles of Incorporation could have an anti-takeover effect and may delay, make more difficult or prevent an attempted acquisition that you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1B. Unresolved Staff Comments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1C. Cybersecurity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Risk Management and Strategy Overview</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Customers depend on the Company to safeguard nonpublic personal information gathered and stored in connection with the services we provide. The Company understands that cyber incidents can have financial, reputational, legal, and operational impacts that can adversely affect our customers, capital, and earnings. Therefore, we integrate cybersecurity processes throughout the Company as part of our enterprise-wide governance process. Regulatory agencies are charged with ensuring the Company’s cybersecurity controls and procedures are compliant with the intent of the cybersecurity expectations set forth by the Federal Financial Institutions Examination Council (“FFIEC”). The FFIEC framework offers a set of guidelines and best practices to help financial institutions manage and mitigate cybersecurity risks effectively. It focuses on ensuring the confidentiality, integrity, and availability of sensitive information and systems.</w:t>
      </w:r>
    </w:p>
    <w:p>
      <w:pPr>
        <w:spacing w:after="0" w:line="14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Information Security Officer (“ISO”) is an integral member of the Risk Management and Compliance Department (“RMCD”) of the Bank and provides expert counsel on matters of cybersecurity and presents periodic reports to the Risk Committee of our Board of Directors.</w:t>
      </w:r>
    </w:p>
    <w:p>
      <w:pPr>
        <w:spacing w:after="0" w:line="11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As part of the program, periodic risk assessments are performed to determine the Company’s inherent and residual cybersecurity risk, the maturity level of the program, the risk of cyber threats, and the effectiveness of controls currently in practice. The Company utilizes the National Institute of Standards and Technology (“NIST”) Framework and the Cyber Risk Institute Framework (“CRI Framework”) to help management identify its risks and determine the Company’s cybersecurity posture. Through the implementation of rigorous procedures and controls, augmented by ongoing training initiatives for both management and staff, the institution cultivates a safe cybersecurity environment. This approach encompasses diverse methodologies including defense-in-depth and proactive security awareness training aimed at fortifying the institutions’ cybersecurity controls and fostering a resilient operational framework.</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Assessment and Response to Cybersecurity Threats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It is the policy of the Company and its technology service providers (“TSPs”) to ensure that they can identify, mitigate, and respond to cyber-attacks involving destructive malware and invasive attacks such as phishing, ransomware, malware, DDoS attacks, etc. This commitment aligns with the Company’s risk appetite, Incident Response Policy, and Business Continuity Plan, which incorporates business continuity planning and testing activities to enhance response and recovery capabilities.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Company recognizes that it faces a variety of risks from cyber-attacks involving destructive malware, including</w:t>
      </w:r>
    </w:p>
    <w:p>
      <w:pPr>
        <w:spacing w:after="0" w:line="13" w:lineRule="exact"/>
        <w:rPr>
          <w:sz w:val="20"/>
          <w:szCs w:val="20"/>
          <w:color w:val="auto"/>
        </w:rPr>
      </w:pPr>
    </w:p>
    <w:p>
      <w:pPr>
        <w:jc w:val="both"/>
        <w:ind w:left="660" w:right="679"/>
        <w:spacing w:after="0" w:line="254" w:lineRule="auto"/>
        <w:rPr>
          <w:sz w:val="20"/>
          <w:szCs w:val="20"/>
          <w:color w:val="auto"/>
        </w:rPr>
      </w:pPr>
      <w:r>
        <w:rPr>
          <w:rFonts w:ascii="Arial" w:cs="Arial" w:eastAsia="Arial" w:hAnsi="Arial"/>
          <w:sz w:val="14"/>
          <w:szCs w:val="14"/>
          <w:color w:val="auto"/>
        </w:rPr>
        <w:t>liquidity, capital, operational, and reputation risks, due to events such as fraud, data loss, and disruption of customer service. As such, it is the policy of the Company to ensure that its risk management processes, and business continuity planning address these risks by:</w:t>
      </w:r>
    </w:p>
    <w:p>
      <w:pPr>
        <w:spacing w:after="0" w:line="147" w:lineRule="exact"/>
        <w:rPr>
          <w:sz w:val="20"/>
          <w:szCs w:val="20"/>
          <w:color w:val="auto"/>
        </w:rPr>
      </w:pPr>
    </w:p>
    <w:p>
      <w:pPr>
        <w:jc w:val="both"/>
        <w:ind w:left="1180" w:right="659" w:hanging="261"/>
        <w:spacing w:after="0" w:line="251"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Establishing a comprehensive governance program encompassing policies and procedures to administer and oversee the information/cybersecurity programs to ensure adherence to regulatory guidance and industry best practices.</w:t>
      </w:r>
    </w:p>
    <w:p>
      <w:pPr>
        <w:spacing w:after="0" w:line="1" w:lineRule="exact"/>
        <w:rPr>
          <w:rFonts w:ascii="Arial" w:cs="Arial" w:eastAsia="Arial" w:hAnsi="Arial"/>
          <w:sz w:val="14"/>
          <w:szCs w:val="14"/>
          <w:color w:val="auto"/>
        </w:rPr>
      </w:pPr>
    </w:p>
    <w:p>
      <w:pPr>
        <w:jc w:val="both"/>
        <w:ind w:left="1180" w:right="679" w:hanging="261"/>
        <w:spacing w:after="0" w:line="24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Securely configuring systems and services to mitigate the impact of cyber-threats. This includes measures such as logical network segmentation, backups, maintaining an inventory of authorized devices and software, and physical segmentation of critical systems. Consistency in system configuration fosters a secure network environment by removing or disabling unused applications, functions, or components.</w:t>
      </w:r>
    </w:p>
    <w:p>
      <w:pPr>
        <w:spacing w:after="0" w:line="1" w:lineRule="exact"/>
        <w:rPr>
          <w:rFonts w:ascii="Arial" w:cs="Arial" w:eastAsia="Arial" w:hAnsi="Arial"/>
          <w:sz w:val="14"/>
          <w:szCs w:val="14"/>
          <w:color w:val="auto"/>
        </w:rPr>
      </w:pPr>
    </w:p>
    <w:p>
      <w:pPr>
        <w:jc w:val="both"/>
        <w:ind w:left="1180" w:right="679" w:hanging="261"/>
        <w:spacing w:after="0" w:line="24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Implementing and testing controls around critical systems on a regular basis to ensure appropriate access control and segregation of duties. Limits on sign-on attempts for critical systems are enforced, with accounts being locked when the threshold are met. Alert systems notify of baseline control changes on critical systems, with the effectiveness and adequacy of controls periodically tested and the results reported to senior management and, if applicable, the Risk Committee, along with recommended risk mitigation strategies and the progress of actions taken to remediate findings.</w:t>
      </w:r>
    </w:p>
    <w:p>
      <w:pPr>
        <w:spacing w:after="0" w:line="2" w:lineRule="exact"/>
        <w:rPr>
          <w:rFonts w:ascii="Arial" w:cs="Arial" w:eastAsia="Arial" w:hAnsi="Arial"/>
          <w:sz w:val="14"/>
          <w:szCs w:val="14"/>
          <w:color w:val="auto"/>
        </w:rPr>
      </w:pPr>
    </w:p>
    <w:p>
      <w:pPr>
        <w:jc w:val="both"/>
        <w:ind w:left="1180" w:right="699" w:hanging="261"/>
        <w:spacing w:after="0" w:line="254"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Performing security monitoring, prevention, and risk mitigation activities to ensure the effectiveness of protection and detection systems. This includes maintaining up-to-date intrusion detection systems, antivirus protection, and properly configured firewall rules. Systems are monitored to identify, prevent, and contain cyber-attack attempts from all sources.</w:t>
      </w:r>
    </w:p>
    <w:p>
      <w:pPr>
        <w:spacing w:after="0" w:line="3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jc w:val="both"/>
        <w:ind w:left="1180" w:right="659" w:hanging="261"/>
        <w:spacing w:after="0" w:line="251"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Maintaining robust business continuity planning processes to swiftly recover, resume, and maintain operations post-cyber-attack incidents involving destructive malware. These processes encompass data and business operations recovery, network capability rebuilding, and data protection for offline backups in the event of cyber-attacks impacting the Company and/or its critical service providers.</w:t>
      </w:r>
    </w:p>
    <w:p>
      <w:pPr>
        <w:spacing w:after="0" w:line="1" w:lineRule="exact"/>
        <w:rPr>
          <w:rFonts w:ascii="Arial" w:cs="Arial" w:eastAsia="Arial" w:hAnsi="Arial"/>
          <w:sz w:val="14"/>
          <w:szCs w:val="14"/>
          <w:color w:val="auto"/>
        </w:rPr>
      </w:pPr>
    </w:p>
    <w:p>
      <w:pPr>
        <w:jc w:val="both"/>
        <w:ind w:left="1180" w:right="659" w:hanging="261"/>
        <w:spacing w:after="0" w:line="249"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Conducting ongoing information security risk assessments to address new and evolving threats to online deposit and loan accounts. This involves identifying, prioritizing, and assessing risks to critical systems, including threats to applications controlling various system parameters and implementing necessary security prevention measures.</w:t>
      </w:r>
    </w:p>
    <w:p>
      <w:pPr>
        <w:jc w:val="both"/>
        <w:ind w:left="1180" w:right="679" w:hanging="261"/>
        <w:spacing w:after="0" w:line="254"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Reviewing, updating, and testing incident response and business continuity plans annually to ensure effectiveness. Testing encompasses both in-house and third-party processor scenarios to validate employee understanding of responsibilities and adherence to Company protocols.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Executive Oversight and Roles</w:t>
      </w:r>
    </w:p>
    <w:p>
      <w:pPr>
        <w:spacing w:after="0" w:line="17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The responsibility for adopting and maintaining an effective cybersecurity program is assigned to the RMCD, who collaborates with functional area management, departmental level managers, and other relevant staff. Management committees and the Audit and Risk Committee of the Board (“ARC”) review reports submitted by the RMCD detailing the Company’s inherent and residual cybersecurity risk, program sophistication level, and high-risk threats identified in the cybersecurity risk assessment.</w:t>
      </w:r>
    </w:p>
    <w:p>
      <w:pPr>
        <w:spacing w:after="0" w:line="140"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The ARC oversees the development and maintenance of the information security program, holding management accountable. Management committees ensure program integration and effectiveness, with the RMCD responsible for cybersecurity controls and procedures. The ARC receives regular reports on cybersecurity risk assessment and program updates, providing expectations and requirements to management and holding them accountable for oversight and coordination, assignment of responsibility, and the effectiveness of the information and cybersecurity security program.</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Annually, or as required, the RMCD provides a comprehensive report to the Board regarding the status of the cybersecurity program. This report encompasses internal assessments, utilization of the Cybersecurity Assessment, discussion of significant program matters such as the annual risk assessment, risk management decisions, monitoring of service provider compliance, results of key controls testing, security breaches or violations, management's responses, and recommendations for program enhancements.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Engagement with Third Party Vendors</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engagement of critical third-party providers introduces a range of potential risks that can affect the Bank’s strategic direction, reputation, daily operations, transaction integrity, credit exposures, financial stability, technological environment, and compliance posture. Providers whose services include the transmission, storage, or processing of non-public personal information present heightened compliance risks, particularly with respect to the requirements of the GLB Act and other applicable Privacy Laws and Regulations.</w:t>
      </w:r>
    </w:p>
    <w:p>
      <w:pPr>
        <w:spacing w:after="0" w:line="126"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Bank has established general guidelines to support the identification, risk assessment, monitoring, and management of risks related to the engagement of third-party providers or vendors. This framework ensures that risks are addressed proactively and in accordance with regulatory expectations.</w:t>
      </w:r>
    </w:p>
    <w:p>
      <w:pPr>
        <w:spacing w:after="0" w:line="12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Risk assessment for critical providers may require the involvement of specialized personnel, including the compliance officer, technology officers, finance officers, internal auditors, and legal counsel. Their participation is essential for identifying potential risks arising from third-party relationships, defining performance criteria, establishing internal controls, specifying reporting requirements, and ensuring contractual obligations are in place for ongoing risk assessment and mitigation. This collaborative approach helps maintain the integrity and security of the Bank’s operations while meeting regulatory and legal standards.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Compliance with Regulatory Standards</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As noted above, annual testing, or more frequently if deemed necessary, of cybersecurity controls and procedures will be conducted to ensure compliance. In instances of identified deficiencies or vulnerabilities, remedial action plans will be implemented to rectify issues or establish mitigating controls. Any exceptions deemed significant will be promptly reported, with remediation efforts prioritized.</w:t>
      </w:r>
    </w:p>
    <w:p>
      <w:pPr>
        <w:spacing w:after="0" w:line="135" w:lineRule="exact"/>
        <w:rPr>
          <w:sz w:val="20"/>
          <w:szCs w:val="20"/>
          <w:color w:val="auto"/>
        </w:rPr>
      </w:pPr>
    </w:p>
    <w:p>
      <w:pPr>
        <w:jc w:val="both"/>
        <w:ind w:left="660" w:right="719" w:firstLine="256"/>
        <w:spacing w:after="0" w:line="257" w:lineRule="auto"/>
        <w:rPr>
          <w:sz w:val="20"/>
          <w:szCs w:val="20"/>
          <w:color w:val="auto"/>
        </w:rPr>
      </w:pPr>
      <w:r>
        <w:rPr>
          <w:rFonts w:ascii="Arial" w:cs="Arial" w:eastAsia="Arial" w:hAnsi="Arial"/>
          <w:sz w:val="14"/>
          <w:szCs w:val="14"/>
          <w:color w:val="auto"/>
        </w:rPr>
        <w:t>Annually, or as required, the RMCD will provide a comprehensive report to the ARC or a designated committee regarding the status of the cybersecurity program. This report will encompass internal assessments, utilization of the Cybersecurity Assessment, and discussion of other significant program matters.</w:t>
      </w:r>
    </w:p>
    <w:p>
      <w:pPr>
        <w:spacing w:after="0" w:line="36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As of the end of the reporting period set forth in this Annual Report on Form 10-K, there is no knowledge or indication that customer sensitive information was compromised as a result of third-parties’ system vulnerabilities. Management continues to monitor developments and vendor communications.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Properties</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Company’s corporate offices are headquartered at 2301 N.W. 87th Avenue, Doral, Florida 33172. The Company, through the Bank, operates 10 banking centers in South Florida within Miami-Dade and Broward counties. Of the 10 banking centers, nine of these locations are leased and one is owned. The banking center that is owned is located at 3999 Sheridan St, Hollywood, FL 33021. Management believes that each of these locations are in good condition and adequate to meet our present and foreseeable needs, subject to possible future expansion.</w:t>
      </w:r>
    </w:p>
    <w:p>
      <w:pPr>
        <w:spacing w:after="0" w:line="14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See Note 4 “Leases” and Note 5 “Premises and Equipment” to the Consolidated Financial Statements included in Item 8 in this Annual Report on Form 10-K for additional information.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Legal Proceedings</w:t>
      </w:r>
    </w:p>
    <w:p>
      <w:pPr>
        <w:spacing w:after="0" w:line="159" w:lineRule="exact"/>
        <w:rPr>
          <w:sz w:val="20"/>
          <w:szCs w:val="20"/>
          <w:color w:val="auto"/>
        </w:rPr>
      </w:pPr>
    </w:p>
    <w:p>
      <w:pPr>
        <w:ind w:left="660" w:right="619" w:firstLine="256"/>
        <w:spacing w:after="0" w:line="255"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6"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70" w:lineRule="exact"/>
        <w:rPr>
          <w:sz w:val="20"/>
          <w:szCs w:val="20"/>
          <w:color w:val="auto"/>
        </w:rPr>
      </w:pPr>
    </w:p>
    <w:p>
      <w:pPr>
        <w:ind w:left="1180" w:right="699" w:hanging="511"/>
        <w:spacing w:after="0" w:line="288"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 Market Information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In July 2021, the Bank’s Class A common stock began trading on the Nasdaq Stock Market under ticker symbol “USCB”.</w:t>
      </w:r>
    </w:p>
    <w:p>
      <w:pPr>
        <w:spacing w:after="0" w:line="18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Effective December 30, 2021, the Company acquired all issued and outstanding shares of Class A common stock of the Bank in connection with the bank holding company reorganization. Each of the outstanding shares of the Bank’s common stock formerly held by its shareholders was converted into and exchanged for one newly issued share of the Company’s Class A common stock. The Company’s Class A common stock is also listed on the Nasdaq Stock Market and uses the same ticker symbol.</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listing of our Class A common stock on the Nasdaq Stock Market has resulted in a more active trading market for our Class A common stock. However, we cannot assure investors that a liquid trading market for our Class A common stock will be sustained.</w:t>
      </w:r>
    </w:p>
    <w:p>
      <w:pPr>
        <w:spacing w:after="0" w:line="134"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color w:val="auto"/>
        </w:rPr>
        <w:t>Prior to our listing on the Nasdaq Stock Market there was not an established public trading market for the Class A common shares.</w:t>
      </w:r>
    </w:p>
    <w:p>
      <w:pPr>
        <w:spacing w:after="0" w:line="99"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As of December 31, 2025, our Class B common stock is not listed or traded on any stock exchange and no shares were issued and outstanding at such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Holders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As of February 28, 2026, the Company’s Class A common shares were held by approximately 550 shareholders of record, not including the number of persons or entities whose stock is held in nominee or “street” name through various brokerage firms and banks.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As a bank holding company, the Company’s ability to declare and pay dividends depends on various federal regulatory considerations, including the guidelines of the Federal Reserve regarding capital adequacy and dividends. The Company has agreed to provide notice to the Federal Reserve prior to paying any cash dividends on its Class A common stock.</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and state banking laws, regulations and policies. The Bank cannot declare and pay and cash dividends to the Company without receiving the prior approval of the FDIC.</w:t>
      </w:r>
    </w:p>
    <w:p>
      <w:pPr>
        <w:spacing w:after="0" w:line="14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 amount that would be needed for the Company to satisfy the preferential rights upon dissolution of shareholders whose preferential rights are superior to those receiving the dividend, if any.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59"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See Note 10 ”Equity Based and Other Compensation Plans” to the Consolidated Financial Statements included in this Annual Report Form on 10-K for additional information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70" w:lineRule="exact"/>
        <w:rPr>
          <w:sz w:val="20"/>
          <w:szCs w:val="20"/>
          <w:color w:val="auto"/>
        </w:rPr>
      </w:pPr>
    </w:p>
    <w:p>
      <w:pPr>
        <w:ind w:left="660" w:right="919" w:firstLine="256"/>
        <w:spacing w:after="0" w:line="485" w:lineRule="auto"/>
        <w:rPr>
          <w:sz w:val="20"/>
          <w:szCs w:val="20"/>
          <w:color w:val="auto"/>
        </w:rPr>
      </w:pPr>
      <w:r>
        <w:rPr>
          <w:rFonts w:ascii="Arial" w:cs="Arial" w:eastAsia="Arial" w:hAnsi="Arial"/>
          <w:sz w:val="14"/>
          <w:szCs w:val="14"/>
          <w:color w:val="auto"/>
        </w:rPr>
        <w:t xml:space="preserve">The Company did not sell any of its equity securities during 2025 that were not registered under the Securities Act. </w:t>
      </w:r>
      <w:r>
        <w:rPr>
          <w:rFonts w:ascii="Arial" w:cs="Arial" w:eastAsia="Arial" w:hAnsi="Arial"/>
          <w:sz w:val="14"/>
          <w:szCs w:val="14"/>
          <w:b w:val="1"/>
          <w:bCs w:val="1"/>
          <w:color w:val="auto"/>
        </w:rPr>
        <w:t>Purchases of Equity Securities by Issuer and Other Affiliates</w:t>
      </w:r>
    </w:p>
    <w:p>
      <w:pPr>
        <w:jc w:val="both"/>
        <w:ind w:left="660" w:right="639" w:firstLine="256"/>
        <w:spacing w:after="0" w:line="249" w:lineRule="auto"/>
        <w:rPr>
          <w:sz w:val="20"/>
          <w:szCs w:val="20"/>
          <w:color w:val="auto"/>
        </w:rPr>
      </w:pPr>
      <w:r>
        <w:rPr>
          <w:rFonts w:ascii="Arial" w:cs="Arial" w:eastAsia="Arial" w:hAnsi="Arial"/>
          <w:sz w:val="14"/>
          <w:szCs w:val="14"/>
          <w:color w:val="auto"/>
        </w:rPr>
        <w:t>On January 24, 2022, the Board of Directors approved the first share repurchase program of up to 750,000 shares of Class A common stock. On April 22, 2024 the Board of Directors approved the second share repurchase program of up to 500,000 shares of Class A common stock. Under the repurchase programs, the Company may purchase shares of Class A common stock on a discretionary basis from time to time through open market repurchases, privately negotiated transactions, or otherwise in compliance with Rule 10b-18 under the Exchange Act. As of December 31, 2025, the Company had repurchased 9,671 shares of Class A common stock under the first program and no shares under the second repurchase program. The Company did not repurchase any of its equity securities for the quarter ended December 31, 2025. As of December 31, 2025, 528,309 shares remained authorized for repurchase under the Company’s two stock repurchase programs.</w:t>
      </w:r>
    </w:p>
    <w:p>
      <w:pPr>
        <w:spacing w:after="0" w:line="12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year ended December 31, 2025, the Company repurchased 2.0 million shares of Class A common stock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 described above.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72" w:lineRule="exact"/>
        <w:rPr>
          <w:sz w:val="20"/>
          <w:szCs w:val="20"/>
          <w:color w:val="auto"/>
        </w:rPr>
      </w:pPr>
    </w:p>
    <w:p>
      <w:pPr>
        <w:ind w:left="660" w:right="659" w:firstLine="256"/>
        <w:spacing w:after="0" w:line="248" w:lineRule="auto"/>
        <w:rPr>
          <w:sz w:val="20"/>
          <w:szCs w:val="20"/>
          <w:color w:val="auto"/>
        </w:rPr>
      </w:pPr>
      <w:r>
        <w:rPr>
          <w:rFonts w:ascii="Arial" w:cs="Arial" w:eastAsia="Arial" w:hAnsi="Arial"/>
          <w:sz w:val="14"/>
          <w:szCs w:val="14"/>
          <w:i w:val="1"/>
          <w:iCs w:val="1"/>
          <w:color w:val="auto"/>
        </w:rPr>
        <w:t>Management’s discussion and analysis of financial condition and results of operations analyzes the consolidated financial condition and results of operations of the Company and the Bank, its wholly owned subsidiary, for the years ended December 31, 2025 and 2024. This discussion and analysis is best read in conjunction with the Consolidated Financial Statements and related footnotes of the Company presented in Item 8 “Financial Statements and Supplementary Data”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of this Annual Report.</w:t>
      </w:r>
    </w:p>
    <w:p>
      <w:pPr>
        <w:spacing w:after="0" w:line="131" w:lineRule="exact"/>
        <w:rPr>
          <w:sz w:val="20"/>
          <w:szCs w:val="20"/>
          <w:color w:val="auto"/>
        </w:rPr>
      </w:pPr>
    </w:p>
    <w:p>
      <w:pPr>
        <w:ind w:left="660" w:right="679" w:firstLine="256"/>
        <w:spacing w:after="0" w:line="289" w:lineRule="auto"/>
        <w:rPr>
          <w:sz w:val="20"/>
          <w:szCs w:val="20"/>
          <w:color w:val="auto"/>
        </w:rPr>
      </w:pPr>
      <w:r>
        <w:rPr>
          <w:rFonts w:ascii="Arial" w:cs="Arial" w:eastAsia="Arial" w:hAnsi="Arial"/>
          <w:sz w:val="14"/>
          <w:szCs w:val="14"/>
          <w:i w:val="1"/>
          <w:iCs w:val="1"/>
          <w:color w:val="auto"/>
        </w:rPr>
        <w:t>In this Annual Report on Form 10-K, unless the context indicated otherwise, references to “we,” “us,”, and “our” refer to the Company and the Bank, as the contest dictates.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CAUTIONARY NOTE REGARDING FORWARD -LOOKING STATEMENTS</w:t>
      </w:r>
    </w:p>
    <w:p>
      <w:pPr>
        <w:spacing w:after="0" w:line="17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“seek,” “continue,” and “intend,” the negative of these terms,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potential future additional balance sheet restructuring.</w:t>
      </w:r>
    </w:p>
    <w:p>
      <w:pPr>
        <w:spacing w:after="0" w:line="14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0" w:lineRule="exact"/>
        <w:rPr>
          <w:sz w:val="20"/>
          <w:szCs w:val="20"/>
          <w:color w:val="auto"/>
        </w:rPr>
      </w:pPr>
    </w:p>
    <w:p>
      <w:pPr>
        <w:ind w:left="1180" w:right="699" w:hanging="261"/>
        <w:spacing w:after="0" w:line="249" w:lineRule="auto"/>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spacing w:after="0" w:line="10" w:lineRule="exact"/>
        <w:rPr>
          <w:sz w:val="20"/>
          <w:szCs w:val="20"/>
          <w:color w:val="auto"/>
        </w:rPr>
      </w:pPr>
    </w:p>
    <w:p>
      <w:pPr>
        <w:ind w:left="1180" w:right="679" w:hanging="261"/>
        <w:spacing w:after="0" w:line="246"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procedures and processes;</w:t>
      </w:r>
    </w:p>
    <w:p>
      <w:pPr>
        <w:ind w:left="1180" w:right="719" w:hanging="261"/>
        <w:spacing w:after="0" w:line="238"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719" w:hanging="261"/>
        <w:spacing w:after="0" w:line="246"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adverse changes or conditions in the capital and financial markets, including actual or potential stresses in the banking industry;</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spacing w:after="0" w:line="9" w:lineRule="exact"/>
        <w:rPr>
          <w:rFonts w:ascii="Arial" w:cs="Arial" w:eastAsia="Arial" w:hAnsi="Arial"/>
          <w:sz w:val="14"/>
          <w:szCs w:val="14"/>
          <w:color w:val="auto"/>
        </w:rPr>
      </w:pPr>
    </w:p>
    <w:p>
      <w:pPr>
        <w:ind w:left="1180" w:right="679" w:hanging="261"/>
        <w:spacing w:after="0" w:line="256" w:lineRule="auto"/>
        <w:tabs>
          <w:tab w:leader="none" w:pos="1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legislative or regulatory changes and changes including the enactment of the One Big Beautiful Bill Act and changes in accounting principles, policies, practices or guidelines, including the on-going effects of the CECL standard ;</w:t>
      </w:r>
    </w:p>
    <w:p>
      <w:pPr>
        <w:spacing w:after="0" w:line="1" w:lineRule="exact"/>
        <w:rPr>
          <w:rFonts w:ascii="Arial" w:cs="Arial" w:eastAsia="Arial" w:hAnsi="Arial"/>
          <w:sz w:val="13"/>
          <w:szCs w:val="13"/>
          <w:color w:val="auto"/>
        </w:rPr>
      </w:pPr>
    </w:p>
    <w:p>
      <w:pPr>
        <w:jc w:val="both"/>
        <w:ind w:left="1180" w:right="679" w:hanging="261"/>
        <w:spacing w:after="0" w:line="243"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effects of climate change;</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46"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effects of potential new or increased tariffs, retaliatory tariffs and trade restrictions;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ind w:left="1180" w:right="719" w:hanging="261"/>
        <w:spacing w:after="0" w:line="238"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net interest rate spread and net interest margin;</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loss of key employees;</w:t>
      </w:r>
    </w:p>
    <w:p>
      <w:pPr>
        <w:spacing w:after="0" w:line="9" w:lineRule="exact"/>
        <w:rPr>
          <w:rFonts w:ascii="Arial" w:cs="Arial" w:eastAsia="Arial" w:hAnsi="Arial"/>
          <w:sz w:val="14"/>
          <w:szCs w:val="14"/>
          <w:color w:val="auto"/>
        </w:rPr>
      </w:pPr>
    </w:p>
    <w:p>
      <w:pPr>
        <w:ind w:left="1180" w:right="699" w:hanging="261"/>
        <w:spacing w:after="0" w:line="246"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hanging="261"/>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risks described in this Annual Report on Form 10-K and other filings we make with the SEC.</w:t>
      </w:r>
    </w:p>
    <w:p>
      <w:pPr>
        <w:spacing w:after="0" w:line="14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 -looking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the Company filed or will file with the SEC.</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This Annual Report on Form 10-K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1" w:lineRule="auto"/>
        <w:rPr>
          <w:sz w:val="20"/>
          <w:szCs w:val="20"/>
          <w:color w:val="auto"/>
        </w:rPr>
      </w:pPr>
      <w:r>
        <w:rPr>
          <w:rFonts w:ascii="Arial" w:cs="Arial" w:eastAsia="Arial" w:hAnsi="Arial"/>
          <w:sz w:val="14"/>
          <w:szCs w:val="14"/>
          <w:color w:val="auto"/>
        </w:rPr>
        <w:t>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this Annual Report on form 10-K.</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For the year ended December 31, 2025, the Company reported net income of $26.1 million compared with net income of $24.7 million for the year ended December 31, 2024.</w:t>
      </w:r>
    </w:p>
    <w:p>
      <w:pPr>
        <w:spacing w:after="0" w:line="110" w:lineRule="exact"/>
        <w:rPr>
          <w:sz w:val="20"/>
          <w:szCs w:val="20"/>
          <w:color w:val="auto"/>
        </w:rPr>
      </w:pPr>
    </w:p>
    <w:p>
      <w:pPr>
        <w:jc w:val="both"/>
        <w:ind w:left="660" w:right="699" w:firstLine="256"/>
        <w:spacing w:after="0" w:line="261" w:lineRule="auto"/>
        <w:rPr>
          <w:sz w:val="20"/>
          <w:szCs w:val="20"/>
          <w:color w:val="auto"/>
        </w:rPr>
      </w:pPr>
      <w:r>
        <w:rPr>
          <w:rFonts w:ascii="Arial" w:cs="Arial" w:eastAsia="Arial" w:hAnsi="Arial"/>
          <w:sz w:val="14"/>
          <w:szCs w:val="14"/>
          <w:color w:val="auto"/>
        </w:rPr>
        <w:t>In evaluating our financial performance, we consider the level of and trends in net interest income, the net interest margin, the cost of deposits, growth and composition of our loan portfolio, levels and composition of non-interest income and non-interest expense, performance ratios, asset quality ratios, regulatory capital ratios, and any significant event or transaction.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significant highlights are of note for the year ended December 31, 2025:</w:t>
      </w:r>
    </w:p>
    <w:p>
      <w:pPr>
        <w:spacing w:after="0" w:line="170" w:lineRule="exact"/>
        <w:rPr>
          <w:sz w:val="20"/>
          <w:szCs w:val="20"/>
          <w:color w:val="auto"/>
        </w:rPr>
      </w:pPr>
    </w:p>
    <w:p>
      <w:pPr>
        <w:ind w:left="1180" w:right="679" w:hanging="261"/>
        <w:spacing w:after="0" w:line="276"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interest income before provision for credit losses totaled $83.6 million, an increase of $13.7 million or 19.6%, compared to $69.9 million for the year ended December 31, 2024.</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interest margin (“NIM”) was 3.20% for the year ended December 31, 2025, an improvement from 2.94% for the year ended December 31, 2024.</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assets grew to $2.8 billion at December 31, 2025, an increase of $210.3 million or 8.1%, compared to $2.6 billion at December 31, 2024.</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loans held for investment grew to $2.2 billion at December 31, 2025, an increase of $216.4 million or 11.0%, compared to $2.0 billion at December 31, 2024.</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Return on average assets for the year ended December 31, 2025 was 0.96% compared to 0.99% for 2024.</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Return on average stockholders’ equity for the year ended December 31, 2025 was 11.79% compared to 12.11% for 2024.</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Nonperforming assets totaled $3.1 million at December 31, 2025 compared to $2.7 million at December 31, 2024.</w:t>
      </w:r>
    </w:p>
    <w:p>
      <w:pPr>
        <w:spacing w:after="0" w:line="169" w:lineRule="exact"/>
        <w:rPr>
          <w:rFonts w:ascii="Arial" w:cs="Arial" w:eastAsia="Arial" w:hAnsi="Arial"/>
          <w:sz w:val="14"/>
          <w:szCs w:val="14"/>
          <w:color w:val="auto"/>
        </w:rPr>
      </w:pPr>
    </w:p>
    <w:p>
      <w:pPr>
        <w:ind w:left="1180" w:right="639" w:hanging="261"/>
        <w:spacing w:after="0" w:line="252"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Bank maintained its strong capital position. As of December 31, 2025, the Bank was well-capitalized for regulatory capital purposes, with a total risk-based capital ratio of 13.67%, a tier 1 risk-based capital ratio of 12.47%, a common equity tier 1 capital ratio of 12.47%, and a leverage ratio of 9.65%. As of December 31, 2025 and December 31, 2024, all of the Bank’s regulatory capital ratios exceeded the thresholds to be well-capitalized under the applicable bank regulatory requirements. The Company, as a small bank holding company, is not subject to regulatory capital requirements.</w:t>
      </w:r>
    </w:p>
    <w:p>
      <w:pPr>
        <w:spacing w:after="0" w:line="138" w:lineRule="exact"/>
        <w:rPr>
          <w:rFonts w:ascii="Arial" w:cs="Arial" w:eastAsia="Arial" w:hAnsi="Arial"/>
          <w:sz w:val="14"/>
          <w:szCs w:val="14"/>
          <w:color w:val="auto"/>
        </w:rPr>
      </w:pPr>
    </w:p>
    <w:p>
      <w:pPr>
        <w:jc w:val="both"/>
        <w:ind w:left="1180" w:right="659" w:hanging="261"/>
        <w:spacing w:after="0" w:line="248"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August 15, 2035 in a private placement transaction. This transaction was conducted under the provisions of Regulation D promulgated under the Securities Act 1933. The subordinated notes were issued by the Company to the purchasers at a price equal to 100% of their face amount. The majority of the net proceeds were used to repurchase 2.0 million shares of Class A common stock in September 2025,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w:t>
      </w:r>
    </w:p>
    <w:p>
      <w:pPr>
        <w:spacing w:after="0" w:line="128"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During the fourth quarter of 2025 the Company executed a portfolio restructuring strategy which resulted in a sale of $44.6 million of its lower-yielding available-for sale securities for a pre-tax loss of $7.5 million. The majority of proceeds from the sale were reinvested into loans at quarter-end.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70"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to our Consolidated Financial Statements.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Allowance for Credit Losses - Loans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or decrease the allowance. Management considers the policies related to the ACL as the most critical to the Company’s financ ial statement presentation.</w:t>
      </w:r>
    </w:p>
    <w:p>
      <w:pPr>
        <w:spacing w:after="0" w:line="140" w:lineRule="exact"/>
        <w:rPr>
          <w:sz w:val="20"/>
          <w:szCs w:val="20"/>
          <w:color w:val="auto"/>
        </w:rPr>
      </w:pPr>
    </w:p>
    <w:p>
      <w:pPr>
        <w:ind w:left="660" w:right="619" w:firstLine="256"/>
        <w:spacing w:after="0" w:line="248" w:lineRule="auto"/>
        <w:rPr>
          <w:sz w:val="20"/>
          <w:szCs w:val="20"/>
          <w:color w:val="auto"/>
        </w:rPr>
      </w:pPr>
      <w:r>
        <w:rPr>
          <w:rFonts w:ascii="Arial" w:cs="Arial" w:eastAsia="Arial" w:hAnsi="Arial"/>
          <w:sz w:val="14"/>
          <w:szCs w:val="14"/>
          <w:color w:val="auto"/>
        </w:rPr>
        <w:t>ACL is calculated using CECL methodology. The CECL methodology measures expected credit losses and applies to financial assets measured at amortized cost, including loan receivables and held-to-maturity debt securities. It also applies to off -balance sheet credit exposures not accounted for as insurance (e.g., loan commitments, standby letters of credit, financial guarantees, and similar instruments), as well as net investments in leases recognized by lessors in accordance with Topic 842 on leases.The Company estimates the allowance for credit losses by utilizing pertinent available data, sourced both internally and externally, relating to past events, current conditions, and reasonable and supportable forecasts. Historical credit losses provide the foundation for the estimation of expected credit losses. Qualitative adjustments are applied to the estimated expected credit losses for the loan portfolio to account for potential constraints of the quantitative model. Management employs a scorecard to facilitate the evaluation of qualitative factor adjustments made to expected credit losses.</w:t>
      </w:r>
    </w:p>
    <w:p>
      <w:pPr>
        <w:spacing w:after="0" w:line="139"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estimation's quantitative aspect relies on the statistical correlation between the anticipated value of an economic indicator and the historical loss experience implied within a selected group of peers. The Company conducted regression analyses using peer data, inclusive of the Company itself, where observed credit losses and chosen economic indicators were utilized to identify appropriate drivers for modeling the lifetime probability of default (“PD”) rates. A loss given default rate (“LGD”) is assigned to each pool of loans for each period based on these PD outcomes. The model primarily employs an expected discounted cash flow (“DCF”) analysis for segments within the loan portfolio. This DCF analysis operates at the individual instrument level and incorporates various loan-specific data points and segment-specific assumptions to ascertain the lifetime expected loss associated with each instrument. An implicit "hypothetical loss" is determined for each period of the DCF, aiding in establishing the present value of future cash flows for each period. The reserve allocated to a particular loan represents the disparity between the sum of the present value of future cash flows and the book balance of the loan at the measurement date.</w:t>
      </w:r>
    </w:p>
    <w:p>
      <w:pPr>
        <w:spacing w:after="0" w:line="14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uses the Remaining Life (“WARM”) methodology for five segments within the loan portfolio. For each segment, a long-term average loss rate is computed and applied quarterly throughout the remaining life of the pool. Qualitative assessments are conducted to adjust for economic expectations. To estimate the remaining life, management employed a software solution utilizing an attrition-based calculation. This software conducts quarterly cohort-based attrition measurements based on the loan portfolio.</w:t>
      </w:r>
    </w:p>
    <w:p>
      <w:pPr>
        <w:spacing w:after="0" w:line="14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Portfolio segments represent the level at which loss assumptions are applied to a pool of loans, determined by the similarity of risk characteristics inherent in the included instruments, based on collateral codes and FFIEC Call Report codes. Currently, the Company segments the portfolio based on collateral codes to establish reserves. Each segment is linked to regression models (Loss Driver Analyses) using peer data for loans with similar risk characteristics. The Company has established connections between internal portfolio segmentation and FFIEC Call Report codes for this purpose. The loss driver for each loan portfolio segment is derived from a readily available and reasonable economic forecast, including Federal Reserve Bank projections of the U.S. civilian unemployment rate and year-over-year real GDP growth. For the residential loan segment, House Price Index (“HPI”) projections published by Fannie Mae’s Economic and Strategic Research Group are utilized for the forecast. Forecasts are applied for the first four quarters of the credit loss estimate and then linearly revert to the historical mean of the economic indicator over the expected life of the loans.</w:t>
      </w:r>
    </w:p>
    <w:p>
      <w:pPr>
        <w:spacing w:after="0" w:line="39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model integrates qualitative factor adjustments to fine-tune risk calibration for each portfolio segment, addressing aspects that quantitative analysis may not fully capture. Decisions concerning qualitative adjustments reflect management's anticipation of loss conditions deviating from those already accounted for in the quantitative aspect of the model.</w:t>
      </w:r>
    </w:p>
    <w:p>
      <w:pPr>
        <w:spacing w:after="0" w:line="118"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December 31, 2025, for every 100 basis points increase in the HPI index, the forecast reduces reserves by approximately $398 thousand and about 2 basis points to the reserve coverage ratio, everything else being constant. This sensitivity analysis provides a hypothetical result to assess the sensitivity of the ACL and does not represent a change in management’s judgement.</w:t>
      </w:r>
    </w:p>
    <w:p>
      <w:pPr>
        <w:spacing w:after="0" w:line="12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As of December 31, 2025, we stress tested two qualitative factors in our commercial real estate loan pool, as it’s the largest segment in our portfolio. We evaluated the impact of a change in the qualitative factors from no risk to maximum loss to measure the sensitivity of the qualitative factors. The change resulted in a $10.3 million or 39.6% increase in the ACL. This sensitivity analysis provides a hypothetical result to assess the sensitivity of the ACL and does not represent a change in management’s judgement.</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calculates a reserve for unfunded commitments, distinct from the allowance for credit losses reported in accrued interest and other liabilities. This reserve is determined using both quantitative and qualitative factors identical to those applied to the collectively evaluated loan portfolio.</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6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and for the periods indicated (in thousands, except ratios):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13"/>
                <w:szCs w:val="13"/>
                <w:color w:val="auto"/>
              </w:rPr>
            </w:pPr>
          </w:p>
        </w:tc>
      </w:tr>
      <w:tr>
        <w:trPr>
          <w:trHeight w:val="161"/>
        </w:trPr>
        <w:tc>
          <w:tcPr>
            <w:tcW w:w="5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CCEEFF"/>
            </w:tcBorders>
          </w:tcPr>
          <w:p>
            <w:pPr>
              <w:spacing w:after="0"/>
              <w:rPr>
                <w:sz w:val="14"/>
                <w:szCs w:val="14"/>
                <w:color w:val="auto"/>
              </w:rPr>
            </w:pPr>
          </w:p>
        </w:tc>
      </w:tr>
      <w:tr>
        <w:trPr>
          <w:trHeight w:val="16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2,791,540</w:t>
            </w:r>
          </w:p>
        </w:tc>
        <w:tc>
          <w:tcPr>
            <w:tcW w:w="34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2,581,216</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Total loans held for investment</w:t>
            </w:r>
            <w:r>
              <w:rPr>
                <w:rFonts w:ascii="Arial" w:cs="Arial" w:eastAsia="Arial" w:hAnsi="Arial"/>
                <w:sz w:val="17"/>
                <w:szCs w:val="1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2,189,257</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1,972,848</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2,345,080</w:t>
            </w:r>
          </w:p>
        </w:tc>
        <w:tc>
          <w:tcPr>
            <w:tcW w:w="34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2,174,004</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217,183</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215,388</w:t>
            </w:r>
          </w:p>
        </w:tc>
        <w:tc>
          <w:tcPr>
            <w:tcW w:w="20" w:type="dxa"/>
            <w:vAlign w:val="bottom"/>
            <w:shd w:val="clear" w:color="auto" w:fill="CCEEFF"/>
          </w:tcPr>
          <w:p>
            <w:pPr>
              <w:spacing w:after="0"/>
              <w:rPr>
                <w:sz w:val="14"/>
                <w:szCs w:val="14"/>
                <w:color w:val="auto"/>
              </w:rPr>
            </w:pPr>
          </w:p>
        </w:tc>
      </w:tr>
      <w:tr>
        <w:trPr>
          <w:trHeight w:val="139"/>
        </w:trPr>
        <w:tc>
          <w:tcPr>
            <w:tcW w:w="50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5040" w:type="dxa"/>
            <w:vAlign w:val="bottom"/>
          </w:tcPr>
          <w:p>
            <w:pPr>
              <w:spacing w:after="0"/>
              <w:rPr>
                <w:sz w:val="20"/>
                <w:szCs w:val="20"/>
                <w:color w:val="auto"/>
              </w:rPr>
            </w:pPr>
            <w:r>
              <w:rPr>
                <w:rFonts w:ascii="Arial" w:cs="Arial" w:eastAsia="Arial" w:hAnsi="Arial"/>
                <w:sz w:val="11"/>
                <w:szCs w:val="11"/>
                <w:color w:val="auto"/>
              </w:rPr>
              <w:t>(1) Loan amounts include deferred fees/costs.</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50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83,630</w:t>
            </w:r>
          </w:p>
        </w:tc>
        <w:tc>
          <w:tcPr>
            <w:tcW w:w="86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69,936</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2,297</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6,592</w:t>
            </w:r>
          </w:p>
        </w:tc>
        <w:tc>
          <w:tcPr>
            <w:tcW w:w="86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12,740</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52,009</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47,042</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26,100</w:t>
            </w:r>
          </w:p>
        </w:tc>
        <w:tc>
          <w:tcPr>
            <w:tcW w:w="86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24,674</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26,100</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24,674</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57.65%</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56.90%</w:t>
            </w:r>
          </w:p>
        </w:tc>
        <w:tc>
          <w:tcPr>
            <w:tcW w:w="20" w:type="dxa"/>
            <w:vAlign w:val="bottom"/>
            <w:shd w:val="clear" w:color="auto" w:fill="CCEEFF"/>
          </w:tcPr>
          <w:p>
            <w:pPr>
              <w:spacing w:after="0"/>
              <w:rPr>
                <w:sz w:val="14"/>
                <w:szCs w:val="14"/>
                <w:color w:val="auto"/>
              </w:rPr>
            </w:pPr>
          </w:p>
        </w:tc>
      </w:tr>
      <w:tr>
        <w:trPr>
          <w:trHeight w:val="179"/>
        </w:trPr>
        <w:tc>
          <w:tcPr>
            <w:tcW w:w="504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3.20%</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2.94%</w:t>
            </w:r>
          </w:p>
        </w:tc>
        <w:tc>
          <w:tcPr>
            <w:tcW w:w="20" w:type="dxa"/>
            <w:vAlign w:val="bottom"/>
          </w:tcPr>
          <w:p>
            <w:pPr>
              <w:spacing w:after="0"/>
              <w:rPr>
                <w:sz w:val="15"/>
                <w:szCs w:val="15"/>
                <w:color w:val="auto"/>
              </w:rPr>
            </w:pPr>
          </w:p>
        </w:tc>
      </w:tr>
    </w:tbl>
    <w:p>
      <w:pPr>
        <w:spacing w:after="0" w:line="13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 and the provision for income taxes.</w:t>
      </w:r>
    </w:p>
    <w:p>
      <w:pPr>
        <w:spacing w:after="0" w:line="128"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Net income for the year ended December 31, 2025 was $26.1 million , compared with net income of $24.7 million for the same period in 2024. The Company reported net income per diluted share for the year ended December 31, 2025 of $1.33 compared to net income per diluted share for the same period in 2024 of $1.24.</w:t>
      </w:r>
    </w:p>
    <w:p>
      <w:pPr>
        <w:spacing w:after="0" w:line="40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8"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4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the weighted average yields earned on interest -earning assets and the weighted average rates paid on interest-bearing liabilities. Net interest margin is equal to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39"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The Asset-Liability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7" w:name="page58"/>
    <w:bookmarkEnd w:id="5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contains information related to average balances, average yields on assets, and average costs of liabilities for the periods indicated (in thousands).</w:t>
      </w:r>
    </w:p>
    <w:p>
      <w:pPr>
        <w:spacing w:after="0" w:line="11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0"/>
          </w:tcPr>
          <w:p>
            <w:pPr>
              <w:jc w:val="right"/>
              <w:ind w:right="16"/>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96"/>
              </w:rPr>
              <w:t>2024</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76"/>
              <w:spacing w:after="0" w:line="160" w:lineRule="exact"/>
              <w:rPr>
                <w:sz w:val="20"/>
                <w:szCs w:val="20"/>
                <w:color w:val="auto"/>
              </w:rPr>
            </w:pPr>
            <w:r>
              <w:rPr>
                <w:rFonts w:ascii="Arial" w:cs="Arial" w:eastAsia="Arial" w:hAnsi="Arial"/>
                <w:sz w:val="13"/>
                <w:szCs w:val="13"/>
                <w:b w:val="1"/>
                <w:bCs w:val="1"/>
                <w:color w:val="auto"/>
                <w:w w:val="94"/>
              </w:rPr>
              <w:t xml:space="preserve">Balance </w:t>
            </w:r>
            <w:r>
              <w:rPr>
                <w:rFonts w:ascii="Arial" w:cs="Arial" w:eastAsia="Arial" w:hAnsi="Arial"/>
                <w:sz w:val="17"/>
                <w:szCs w:val="17"/>
                <w:b w:val="1"/>
                <w:bCs w:val="1"/>
                <w:color w:val="auto"/>
                <w:w w:val="94"/>
                <w:vertAlign w:val="superscript"/>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Interest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98"/>
              </w:rPr>
              <w:t>Yield/Rate</w:t>
            </w:r>
          </w:p>
        </w:tc>
        <w:tc>
          <w:tcPr>
            <w:tcW w:w="740" w:type="dxa"/>
            <w:vAlign w:val="bottom"/>
          </w:tcPr>
          <w:p>
            <w:pPr>
              <w:jc w:val="right"/>
              <w:ind w:right="56"/>
              <w:spacing w:after="0" w:line="160" w:lineRule="exact"/>
              <w:rPr>
                <w:sz w:val="20"/>
                <w:szCs w:val="20"/>
                <w:color w:val="auto"/>
              </w:rPr>
            </w:pPr>
            <w:r>
              <w:rPr>
                <w:rFonts w:ascii="Arial" w:cs="Arial" w:eastAsia="Arial" w:hAnsi="Arial"/>
                <w:sz w:val="13"/>
                <w:szCs w:val="13"/>
                <w:b w:val="1"/>
                <w:bCs w:val="1"/>
                <w:color w:val="auto"/>
                <w:w w:val="89"/>
              </w:rPr>
              <w:t xml:space="preserve">Balance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Interest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Yield/Rate</w:t>
            </w:r>
          </w:p>
        </w:tc>
        <w:tc>
          <w:tcPr>
            <w:tcW w:w="0" w:type="dxa"/>
            <w:vAlign w:val="bottom"/>
          </w:tcPr>
          <w:p>
            <w:pPr>
              <w:spacing w:after="0"/>
              <w:rPr>
                <w:sz w:val="1"/>
                <w:szCs w:val="1"/>
                <w:color w:val="auto"/>
              </w:rPr>
            </w:pPr>
          </w:p>
        </w:tc>
      </w:tr>
      <w:tr>
        <w:trPr>
          <w:trHeight w:val="141"/>
        </w:trPr>
        <w:tc>
          <w:tcPr>
            <w:tcW w:w="2700" w:type="dxa"/>
            <w:vAlign w:val="bottom"/>
            <w:tcBorders>
              <w:top w:val="single" w:sz="8" w:color="CCEEFF"/>
            </w:tcBorders>
            <w:gridSpan w:val="3"/>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920" w:type="dxa"/>
            <w:vAlign w:val="bottom"/>
            <w:gridSpan w:val="4"/>
          </w:tcPr>
          <w:p>
            <w:pPr>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0" w:type="dxa"/>
            <w:vAlign w:val="bottom"/>
            <w:shd w:val="clear" w:color="auto" w:fill="CCEEFF"/>
          </w:tcPr>
          <w:p>
            <w:pPr>
              <w:spacing w:after="0"/>
              <w:rPr>
                <w:sz w:val="22"/>
                <w:szCs w:val="22"/>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22"/>
                <w:szCs w:val="22"/>
                <w:color w:val="auto"/>
              </w:rPr>
            </w:pPr>
          </w:p>
        </w:tc>
        <w:tc>
          <w:tcPr>
            <w:tcW w:w="80" w:type="dxa"/>
            <w:vAlign w:val="bottom"/>
            <w:vMerge w:val="restart"/>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2,069,039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128,160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40" w:type="dxa"/>
            <w:vAlign w:val="bottom"/>
            <w:shd w:val="clear" w:color="auto" w:fill="CCEEFF"/>
          </w:tcPr>
          <w:p>
            <w:pPr>
              <w:spacing w:after="0"/>
              <w:rPr>
                <w:sz w:val="22"/>
                <w:szCs w:val="2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1,862,013</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115,236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6.19 %</w:t>
            </w:r>
          </w:p>
        </w:tc>
        <w:tc>
          <w:tcPr>
            <w:tcW w:w="0" w:type="dxa"/>
            <w:vAlign w:val="bottom"/>
          </w:tcPr>
          <w:p>
            <w:pPr>
              <w:spacing w:after="0"/>
              <w:rPr>
                <w:sz w:val="1"/>
                <w:szCs w:val="1"/>
                <w:color w:val="auto"/>
              </w:rPr>
            </w:pPr>
          </w:p>
        </w:tc>
      </w:tr>
      <w:tr>
        <w:trPr>
          <w:trHeight w:val="96"/>
        </w:trPr>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40" w:type="dxa"/>
            <w:vAlign w:val="bottom"/>
            <w:gridSpan w:val="2"/>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40" w:type="dxa"/>
            <w:vAlign w:val="bottom"/>
            <w:gridSpan w:val="2"/>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60" w:type="dxa"/>
            <w:vAlign w:val="bottom"/>
            <w:gridSpan w:val="3"/>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40" w:type="dxa"/>
            <w:vAlign w:val="bottom"/>
            <w:gridSpan w:val="2"/>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60" w:type="dxa"/>
            <w:vAlign w:val="bottom"/>
            <w:gridSpan w:val="2"/>
            <w:shd w:val="clear" w:color="auto" w:fill="CCEEFF"/>
          </w:tcPr>
          <w:p>
            <w:pPr>
              <w:spacing w:after="0"/>
              <w:rPr>
                <w:sz w:val="8"/>
                <w:szCs w:val="8"/>
                <w:color w:val="auto"/>
              </w:rPr>
            </w:pPr>
          </w:p>
        </w:tc>
        <w:tc>
          <w:tcPr>
            <w:tcW w:w="640" w:type="dxa"/>
            <w:vAlign w:val="bottom"/>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920" w:type="dxa"/>
            <w:vAlign w:val="bottom"/>
            <w:gridSpan w:val="4"/>
          </w:tcPr>
          <w:p>
            <w:pPr>
              <w:ind w:left="100"/>
              <w:spacing w:after="0"/>
              <w:rPr>
                <w:sz w:val="20"/>
                <w:szCs w:val="20"/>
                <w:color w:val="auto"/>
              </w:rPr>
            </w:pPr>
            <w:r>
              <w:rPr>
                <w:rFonts w:ascii="Arial" w:cs="Arial" w:eastAsia="Arial" w:hAnsi="Arial"/>
                <w:sz w:val="13"/>
                <w:szCs w:val="13"/>
                <w:color w:val="auto"/>
              </w:rPr>
              <w:t>Investment securities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460,089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13,715</w:t>
            </w:r>
          </w:p>
        </w:tc>
        <w:tc>
          <w:tcPr>
            <w:tcW w:w="700" w:type="dxa"/>
            <w:vAlign w:val="bottom"/>
            <w:gridSpan w:val="5"/>
            <w:vMerge w:val="restart"/>
          </w:tcPr>
          <w:p>
            <w:pPr>
              <w:jc w:val="right"/>
              <w:spacing w:after="0"/>
              <w:rPr>
                <w:sz w:val="20"/>
                <w:szCs w:val="20"/>
                <w:color w:val="auto"/>
              </w:rPr>
            </w:pPr>
            <w:r>
              <w:rPr>
                <w:rFonts w:ascii="Arial" w:cs="Arial" w:eastAsia="Arial" w:hAnsi="Arial"/>
                <w:sz w:val="13"/>
                <w:szCs w:val="13"/>
                <w:color w:val="auto"/>
              </w:rPr>
              <w:t>2.98 %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427,567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11,480</w:t>
            </w:r>
          </w:p>
        </w:tc>
        <w:tc>
          <w:tcPr>
            <w:tcW w:w="700" w:type="dxa"/>
            <w:vAlign w:val="bottom"/>
            <w:gridSpan w:val="5"/>
            <w:vMerge w:val="restart"/>
          </w:tcPr>
          <w:p>
            <w:pPr>
              <w:jc w:val="right"/>
              <w:spacing w:after="0"/>
              <w:rPr>
                <w:sz w:val="20"/>
                <w:szCs w:val="20"/>
                <w:color w:val="auto"/>
              </w:rPr>
            </w:pPr>
            <w:r>
              <w:rPr>
                <w:rFonts w:ascii="Arial" w:cs="Arial" w:eastAsia="Arial" w:hAnsi="Arial"/>
                <w:sz w:val="13"/>
                <w:szCs w:val="13"/>
                <w:color w:val="auto"/>
              </w:rPr>
              <w:t>2.68 %</w:t>
            </w:r>
          </w:p>
        </w:tc>
        <w:tc>
          <w:tcPr>
            <w:tcW w:w="0" w:type="dxa"/>
            <w:vAlign w:val="bottom"/>
          </w:tcPr>
          <w:p>
            <w:pPr>
              <w:spacing w:after="0"/>
              <w:rPr>
                <w:sz w:val="1"/>
                <w:szCs w:val="1"/>
                <w:color w:val="auto"/>
              </w:rPr>
            </w:pPr>
          </w:p>
        </w:tc>
      </w:tr>
      <w:tr>
        <w:trPr>
          <w:trHeight w:val="128"/>
        </w:trPr>
        <w:tc>
          <w:tcPr>
            <w:tcW w:w="2920" w:type="dxa"/>
            <w:vAlign w:val="bottom"/>
            <w:gridSpan w:val="4"/>
          </w:tcPr>
          <w:p>
            <w:pPr>
              <w:ind w:left="2700"/>
              <w:spacing w:after="0" w:line="128"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 interest-earning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86,183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88,758</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4,517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820" w:type="dxa"/>
            <w:vAlign w:val="bottom"/>
            <w:gridSpan w:val="3"/>
          </w:tcPr>
          <w:p>
            <w:pPr>
              <w:ind w:left="100"/>
              <w:spacing w:after="0"/>
              <w:rPr>
                <w:sz w:val="20"/>
                <w:szCs w:val="20"/>
                <w:color w:val="auto"/>
              </w:rPr>
            </w:pPr>
            <w:r>
              <w:rPr>
                <w:rFonts w:ascii="Arial" w:cs="Arial" w:eastAsia="Arial" w:hAnsi="Arial"/>
                <w:sz w:val="13"/>
                <w:szCs w:val="13"/>
                <w:color w:val="auto"/>
              </w:rPr>
              <w:t>Total interest-earning assets</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2,615,311</w:t>
            </w: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145,487</w:t>
            </w:r>
          </w:p>
        </w:tc>
        <w:tc>
          <w:tcPr>
            <w:tcW w:w="700" w:type="dxa"/>
            <w:vAlign w:val="bottom"/>
            <w:gridSpan w:val="5"/>
          </w:tcPr>
          <w:p>
            <w:pPr>
              <w:jc w:val="right"/>
              <w:spacing w:after="0"/>
              <w:rPr>
                <w:sz w:val="20"/>
                <w:szCs w:val="20"/>
                <w:color w:val="auto"/>
              </w:rPr>
            </w:pPr>
            <w:r>
              <w:rPr>
                <w:rFonts w:ascii="Arial" w:cs="Arial" w:eastAsia="Arial" w:hAnsi="Arial"/>
                <w:sz w:val="13"/>
                <w:szCs w:val="13"/>
                <w:color w:val="auto"/>
              </w:rPr>
              <w:t>5.56 %</w:t>
            </w: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2,378,338</w:t>
            </w: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131,233</w:t>
            </w:r>
          </w:p>
        </w:tc>
        <w:tc>
          <w:tcPr>
            <w:tcW w:w="700" w:type="dxa"/>
            <w:vAlign w:val="bottom"/>
            <w:gridSpan w:val="5"/>
          </w:tcPr>
          <w:p>
            <w:pPr>
              <w:jc w:val="right"/>
              <w:spacing w:after="0"/>
              <w:rPr>
                <w:sz w:val="20"/>
                <w:szCs w:val="20"/>
                <w:color w:val="auto"/>
              </w:rPr>
            </w:pPr>
            <w:r>
              <w:rPr>
                <w:rFonts w:ascii="Arial" w:cs="Arial" w:eastAsia="Arial" w:hAnsi="Arial"/>
                <w:sz w:val="13"/>
                <w:szCs w:val="13"/>
                <w:color w:val="auto"/>
              </w:rPr>
              <w:t>5.52 %</w:t>
            </w:r>
          </w:p>
        </w:tc>
        <w:tc>
          <w:tcPr>
            <w:tcW w:w="0" w:type="dxa"/>
            <w:vAlign w:val="bottom"/>
          </w:tcPr>
          <w:p>
            <w:pPr>
              <w:spacing w:after="0"/>
              <w:rPr>
                <w:sz w:val="1"/>
                <w:szCs w:val="1"/>
                <w:color w:val="auto"/>
              </w:rPr>
            </w:pPr>
          </w:p>
        </w:tc>
      </w:tr>
      <w:tr>
        <w:trPr>
          <w:trHeight w:val="203"/>
        </w:trPr>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Non-interest earning assets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105,874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108,215</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820" w:type="dxa"/>
            <w:vAlign w:val="bottom"/>
            <w:gridSpan w:val="3"/>
          </w:tcPr>
          <w:p>
            <w:pPr>
              <w:ind w:left="100"/>
              <w:spacing w:after="0"/>
              <w:rPr>
                <w:sz w:val="20"/>
                <w:szCs w:val="20"/>
                <w:color w:val="auto"/>
              </w:rPr>
            </w:pPr>
            <w:r>
              <w:rPr>
                <w:rFonts w:ascii="Arial" w:cs="Arial" w:eastAsia="Arial" w:hAnsi="Arial"/>
                <w:sz w:val="13"/>
                <w:szCs w:val="13"/>
                <w:color w:val="auto"/>
              </w:rPr>
              <w:t>Total assets</w:t>
            </w:r>
          </w:p>
        </w:tc>
        <w:tc>
          <w:tcPr>
            <w:tcW w:w="100" w:type="dxa"/>
            <w:vAlign w:val="bottom"/>
            <w:gridSpan w:val="2"/>
            <w:vMerge w:val="restart"/>
          </w:tcPr>
          <w:p>
            <w:pPr>
              <w:jc w:val="right"/>
              <w:ind w:right="13"/>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2,721,185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8"/>
            <w:vMerge w:val="restart"/>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2,486,553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8"/>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20" w:type="dxa"/>
            <w:vAlign w:val="bottom"/>
            <w:gridSpan w:val="4"/>
          </w:tcPr>
          <w:p>
            <w:pPr>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Interest-bearing demand deposits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51,803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1,283</w:t>
            </w: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54,667</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2920" w:type="dxa"/>
            <w:vAlign w:val="bottom"/>
            <w:gridSpan w:val="4"/>
          </w:tcPr>
          <w:p>
            <w:pPr>
              <w:ind w:left="100"/>
              <w:spacing w:after="0"/>
              <w:rPr>
                <w:sz w:val="20"/>
                <w:szCs w:val="20"/>
                <w:color w:val="auto"/>
              </w:rPr>
            </w:pPr>
            <w:r>
              <w:rPr>
                <w:rFonts w:ascii="Arial" w:cs="Arial" w:eastAsia="Arial" w:hAnsi="Arial"/>
                <w:sz w:val="13"/>
                <w:szCs w:val="13"/>
                <w:color w:val="auto"/>
              </w:rPr>
              <w:t>Savings and money market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1,255,719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38,027</w:t>
            </w:r>
          </w:p>
        </w:tc>
        <w:tc>
          <w:tcPr>
            <w:tcW w:w="700" w:type="dxa"/>
            <w:vAlign w:val="bottom"/>
            <w:gridSpan w:val="5"/>
          </w:tcPr>
          <w:p>
            <w:pPr>
              <w:jc w:val="right"/>
              <w:spacing w:after="0"/>
              <w:rPr>
                <w:sz w:val="20"/>
                <w:szCs w:val="20"/>
                <w:color w:val="auto"/>
              </w:rPr>
            </w:pPr>
            <w:r>
              <w:rPr>
                <w:rFonts w:ascii="Arial" w:cs="Arial" w:eastAsia="Arial" w:hAnsi="Arial"/>
                <w:sz w:val="13"/>
                <w:szCs w:val="13"/>
                <w:color w:val="auto"/>
              </w:rPr>
              <w:t>3.03 %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1,109,853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40,098</w:t>
            </w:r>
          </w:p>
        </w:tc>
        <w:tc>
          <w:tcPr>
            <w:tcW w:w="700" w:type="dxa"/>
            <w:vAlign w:val="bottom"/>
            <w:gridSpan w:val="5"/>
          </w:tcPr>
          <w:p>
            <w:pPr>
              <w:jc w:val="right"/>
              <w:spacing w:after="0"/>
              <w:rPr>
                <w:sz w:val="20"/>
                <w:szCs w:val="20"/>
                <w:color w:val="auto"/>
              </w:rPr>
            </w:pPr>
            <w:r>
              <w:rPr>
                <w:rFonts w:ascii="Arial" w:cs="Arial" w:eastAsia="Arial" w:hAnsi="Arial"/>
                <w:sz w:val="13"/>
                <w:szCs w:val="13"/>
                <w:color w:val="auto"/>
              </w:rPr>
              <w:t>3.61 %</w:t>
            </w:r>
          </w:p>
        </w:tc>
        <w:tc>
          <w:tcPr>
            <w:tcW w:w="0" w:type="dxa"/>
            <w:vAlign w:val="bottom"/>
          </w:tcPr>
          <w:p>
            <w:pPr>
              <w:spacing w:after="0"/>
              <w:rPr>
                <w:sz w:val="1"/>
                <w:szCs w:val="1"/>
                <w:color w:val="auto"/>
              </w:rPr>
            </w:pPr>
          </w:p>
        </w:tc>
      </w:tr>
      <w:tr>
        <w:trPr>
          <w:trHeight w:val="208"/>
        </w:trPr>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Time deposits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470,213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18,104</w:t>
            </w: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326,373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13,354</w:t>
            </w: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00" w:type="dxa"/>
            <w:vAlign w:val="bottom"/>
            <w:tcBorders>
              <w:top w:val="single" w:sz="8" w:color="CCEEFF"/>
            </w:tcBorders>
          </w:tcPr>
          <w:p>
            <w:pPr>
              <w:spacing w:after="0"/>
              <w:rPr>
                <w:sz w:val="15"/>
                <w:szCs w:val="15"/>
                <w:color w:val="auto"/>
              </w:rPr>
            </w:pPr>
          </w:p>
        </w:tc>
        <w:tc>
          <w:tcPr>
            <w:tcW w:w="2820" w:type="dxa"/>
            <w:vAlign w:val="bottom"/>
            <w:tcBorders>
              <w:top w:val="single" w:sz="8" w:color="CCEEFF"/>
            </w:tcBorders>
            <w:gridSpan w:val="3"/>
          </w:tcPr>
          <w:p>
            <w:pPr>
              <w:ind w:left="100"/>
              <w:spacing w:after="0"/>
              <w:rPr>
                <w:sz w:val="20"/>
                <w:szCs w:val="20"/>
                <w:color w:val="auto"/>
              </w:rPr>
            </w:pPr>
            <w:r>
              <w:rPr>
                <w:rFonts w:ascii="Arial" w:cs="Arial" w:eastAsia="Arial" w:hAnsi="Arial"/>
                <w:sz w:val="13"/>
                <w:szCs w:val="13"/>
                <w:color w:val="auto"/>
              </w:rPr>
              <w:t>Total interest-bearing deposits</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1,777,735</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color w:val="auto"/>
              </w:rPr>
              <w:t>57,414</w:t>
            </w:r>
          </w:p>
        </w:tc>
        <w:tc>
          <w:tcPr>
            <w:tcW w:w="700" w:type="dxa"/>
            <w:vAlign w:val="bottom"/>
            <w:tcBorders>
              <w:top w:val="single" w:sz="8" w:color="CCEEFF"/>
            </w:tcBorders>
            <w:gridSpan w:val="5"/>
            <w:vMerge w:val="restart"/>
          </w:tcPr>
          <w:p>
            <w:pPr>
              <w:jc w:val="right"/>
              <w:spacing w:after="0"/>
              <w:rPr>
                <w:sz w:val="20"/>
                <w:szCs w:val="20"/>
                <w:color w:val="auto"/>
              </w:rPr>
            </w:pPr>
            <w:r>
              <w:rPr>
                <w:rFonts w:ascii="Arial" w:cs="Arial" w:eastAsia="Arial" w:hAnsi="Arial"/>
                <w:sz w:val="13"/>
                <w:szCs w:val="13"/>
                <w:color w:val="auto"/>
              </w:rPr>
              <w:t>3.23 %</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1,490,893</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54,961</w:t>
            </w:r>
          </w:p>
        </w:tc>
        <w:tc>
          <w:tcPr>
            <w:tcW w:w="700" w:type="dxa"/>
            <w:vAlign w:val="bottom"/>
            <w:tcBorders>
              <w:top w:val="single" w:sz="8" w:color="CCEEFF"/>
            </w:tcBorders>
            <w:gridSpan w:val="5"/>
            <w:vMerge w:val="restart"/>
          </w:tcPr>
          <w:p>
            <w:pPr>
              <w:jc w:val="right"/>
              <w:spacing w:after="0"/>
              <w:rPr>
                <w:sz w:val="20"/>
                <w:szCs w:val="20"/>
                <w:color w:val="auto"/>
              </w:rPr>
            </w:pPr>
            <w:r>
              <w:rPr>
                <w:rFonts w:ascii="Arial" w:cs="Arial" w:eastAsia="Arial" w:hAnsi="Arial"/>
                <w:sz w:val="13"/>
                <w:szCs w:val="13"/>
                <w:color w:val="auto"/>
              </w:rPr>
              <w:t>3.69 %</w:t>
            </w: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FHLB advances</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86,382</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3,238</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158,484</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6,336</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820" w:type="dxa"/>
            <w:vAlign w:val="bottom"/>
            <w:gridSpan w:val="3"/>
          </w:tcPr>
          <w:p>
            <w:pPr>
              <w:ind w:left="100"/>
              <w:spacing w:after="0"/>
              <w:rPr>
                <w:sz w:val="20"/>
                <w:szCs w:val="20"/>
                <w:color w:val="auto"/>
              </w:rPr>
            </w:pPr>
            <w:r>
              <w:rPr>
                <w:rFonts w:ascii="Arial" w:cs="Arial" w:eastAsia="Arial" w:hAnsi="Arial"/>
                <w:sz w:val="13"/>
                <w:szCs w:val="13"/>
                <w:color w:val="auto"/>
              </w:rPr>
              <w:t>Subordinated notes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16,463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1,205</w:t>
            </w:r>
          </w:p>
        </w:tc>
        <w:tc>
          <w:tcPr>
            <w:tcW w:w="700" w:type="dxa"/>
            <w:vAlign w:val="bottom"/>
            <w:gridSpan w:val="5"/>
            <w:vMerge w:val="restart"/>
          </w:tcPr>
          <w:p>
            <w:pPr>
              <w:jc w:val="right"/>
              <w:spacing w:after="0"/>
              <w:rPr>
                <w:sz w:val="20"/>
                <w:szCs w:val="20"/>
                <w:color w:val="auto"/>
              </w:rPr>
            </w:pPr>
            <w:r>
              <w:rPr>
                <w:rFonts w:ascii="Arial" w:cs="Arial" w:eastAsia="Arial" w:hAnsi="Arial"/>
                <w:sz w:val="13"/>
                <w:szCs w:val="13"/>
                <w:color w:val="auto"/>
              </w:rPr>
              <w:t>7.32 %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5"/>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4"/>
        </w:trPr>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vMerge w:val="continue"/>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vMerge w:val="continue"/>
          </w:tcPr>
          <w:p>
            <w:pPr>
              <w:spacing w:after="0"/>
              <w:rPr>
                <w:sz w:val="2"/>
                <w:szCs w:val="2"/>
                <w:color w:val="auto"/>
              </w:rPr>
            </w:pPr>
          </w:p>
        </w:tc>
        <w:tc>
          <w:tcPr>
            <w:tcW w:w="700" w:type="dxa"/>
            <w:vAlign w:val="bottom"/>
            <w:tcBorders>
              <w:bottom w:val="single" w:sz="8" w:color="CCEEFF"/>
            </w:tcBorders>
            <w:gridSpan w:val="5"/>
            <w:vMerge w:val="continue"/>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700" w:type="dxa"/>
            <w:vAlign w:val="bottom"/>
            <w:tcBorders>
              <w:bottom w:val="single" w:sz="8" w:color="CCEEFF"/>
            </w:tcBorders>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Total interest-bearing liabilities</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1,880,580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61,857</w:t>
            </w:r>
          </w:p>
        </w:tc>
        <w:tc>
          <w:tcPr>
            <w:tcW w:w="40" w:type="dxa"/>
            <w:vAlign w:val="bottom"/>
            <w:gridSpan w:val="2"/>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1,649,377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61,297</w:t>
            </w:r>
          </w:p>
        </w:tc>
        <w:tc>
          <w:tcPr>
            <w:tcW w:w="60" w:type="dxa"/>
            <w:vAlign w:val="bottom"/>
            <w:gridSpan w:val="2"/>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2920" w:type="dxa"/>
            <w:vAlign w:val="bottom"/>
            <w:gridSpan w:val="4"/>
          </w:tcPr>
          <w:p>
            <w:pPr>
              <w:ind w:left="100"/>
              <w:spacing w:after="0"/>
              <w:rPr>
                <w:sz w:val="20"/>
                <w:szCs w:val="20"/>
                <w:color w:val="auto"/>
              </w:rPr>
            </w:pPr>
            <w:r>
              <w:rPr>
                <w:rFonts w:ascii="Arial" w:cs="Arial" w:eastAsia="Arial" w:hAnsi="Arial"/>
                <w:sz w:val="13"/>
                <w:szCs w:val="13"/>
                <w:color w:val="auto"/>
              </w:rPr>
              <w:t>Non-interest-bearing demand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577,232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596,073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non-interest-bearing liabilities</w:t>
            </w: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41,955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820" w:type="dxa"/>
            <w:vAlign w:val="bottom"/>
            <w:gridSpan w:val="3"/>
          </w:tcPr>
          <w:p>
            <w:pPr>
              <w:ind w:left="100"/>
              <w:spacing w:after="0"/>
              <w:rPr>
                <w:sz w:val="20"/>
                <w:szCs w:val="20"/>
                <w:color w:val="auto"/>
              </w:rPr>
            </w:pPr>
            <w:r>
              <w:rPr>
                <w:rFonts w:ascii="Arial" w:cs="Arial" w:eastAsia="Arial" w:hAnsi="Arial"/>
                <w:sz w:val="13"/>
                <w:szCs w:val="13"/>
                <w:color w:val="auto"/>
              </w:rPr>
              <w:t>Total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2,499,767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2,282,849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221,418</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203,704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gridSpan w:val="3"/>
          </w:tcPr>
          <w:p>
            <w:pPr>
              <w:ind w:left="10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tcBorders>
              <w:top w:val="single" w:sz="8" w:color="auto"/>
            </w:tcBorders>
            <w:gridSpan w:val="2"/>
            <w:vMerge w:val="restart"/>
          </w:tcPr>
          <w:p>
            <w:pPr>
              <w:jc w:val="right"/>
              <w:ind w:right="1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2,721,185</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gridSpan w:val="6"/>
            <w:vMerge w:val="restart"/>
          </w:tcPr>
          <w:p>
            <w:pPr>
              <w:spacing w:after="0"/>
              <w:rPr>
                <w:sz w:val="16"/>
                <w:szCs w:val="16"/>
                <w:color w:val="auto"/>
              </w:rPr>
            </w:pPr>
          </w:p>
        </w:tc>
        <w:tc>
          <w:tcPr>
            <w:tcW w:w="14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2,486,553</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6"/>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Net interest income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83,630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69,936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gridSpan w:val="4"/>
            <w:vMerge w:val="restart"/>
          </w:tcPr>
          <w:p>
            <w:pPr>
              <w:spacing w:after="0"/>
              <w:rPr>
                <w:sz w:val="20"/>
                <w:szCs w:val="20"/>
                <w:color w:val="auto"/>
              </w:rPr>
            </w:pPr>
            <w:r>
              <w:rPr>
                <w:rFonts w:ascii="Arial" w:cs="Arial" w:eastAsia="Arial" w:hAnsi="Arial"/>
                <w:sz w:val="13"/>
                <w:szCs w:val="13"/>
                <w:color w:val="auto"/>
              </w:rPr>
              <w:t>Net interest spread</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5"/>
            <w:vMerge w:val="restart"/>
          </w:tcPr>
          <w:p>
            <w:pPr>
              <w:jc w:val="right"/>
              <w:spacing w:after="0"/>
              <w:rPr>
                <w:sz w:val="20"/>
                <w:szCs w:val="20"/>
                <w:color w:val="auto"/>
              </w:rPr>
            </w:pPr>
            <w:r>
              <w:rPr>
                <w:rFonts w:ascii="Arial" w:cs="Arial" w:eastAsia="Arial" w:hAnsi="Arial"/>
                <w:sz w:val="13"/>
                <w:szCs w:val="13"/>
                <w:color w:val="auto"/>
              </w:rPr>
              <w:t>2.27 %</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5"/>
            <w:vMerge w:val="restart"/>
          </w:tcPr>
          <w:p>
            <w:pPr>
              <w:jc w:val="right"/>
              <w:spacing w:after="0"/>
              <w:rPr>
                <w:sz w:val="20"/>
                <w:szCs w:val="20"/>
                <w:color w:val="auto"/>
              </w:rPr>
            </w:pPr>
            <w:r>
              <w:rPr>
                <w:rFonts w:ascii="Arial" w:cs="Arial" w:eastAsia="Arial" w:hAnsi="Arial"/>
                <w:sz w:val="13"/>
                <w:szCs w:val="13"/>
                <w:color w:val="auto"/>
              </w:rPr>
              <w:t>1.80 %</w:t>
            </w:r>
          </w:p>
        </w:tc>
        <w:tc>
          <w:tcPr>
            <w:tcW w:w="0" w:type="dxa"/>
            <w:vAlign w:val="bottom"/>
          </w:tcPr>
          <w:p>
            <w:pPr>
              <w:spacing w:after="0" w:line="20" w:lineRule="exact"/>
              <w:rPr>
                <w:sz w:val="1"/>
                <w:szCs w:val="1"/>
                <w:color w:val="auto"/>
              </w:rPr>
            </w:pPr>
          </w:p>
        </w:tc>
      </w:tr>
      <w:tr>
        <w:trPr>
          <w:trHeight w:val="207"/>
        </w:trPr>
        <w:tc>
          <w:tcPr>
            <w:tcW w:w="29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920" w:type="dxa"/>
            <w:vAlign w:val="bottom"/>
            <w:gridSpan w:val="4"/>
          </w:tcPr>
          <w:p>
            <w:pPr>
              <w:ind w:left="2700"/>
              <w:spacing w:after="0" w:line="139"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9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Net interest margin</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39"/>
        </w:trPr>
        <w:tc>
          <w:tcPr>
            <w:tcW w:w="2700" w:type="dxa"/>
            <w:vAlign w:val="bottom"/>
            <w:gridSpan w:val="3"/>
            <w:shd w:val="clear" w:color="auto" w:fill="CCEEFF"/>
          </w:tcPr>
          <w:p>
            <w:pPr>
              <w:spacing w:after="0"/>
              <w:rPr>
                <w:sz w:val="12"/>
                <w:szCs w:val="12"/>
                <w:color w:val="auto"/>
              </w:rPr>
            </w:pPr>
          </w:p>
        </w:tc>
        <w:tc>
          <w:tcPr>
            <w:tcW w:w="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860" w:hanging="197"/>
        <w:spacing w:after="0"/>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44" w:lineRule="exact"/>
        <w:rPr>
          <w:rFonts w:ascii="Arial" w:cs="Arial" w:eastAsia="Arial" w:hAnsi="Arial"/>
          <w:sz w:val="11"/>
          <w:szCs w:val="11"/>
          <w:color w:val="auto"/>
        </w:rPr>
      </w:pPr>
    </w:p>
    <w:p>
      <w:pPr>
        <w:ind w:left="660" w:right="919" w:firstLine="3"/>
        <w:spacing w:after="0" w:line="262" w:lineRule="auto"/>
        <w:tabs>
          <w:tab w:leader="none" w:pos="864" w:val="left"/>
        </w:tabs>
        <w:numPr>
          <w:ilvl w:val="0"/>
          <w:numId w:val="25"/>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earned on total interest-earning assets minus the weighted average rate paid on total interest-bearing liabilities.</w:t>
      </w:r>
    </w:p>
    <w:p>
      <w:pPr>
        <w:ind w:left="860" w:hanging="197"/>
        <w:spacing w:after="0"/>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87" w:lineRule="exact"/>
        <w:rPr>
          <w:sz w:val="20"/>
          <w:szCs w:val="20"/>
          <w:color w:val="auto"/>
        </w:rPr>
      </w:pPr>
    </w:p>
    <w:p>
      <w:pPr>
        <w:jc w:val="both"/>
        <w:ind w:left="660" w:right="679" w:firstLine="256"/>
        <w:spacing w:after="0" w:line="176" w:lineRule="exact"/>
        <w:rPr>
          <w:sz w:val="20"/>
          <w:szCs w:val="20"/>
          <w:color w:val="auto"/>
        </w:rPr>
      </w:pPr>
      <w:r>
        <w:rPr>
          <w:rFonts w:ascii="Arial" w:cs="Arial" w:eastAsia="Arial" w:hAnsi="Arial"/>
          <w:sz w:val="14"/>
          <w:szCs w:val="14"/>
          <w:color w:val="auto"/>
        </w:rPr>
        <w:t>Net interest income before the provision for credit losses was $83.6 million for the year ended December 31, 2025, a increase of $13.7 million or 19.6%, from $69.9 million for the year ended December 31, 2024. The increase was primarily driven by a decrease in the weighted</w:t>
      </w:r>
      <w:r>
        <w:rPr>
          <w:rFonts w:ascii="MS PGothic" w:cs="MS PGothic" w:eastAsia="MS PGothic" w:hAnsi="MS PGothic"/>
          <w:sz w:val="14"/>
          <w:szCs w:val="14"/>
          <w:color w:val="auto"/>
        </w:rPr>
        <w:t>‑</w:t>
      </w:r>
      <w:r>
        <w:rPr>
          <w:rFonts w:ascii="Arial" w:cs="Arial" w:eastAsia="Arial" w:hAnsi="Arial"/>
          <w:sz w:val="14"/>
          <w:szCs w:val="14"/>
          <w:color w:val="auto"/>
        </w:rPr>
        <w:t>average rates paid on interest</w:t>
      </w:r>
      <w:r>
        <w:rPr>
          <w:rFonts w:ascii="MS PGothic" w:cs="MS PGothic" w:eastAsia="MS PGothic" w:hAnsi="MS PGothic"/>
          <w:sz w:val="14"/>
          <w:szCs w:val="14"/>
          <w:color w:val="auto"/>
        </w:rPr>
        <w:t>‑</w:t>
      </w:r>
      <w:r>
        <w:rPr>
          <w:rFonts w:ascii="Arial" w:cs="Arial" w:eastAsia="Arial" w:hAnsi="Arial"/>
          <w:sz w:val="14"/>
          <w:szCs w:val="14"/>
          <w:color w:val="auto"/>
        </w:rPr>
        <w:t>bearing liabilities, which lowered overall funding costs, combined with higher weighted</w:t>
      </w:r>
      <w:r>
        <w:rPr>
          <w:rFonts w:ascii="MS PGothic" w:cs="MS PGothic" w:eastAsia="MS PGothic" w:hAnsi="MS PGothic"/>
          <w:sz w:val="14"/>
          <w:szCs w:val="14"/>
          <w:color w:val="auto"/>
        </w:rPr>
        <w:t>‑</w:t>
      </w:r>
      <w:r>
        <w:rPr>
          <w:rFonts w:ascii="Arial" w:cs="Arial" w:eastAsia="Arial" w:hAnsi="Arial"/>
          <w:sz w:val="14"/>
          <w:szCs w:val="14"/>
          <w:color w:val="auto"/>
        </w:rPr>
        <w:t xml:space="preserve">average yields on interest </w:t>
      </w:r>
      <w:r>
        <w:rPr>
          <w:rFonts w:ascii="MS PGothic" w:cs="MS PGothic" w:eastAsia="MS PGothic" w:hAnsi="MS PGothic"/>
          <w:sz w:val="14"/>
          <w:szCs w:val="14"/>
          <w:color w:val="auto"/>
        </w:rPr>
        <w:t>‑</w:t>
      </w:r>
      <w:r>
        <w:rPr>
          <w:rFonts w:ascii="Arial" w:cs="Arial" w:eastAsia="Arial" w:hAnsi="Arial"/>
          <w:sz w:val="14"/>
          <w:szCs w:val="14"/>
          <w:color w:val="auto"/>
        </w:rPr>
        <w:t>earning assets. In addition, growth in the loan portfolio increased the volume of interest</w:t>
      </w:r>
      <w:r>
        <w:rPr>
          <w:rFonts w:ascii="MS PGothic" w:cs="MS PGothic" w:eastAsia="MS PGothic" w:hAnsi="MS PGothic"/>
          <w:sz w:val="14"/>
          <w:szCs w:val="14"/>
          <w:color w:val="auto"/>
        </w:rPr>
        <w:t>‑</w:t>
      </w:r>
      <w:r>
        <w:rPr>
          <w:rFonts w:ascii="Arial" w:cs="Arial" w:eastAsia="Arial" w:hAnsi="Arial"/>
          <w:sz w:val="14"/>
          <w:szCs w:val="14"/>
          <w:color w:val="auto"/>
        </w:rPr>
        <w:t>earning assets, further contributing to the increase in net interest income.</w:t>
      </w:r>
    </w:p>
    <w:p>
      <w:pPr>
        <w:spacing w:after="0" w:line="117"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The net interest margin (“NIM”) was 3.20% for the year ended December 31, 2025 and 2.94% for the year ended December 31, 2024. The NIM increased primarily due to a decrease in the weighted average rate paid on interest-bearing</w:t>
      </w:r>
    </w:p>
    <w:p>
      <w:pPr>
        <w:spacing w:after="0" w:line="3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58" w:name="page59"/>
    <w:bookmarkEnd w:id="5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59"/>
        <w:spacing w:after="0" w:line="276" w:lineRule="auto"/>
        <w:rPr>
          <w:sz w:val="20"/>
          <w:szCs w:val="20"/>
          <w:color w:val="auto"/>
        </w:rPr>
      </w:pPr>
      <w:r>
        <w:rPr>
          <w:rFonts w:ascii="Arial" w:cs="Arial" w:eastAsia="Arial" w:hAnsi="Arial"/>
          <w:sz w:val="14"/>
          <w:szCs w:val="14"/>
          <w:color w:val="auto"/>
        </w:rPr>
        <w:t>liabilities, in particular a decrease in weighted average rate paid on saving and money market deposits. The decrease in our cost of funds was primarily due to the interest rate market.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57"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ACL represents expected credit losses in our portfolio as the measurement date. We maintain an adequate ACL that can mitigate expected credit losses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 statistical trends and economic conditions and other applicable factors.</w:t>
      </w:r>
    </w:p>
    <w:p>
      <w:pPr>
        <w:spacing w:after="0" w:line="138"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The provision for credit loss for the year ended December 31, 2025, was $2.3 million compared to $3.2 million in provision expense for the same period in 2024. The ACL as a percentage of total loans was 1.16% at December 31, 2025 compared to 1.22% at December 31, 2024. The ratio of ACL to total loans decreased due to several payoffs of individually reserved loans during 2025 and the improvement of the expected loss rate for various categories of pooled loans.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3"/>
          <w:szCs w:val="13"/>
          <w:color w:val="auto"/>
        </w:rPr>
        <w:t>See “Allowance for Credit Losses” below for further discussion on how the ACL was calculated for the periods presented.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68" w:lineRule="exact"/>
        <w:rPr>
          <w:sz w:val="20"/>
          <w:szCs w:val="20"/>
          <w:color w:val="auto"/>
        </w:rPr>
      </w:pPr>
    </w:p>
    <w:p>
      <w:pPr>
        <w:jc w:val="both"/>
        <w:ind w:left="660" w:right="679" w:firstLine="256"/>
        <w:spacing w:after="0" w:line="282" w:lineRule="auto"/>
        <w:rPr>
          <w:sz w:val="20"/>
          <w:szCs w:val="20"/>
          <w:color w:val="auto"/>
        </w:rPr>
      </w:pPr>
      <w:r>
        <w:rPr>
          <w:rFonts w:ascii="Arial" w:cs="Arial" w:eastAsia="Arial" w:hAnsi="Arial"/>
          <w:sz w:val="13"/>
          <w:szCs w:val="13"/>
          <w:color w:val="auto"/>
        </w:rPr>
        <w:t>Net interest income and other types of recurring non-interest income are generated from our operations. Our services and products generate service charges and fees, mainly from our depository accounts. We also generate income from our interest swap program and from the gain on sale of loans though our SBA program. In addition, we own life insurance policies on several key employees and generate income reflecting the increase in the cash surrender value of these policies.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periods indicated (in thousands):</w:t>
      </w:r>
    </w:p>
    <w:p>
      <w:pPr>
        <w:spacing w:after="0" w:line="184" w:lineRule="exact"/>
        <w:rPr>
          <w:sz w:val="20"/>
          <w:szCs w:val="20"/>
          <w:color w:val="auto"/>
        </w:rPr>
      </w:pPr>
    </w:p>
    <w:p>
      <w:pPr>
        <w:ind w:left="6580"/>
        <w:spacing w:after="0"/>
        <w:rPr>
          <w:sz w:val="20"/>
          <w:szCs w:val="20"/>
          <w:color w:val="auto"/>
        </w:rPr>
      </w:pPr>
      <w:r>
        <w:rPr>
          <w:rFonts w:ascii="Arial" w:cs="Arial" w:eastAsia="Arial" w:hAnsi="Arial"/>
          <w:sz w:val="13"/>
          <w:szCs w:val="13"/>
          <w:b w:val="1"/>
          <w:bCs w:val="1"/>
          <w:color w:val="auto"/>
        </w:rPr>
        <w:t>Years Ended December 31,</w:t>
      </w:r>
    </w:p>
    <w:p>
      <w:pPr>
        <w:sectPr>
          <w:pgSz w:w="11900" w:h="16838" w:orient="portrait"/>
          <w:cols w:equalWidth="0" w:num="1">
            <w:col w:w="9019"/>
          </w:cols>
          <w:pgMar w:left="1440" w:top="477" w:right="1440" w:bottom="1440" w:gutter="0" w:footer="0" w:header="0"/>
        </w:sect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Service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(Loss) gain on sale of securities available for sale, net</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Gain on sale of loans held for sale, net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non-interest income</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income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CCEEFF"/>
            </w:tcBorders>
            <w:vMerge w:val="restart"/>
          </w:tcPr>
          <w:p>
            <w:pPr>
              <w:jc w:val="right"/>
              <w:ind w:right="56"/>
              <w:spacing w:after="0"/>
              <w:rPr>
                <w:sz w:val="20"/>
                <w:szCs w:val="20"/>
                <w:color w:val="auto"/>
              </w:rPr>
            </w:pPr>
            <w:r>
              <w:rPr>
                <w:rFonts w:ascii="Arial" w:cs="Arial" w:eastAsia="Arial" w:hAnsi="Arial"/>
                <w:sz w:val="13"/>
                <w:szCs w:val="13"/>
                <w:color w:val="auto"/>
              </w:rPr>
              <w:t>9,603</w:t>
            </w:r>
          </w:p>
        </w:tc>
        <w:tc>
          <w:tcPr>
            <w:tcW w:w="180" w:type="dxa"/>
            <w:vAlign w:val="bottom"/>
            <w:vMerge w:val="restart"/>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8,839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(7,526)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1,001</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3,514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CCEEFF"/>
            </w:tcBorders>
            <w:vMerge w:val="restart"/>
          </w:tcPr>
          <w:p>
            <w:pPr>
              <w:jc w:val="right"/>
              <w:ind w:right="56"/>
              <w:spacing w:after="0"/>
              <w:rPr>
                <w:sz w:val="20"/>
                <w:szCs w:val="20"/>
                <w:color w:val="auto"/>
              </w:rPr>
            </w:pPr>
            <w:r>
              <w:rPr>
                <w:rFonts w:ascii="Arial" w:cs="Arial" w:eastAsia="Arial" w:hAnsi="Arial"/>
                <w:sz w:val="13"/>
                <w:szCs w:val="13"/>
                <w:color w:val="auto"/>
              </w:rPr>
              <w:t>6,592</w:t>
            </w:r>
          </w:p>
        </w:tc>
        <w:tc>
          <w:tcPr>
            <w:tcW w:w="180" w:type="dxa"/>
            <w:vAlign w:val="bottom"/>
            <w:vMerge w:val="restart"/>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12,740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5700" w:space="720"/>
            <w:col w:w="2599"/>
          </w:cols>
          <w:pgMar w:left="1440" w:top="477" w:right="1440" w:bottom="1440" w:gutter="0" w:footer="0" w:header="0"/>
          <w:type w:val="continuous"/>
        </w:sectPr>
      </w:pPr>
    </w:p>
    <w:p>
      <w:pPr>
        <w:jc w:val="both"/>
        <w:ind w:left="660" w:right="679" w:firstLine="256"/>
        <w:spacing w:after="0" w:line="247" w:lineRule="auto"/>
        <w:rPr>
          <w:sz w:val="20"/>
          <w:szCs w:val="20"/>
          <w:color w:val="auto"/>
        </w:rPr>
      </w:pPr>
      <w:r>
        <w:rPr>
          <w:rFonts w:ascii="Arial" w:cs="Arial" w:eastAsia="Arial" w:hAnsi="Arial"/>
          <w:sz w:val="14"/>
          <w:szCs w:val="14"/>
          <w:color w:val="auto"/>
        </w:rPr>
        <w:t>Non-interest income for the year ended December 31, 2025 was $6.6 million compared to $12.7 million for the same period in 2024. This decrease was primarily driven by a $7.5 million loss on sale of securities available for sale resulting from a portfolio restructuring strategy approved by the Board of Directors and implemented in December 2025. The portfolio restructuring strategy resulted in the sale of lower-yielding available-for-sale securities at a loss in order to better position our securities portfolio. Proceeds from the sale transactions were primarily reinvested in assets bearing higher yields than those on the securities that were sold. Service fees increased $764 thousand or 8.6%, primarily due to title insurance fees and prepayment penalties. The gain on sale of SBA 7a loans increased $254 thousand or 34.0%, and other non-interest income increased $374 thousand or 11.9%, primarily due to increases in the cash surrender values of bank-owned life insurance policies.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periods indicated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3"/>
                <w:szCs w:val="13"/>
                <w:b w:val="1"/>
                <w:bCs w:val="1"/>
                <w:color w:val="auto"/>
                <w:w w:val="98"/>
              </w:rPr>
              <w:t>Years Ended December 31,</w:t>
            </w:r>
          </w:p>
        </w:tc>
        <w:tc>
          <w:tcPr>
            <w:tcW w:w="20" w:type="dxa"/>
            <w:vAlign w:val="bottom"/>
          </w:tcPr>
          <w:p>
            <w:pPr>
              <w:spacing w:after="0"/>
              <w:rPr>
                <w:sz w:val="13"/>
                <w:szCs w:val="13"/>
                <w:color w:val="auto"/>
              </w:rPr>
            </w:pPr>
          </w:p>
        </w:tc>
      </w:tr>
      <w:tr>
        <w:trPr>
          <w:trHeight w:val="171"/>
        </w:trPr>
        <w:tc>
          <w:tcPr>
            <w:tcW w:w="1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2025</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4"/>
                <w:szCs w:val="14"/>
                <w:color w:val="auto"/>
              </w:rPr>
            </w:pPr>
          </w:p>
        </w:tc>
      </w:tr>
      <w:tr>
        <w:trPr>
          <w:trHeight w:val="141"/>
        </w:trPr>
        <w:tc>
          <w:tcPr>
            <w:tcW w:w="576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Salaries and employee benefits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32,167</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28,793</w:t>
            </w:r>
          </w:p>
        </w:tc>
        <w:tc>
          <w:tcPr>
            <w:tcW w:w="20" w:type="dxa"/>
            <w:vAlign w:val="bottom"/>
            <w:shd w:val="clear" w:color="auto" w:fill="CCEEFF"/>
          </w:tcPr>
          <w:p>
            <w:pPr>
              <w:spacing w:after="0"/>
              <w:rPr>
                <w:sz w:val="12"/>
                <w:szCs w:val="12"/>
                <w:color w:val="auto"/>
              </w:rPr>
            </w:pPr>
          </w:p>
        </w:tc>
      </w:tr>
      <w:tr>
        <w:trPr>
          <w:trHeight w:val="171"/>
        </w:trPr>
        <w:tc>
          <w:tcPr>
            <w:tcW w:w="57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5,258</w:t>
            </w:r>
          </w:p>
        </w:tc>
        <w:tc>
          <w:tcPr>
            <w:tcW w:w="20" w:type="dxa"/>
            <w:vAlign w:val="bottom"/>
          </w:tcPr>
          <w:p>
            <w:pPr>
              <w:spacing w:after="0"/>
              <w:rPr>
                <w:sz w:val="14"/>
                <w:szCs w:val="14"/>
                <w:color w:val="auto"/>
              </w:rPr>
            </w:pPr>
          </w:p>
        </w:tc>
      </w:tr>
      <w:tr>
        <w:trPr>
          <w:trHeight w:val="171"/>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20" w:type="dxa"/>
            <w:vAlign w:val="bottom"/>
            <w:shd w:val="clear" w:color="auto" w:fill="CCEEFF"/>
          </w:tcPr>
          <w:p>
            <w:pPr>
              <w:spacing w:after="0"/>
              <w:rPr>
                <w:sz w:val="14"/>
                <w:szCs w:val="14"/>
                <w:color w:val="auto"/>
              </w:rPr>
            </w:pPr>
          </w:p>
        </w:tc>
      </w:tr>
      <w:tr>
        <w:trPr>
          <w:trHeight w:val="171"/>
        </w:trPr>
        <w:tc>
          <w:tcPr>
            <w:tcW w:w="57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1,941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1,568</w:t>
            </w:r>
          </w:p>
        </w:tc>
        <w:tc>
          <w:tcPr>
            <w:tcW w:w="20" w:type="dxa"/>
            <w:vAlign w:val="bottom"/>
          </w:tcPr>
          <w:p>
            <w:pPr>
              <w:spacing w:after="0"/>
              <w:rPr>
                <w:sz w:val="14"/>
                <w:szCs w:val="14"/>
                <w:color w:val="auto"/>
              </w:rPr>
            </w:pPr>
          </w:p>
        </w:tc>
      </w:tr>
      <w:tr>
        <w:trPr>
          <w:trHeight w:val="171"/>
        </w:trPr>
        <w:tc>
          <w:tcPr>
            <w:tcW w:w="5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20" w:type="dxa"/>
            <w:vAlign w:val="bottom"/>
            <w:shd w:val="clear" w:color="auto" w:fill="CCEEFF"/>
          </w:tcPr>
          <w:p>
            <w:pPr>
              <w:spacing w:after="0"/>
              <w:rPr>
                <w:sz w:val="14"/>
                <w:szCs w:val="14"/>
                <w:color w:val="auto"/>
              </w:rPr>
            </w:pPr>
          </w:p>
        </w:tc>
      </w:tr>
      <w:tr>
        <w:trPr>
          <w:trHeight w:val="171"/>
        </w:trPr>
        <w:tc>
          <w:tcPr>
            <w:tcW w:w="57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7,664</w:t>
            </w:r>
          </w:p>
        </w:tc>
        <w:tc>
          <w:tcPr>
            <w:tcW w:w="20" w:type="dxa"/>
            <w:vAlign w:val="bottom"/>
          </w:tcPr>
          <w:p>
            <w:pPr>
              <w:spacing w:after="0"/>
              <w:rPr>
                <w:sz w:val="14"/>
                <w:szCs w:val="14"/>
                <w:color w:val="auto"/>
              </w:rPr>
            </w:pPr>
          </w:p>
        </w:tc>
      </w:tr>
      <w:tr>
        <w:trPr>
          <w:trHeight w:val="172"/>
        </w:trPr>
        <w:tc>
          <w:tcPr>
            <w:tcW w:w="100" w:type="dxa"/>
            <w:vAlign w:val="bottom"/>
            <w:tcBorders>
              <w:bottom w:val="single" w:sz="8" w:color="CCEEFF"/>
            </w:tcBorders>
            <w:shd w:val="clear" w:color="auto" w:fill="CCEEFF"/>
          </w:tcPr>
          <w:p>
            <w:pPr>
              <w:spacing w:after="0"/>
              <w:rPr>
                <w:sz w:val="14"/>
                <w:szCs w:val="14"/>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52,009</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47,042</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type w:val="continuous"/>
        </w:sectPr>
      </w:pPr>
    </w:p>
    <w:bookmarkStart w:id="59" w:name="page60"/>
    <w:bookmarkEnd w:id="5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Non-interest expense for the year ended December 31, 2025 increased $5.0 million or 10.6%, compared to the year ended December 31, 2024. The increase is primarily due to $3.4 million or 11.7% increase in salaries and employee benefits consisting of a $2.2 million or 11.0% increase due to merit promotions and new hires, a $455 thousand or 13.6% increase in benefits (health insurance) and payroll taxes, and a $876 thousand increase in stock-based compensation due to the Company’s favorable financial performance in 2025. Other operating expense had an increase of $946 thousand or 12.3% consisting of an increase of $204 thousand in item processing, $146 thousand in internet banking fees, a $169 thousand increase in promotional expense, a $207 thousand increase in director fees, and a $220 thousand in other operating expenses.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57"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 for income tax purposes. Therefore, future decisions on the investments we choose will affect our effective tax rate. Changes in the cash surrender value of bank-owned life insurance policies for key employees, purchasing municipal bonds, and overall taxable income will be important elements in determining our effective tax rate.</w:t>
      </w:r>
    </w:p>
    <w:p>
      <w:pPr>
        <w:spacing w:after="0" w:line="121" w:lineRule="exact"/>
        <w:rPr>
          <w:sz w:val="20"/>
          <w:szCs w:val="20"/>
          <w:color w:val="auto"/>
        </w:rPr>
      </w:pPr>
    </w:p>
    <w:p>
      <w:pPr>
        <w:jc w:val="both"/>
        <w:ind w:left="660" w:right="679" w:firstLine="299"/>
        <w:spacing w:after="0" w:line="255" w:lineRule="auto"/>
        <w:rPr>
          <w:sz w:val="20"/>
          <w:szCs w:val="20"/>
          <w:color w:val="auto"/>
        </w:rPr>
      </w:pPr>
      <w:r>
        <w:rPr>
          <w:rFonts w:ascii="Arial" w:cs="Arial" w:eastAsia="Arial" w:hAnsi="Arial"/>
          <w:sz w:val="14"/>
          <w:szCs w:val="14"/>
          <w:color w:val="auto"/>
        </w:rPr>
        <w:t>Income tax expense for the year ended December 31, 2025 was $9.8 million, compared to $7.8 million for the year ended December 31, 2024. The effective tax rate increased to 27.3% for the year ended December 31, 2025 from 24.0% for the year ended December 31, 2024. The increase in effective tax rate in 2025 was due primarily to the recognition of $1.1 million of state tax liability expense for the year ended December 31, 2024. The state tax liability expense was related to taxes due on interest income on loans whose collateral is located outside the State of Florida.</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any tax-exempt securities at both December 31, 2025 and December 31, 2024.</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For a further discussion on income taxes, see Note 6 “Income Taxes” to the Consolidated Financial Statements set forth in Item 8 of this Annual Report on Form 10-K.</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Rate/Volume Analysis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table below sets forth information regarding changes in interest income and interest expense for the periods indicated (in thousands). For each category of interest-earning assets and interest-bearing liabilities, information is provided on changes attributable to (i) changes in rate (changes in rate multiplied by old volume); (ii) changes in volume (changes in volume multiplied by old rate); and (iii) changes in rate-volume (change in rate multiplied by change in volume). Changes in rate-volume are proportionately allocated between rate and volume variance (in thousands).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3"/>
                <w:szCs w:val="13"/>
                <w:b w:val="1"/>
                <w:bCs w:val="1"/>
                <w:color w:val="auto"/>
                <w:w w:val="97"/>
              </w:rPr>
              <w:t>Years Ended 2025 vs. 2024</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9"/>
          </w:tcPr>
          <w:p>
            <w:pPr>
              <w:jc w:val="right"/>
              <w:ind w:right="336"/>
              <w:spacing w:after="0"/>
              <w:rPr>
                <w:sz w:val="20"/>
                <w:szCs w:val="20"/>
                <w:color w:val="auto"/>
              </w:rPr>
            </w:pPr>
            <w:r>
              <w:rPr>
                <w:rFonts w:ascii="Arial" w:cs="Arial" w:eastAsia="Arial" w:hAnsi="Arial"/>
                <w:sz w:val="13"/>
                <w:szCs w:val="13"/>
                <w:b w:val="1"/>
                <w:bCs w:val="1"/>
                <w:color w:val="auto"/>
              </w:rPr>
              <w:t>Years Ended 2024 vs. 2023</w:t>
            </w:r>
          </w:p>
        </w:tc>
        <w:tc>
          <w:tcPr>
            <w:tcW w:w="20" w:type="dxa"/>
            <w:vAlign w:val="bottom"/>
          </w:tcPr>
          <w:p>
            <w:pPr>
              <w:spacing w:after="0"/>
              <w:rPr>
                <w:sz w:val="12"/>
                <w:szCs w:val="12"/>
                <w:color w:val="auto"/>
              </w:rPr>
            </w:pPr>
          </w:p>
        </w:tc>
      </w:tr>
      <w:tr>
        <w:trPr>
          <w:trHeight w:val="151"/>
        </w:trPr>
        <w:tc>
          <w:tcPr>
            <w:tcW w:w="2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gridSpan w:val="12"/>
          </w:tcPr>
          <w:p>
            <w:pPr>
              <w:jc w:val="center"/>
              <w:ind w:right="100"/>
              <w:spacing w:after="0"/>
              <w:rPr>
                <w:sz w:val="20"/>
                <w:szCs w:val="20"/>
                <w:color w:val="auto"/>
              </w:rPr>
            </w:pPr>
            <w:r>
              <w:rPr>
                <w:rFonts w:ascii="Arial" w:cs="Arial" w:eastAsia="Arial" w:hAnsi="Arial"/>
                <w:sz w:val="13"/>
                <w:szCs w:val="13"/>
                <w:b w:val="1"/>
                <w:bCs w:val="1"/>
                <w:color w:val="auto"/>
                <w:w w:val="98"/>
              </w:rPr>
              <w:t>Increase (decrease) due to change in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40" w:type="dxa"/>
            <w:vAlign w:val="bottom"/>
            <w:gridSpan w:val="9"/>
          </w:tcPr>
          <w:p>
            <w:pPr>
              <w:jc w:val="right"/>
              <w:ind w:right="16"/>
              <w:spacing w:after="0"/>
              <w:rPr>
                <w:sz w:val="20"/>
                <w:szCs w:val="20"/>
                <w:color w:val="auto"/>
              </w:rPr>
            </w:pPr>
            <w:r>
              <w:rPr>
                <w:rFonts w:ascii="Arial" w:cs="Arial" w:eastAsia="Arial" w:hAnsi="Arial"/>
                <w:sz w:val="13"/>
                <w:szCs w:val="13"/>
                <w:b w:val="1"/>
                <w:bCs w:val="1"/>
                <w:color w:val="auto"/>
                <w:w w:val="98"/>
              </w:rPr>
              <w:t>Increase (decrease) due to change in</w:t>
            </w:r>
          </w:p>
        </w:tc>
        <w:tc>
          <w:tcPr>
            <w:tcW w:w="20" w:type="dxa"/>
            <w:vAlign w:val="bottom"/>
          </w:tcPr>
          <w:p>
            <w:pPr>
              <w:spacing w:after="0"/>
              <w:rPr>
                <w:sz w:val="13"/>
                <w:szCs w:val="13"/>
                <w:color w:val="auto"/>
              </w:rPr>
            </w:pPr>
          </w:p>
        </w:tc>
      </w:tr>
      <w:tr>
        <w:trPr>
          <w:trHeight w:val="130"/>
        </w:trPr>
        <w:tc>
          <w:tcPr>
            <w:tcW w:w="28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1"/>
                <w:szCs w:val="11"/>
                <w:color w:val="auto"/>
              </w:rPr>
            </w:pPr>
          </w:p>
        </w:tc>
      </w:tr>
      <w:tr>
        <w:trPr>
          <w:trHeight w:val="149"/>
        </w:trPr>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Volume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Rate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Change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Volume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Rate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c>
          <w:tcPr>
            <w:tcW w:w="20" w:type="dxa"/>
            <w:vAlign w:val="bottom"/>
          </w:tcPr>
          <w:p>
            <w:pPr>
              <w:spacing w:after="0"/>
              <w:rPr>
                <w:sz w:val="12"/>
                <w:szCs w:val="12"/>
                <w:color w:val="auto"/>
              </w:rPr>
            </w:pPr>
          </w:p>
        </w:tc>
      </w:tr>
      <w:tr>
        <w:trPr>
          <w:trHeight w:val="161"/>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1"/>
        </w:trPr>
        <w:tc>
          <w:tcPr>
            <w:tcW w:w="2800" w:type="dxa"/>
            <w:vAlign w:val="bottom"/>
          </w:tcPr>
          <w:p>
            <w:pPr>
              <w:ind w:left="100"/>
              <w:spacing w:after="0" w:line="171"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(1)</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12,812</w:t>
            </w:r>
          </w:p>
        </w:tc>
        <w:tc>
          <w:tcPr>
            <w:tcW w:w="20" w:type="dxa"/>
            <w:vAlign w:val="bottom"/>
          </w:tcPr>
          <w:p>
            <w:pPr>
              <w:spacing w:after="0"/>
              <w:rPr>
                <w:sz w:val="14"/>
                <w:szCs w:val="14"/>
                <w:color w:val="auto"/>
              </w:rPr>
            </w:pPr>
          </w:p>
        </w:tc>
        <w:tc>
          <w:tcPr>
            <w:tcW w:w="18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112</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12,924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13,949</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13,403</w:t>
            </w:r>
          </w:p>
        </w:tc>
        <w:tc>
          <w:tcPr>
            <w:tcW w:w="20" w:type="dxa"/>
            <w:vAlign w:val="bottom"/>
          </w:tcPr>
          <w:p>
            <w:pPr>
              <w:spacing w:after="0"/>
              <w:rPr>
                <w:sz w:val="14"/>
                <w:szCs w:val="14"/>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27,352</w:t>
            </w:r>
          </w:p>
        </w:tc>
        <w:tc>
          <w:tcPr>
            <w:tcW w:w="20" w:type="dxa"/>
            <w:vAlign w:val="bottom"/>
          </w:tcPr>
          <w:p>
            <w:pPr>
              <w:spacing w:after="0"/>
              <w:rPr>
                <w:sz w:val="14"/>
                <w:szCs w:val="14"/>
                <w:color w:val="auto"/>
              </w:rPr>
            </w:pPr>
          </w:p>
        </w:tc>
      </w:tr>
      <w:tr>
        <w:trPr>
          <w:trHeight w:val="213"/>
        </w:trPr>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20" w:type="dxa"/>
            <w:vAlign w:val="bottom"/>
            <w:shd w:val="clear" w:color="auto" w:fill="CCEEFF"/>
          </w:tcPr>
          <w:p>
            <w:pPr>
              <w:spacing w:after="0"/>
              <w:rPr>
                <w:sz w:val="18"/>
                <w:szCs w:val="18"/>
                <w:color w:val="auto"/>
              </w:rPr>
            </w:pPr>
          </w:p>
        </w:tc>
      </w:tr>
      <w:tr>
        <w:trPr>
          <w:trHeight w:val="213"/>
        </w:trPr>
        <w:tc>
          <w:tcPr>
            <w:tcW w:w="2800" w:type="dxa"/>
            <w:vAlign w:val="bottom"/>
          </w:tcPr>
          <w:p>
            <w:pPr>
              <w:ind w:left="100"/>
              <w:spacing w:after="0"/>
              <w:rPr>
                <w:sz w:val="20"/>
                <w:szCs w:val="20"/>
                <w:color w:val="auto"/>
              </w:rPr>
            </w:pPr>
            <w:r>
              <w:rPr>
                <w:rFonts w:ascii="Arial" w:cs="Arial" w:eastAsia="Arial" w:hAnsi="Arial"/>
                <w:sz w:val="13"/>
                <w:szCs w:val="13"/>
                <w:color w:val="auto"/>
              </w:rPr>
              <w:t>Other interest-earning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1,396</w:t>
            </w:r>
          </w:p>
        </w:tc>
        <w:tc>
          <w:tcPr>
            <w:tcW w:w="20" w:type="dxa"/>
            <w:vAlign w:val="bottom"/>
          </w:tcPr>
          <w:p>
            <w:pPr>
              <w:spacing w:after="0"/>
              <w:rPr>
                <w:sz w:val="18"/>
                <w:szCs w:val="18"/>
                <w:color w:val="auto"/>
              </w:rPr>
            </w:pPr>
          </w:p>
        </w:tc>
      </w:tr>
      <w:tr>
        <w:trPr>
          <w:trHeight w:val="204"/>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increase in interest income</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13,555</w:t>
            </w:r>
          </w:p>
        </w:tc>
        <w:tc>
          <w:tcPr>
            <w:tcW w:w="20" w:type="dxa"/>
            <w:vAlign w:val="bottom"/>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14,254</w:t>
            </w:r>
          </w:p>
        </w:tc>
        <w:tc>
          <w:tcPr>
            <w:tcW w:w="20" w:type="dxa"/>
            <w:vAlign w:val="bottom"/>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15,116</w:t>
            </w:r>
          </w:p>
        </w:tc>
        <w:tc>
          <w:tcPr>
            <w:tcW w:w="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15,100</w:t>
            </w:r>
          </w:p>
        </w:tc>
        <w:tc>
          <w:tcPr>
            <w:tcW w:w="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30,216</w:t>
            </w:r>
          </w:p>
        </w:tc>
        <w:tc>
          <w:tcPr>
            <w:tcW w:w="20" w:type="dxa"/>
            <w:vAlign w:val="bottom"/>
            <w:shd w:val="clear" w:color="auto" w:fill="CCEEFF"/>
          </w:tcPr>
          <w:p>
            <w:pPr>
              <w:spacing w:after="0"/>
              <w:rPr>
                <w:sz w:val="17"/>
                <w:szCs w:val="17"/>
                <w:color w:val="auto"/>
              </w:rPr>
            </w:pPr>
          </w:p>
        </w:tc>
      </w:tr>
      <w:tr>
        <w:trPr>
          <w:trHeight w:val="213"/>
        </w:trPr>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800" w:type="dxa"/>
            <w:vAlign w:val="bottom"/>
          </w:tcPr>
          <w:p>
            <w:pPr>
              <w:ind w:left="100"/>
              <w:spacing w:after="0"/>
              <w:rPr>
                <w:sz w:val="20"/>
                <w:szCs w:val="20"/>
                <w:color w:val="auto"/>
              </w:rPr>
            </w:pPr>
            <w:r>
              <w:rPr>
                <w:rFonts w:ascii="Arial" w:cs="Arial" w:eastAsia="Arial" w:hAnsi="Arial"/>
                <w:sz w:val="13"/>
                <w:szCs w:val="13"/>
                <w:color w:val="auto"/>
              </w:rPr>
              <w:t>Interest-bearing demand deposits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(79)</w:t>
            </w:r>
          </w:p>
        </w:tc>
        <w:tc>
          <w:tcPr>
            <w:tcW w:w="18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(147)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(226)</w:t>
            </w:r>
          </w:p>
        </w:tc>
        <w:tc>
          <w:tcPr>
            <w:tcW w:w="2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585</w:t>
            </w:r>
          </w:p>
        </w:tc>
        <w:tc>
          <w:tcPr>
            <w:tcW w:w="20" w:type="dxa"/>
            <w:vAlign w:val="bottom"/>
          </w:tcPr>
          <w:p>
            <w:pPr>
              <w:spacing w:after="0"/>
              <w:rPr>
                <w:sz w:val="18"/>
                <w:szCs w:val="18"/>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608</w:t>
            </w:r>
          </w:p>
        </w:tc>
        <w:tc>
          <w:tcPr>
            <w:tcW w:w="20" w:type="dxa"/>
            <w:vAlign w:val="bottom"/>
          </w:tcPr>
          <w:p>
            <w:pPr>
              <w:spacing w:after="0"/>
              <w:rPr>
                <w:sz w:val="18"/>
                <w:szCs w:val="18"/>
                <w:color w:val="auto"/>
              </w:rPr>
            </w:pPr>
          </w:p>
        </w:tc>
      </w:tr>
      <w:tr>
        <w:trPr>
          <w:trHeight w:val="213"/>
        </w:trPr>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Savings and money market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10,440</w:t>
            </w:r>
          </w:p>
        </w:tc>
        <w:tc>
          <w:tcPr>
            <w:tcW w:w="20" w:type="dxa"/>
            <w:vAlign w:val="bottom"/>
            <w:shd w:val="clear" w:color="auto" w:fill="CCEEFF"/>
          </w:tcPr>
          <w:p>
            <w:pPr>
              <w:spacing w:after="0"/>
              <w:rPr>
                <w:sz w:val="18"/>
                <w:szCs w:val="18"/>
                <w:color w:val="auto"/>
              </w:rPr>
            </w:pPr>
          </w:p>
        </w:tc>
      </w:tr>
      <w:tr>
        <w:trPr>
          <w:trHeight w:val="213"/>
        </w:trPr>
        <w:tc>
          <w:tcPr>
            <w:tcW w:w="280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4,854</w:t>
            </w:r>
          </w:p>
        </w:tc>
        <w:tc>
          <w:tcPr>
            <w:tcW w:w="20" w:type="dxa"/>
            <w:vAlign w:val="bottom"/>
          </w:tcPr>
          <w:p>
            <w:pPr>
              <w:spacing w:after="0"/>
              <w:rPr>
                <w:sz w:val="18"/>
                <w:szCs w:val="18"/>
                <w:color w:val="auto"/>
              </w:rPr>
            </w:pPr>
          </w:p>
        </w:tc>
      </w:tr>
      <w:tr>
        <w:trPr>
          <w:trHeight w:val="213"/>
        </w:trPr>
        <w:tc>
          <w:tcPr>
            <w:tcW w:w="2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(2,882)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2,946</w:t>
            </w:r>
          </w:p>
        </w:tc>
        <w:tc>
          <w:tcPr>
            <w:tcW w:w="20" w:type="dxa"/>
            <w:vAlign w:val="bottom"/>
            <w:shd w:val="clear" w:color="auto" w:fill="CCEEFF"/>
          </w:tcPr>
          <w:p>
            <w:pPr>
              <w:spacing w:after="0"/>
              <w:rPr>
                <w:sz w:val="18"/>
                <w:szCs w:val="18"/>
                <w:color w:val="auto"/>
              </w:rPr>
            </w:pPr>
          </w:p>
        </w:tc>
      </w:tr>
      <w:tr>
        <w:trPr>
          <w:trHeight w:val="223"/>
        </w:trPr>
        <w:tc>
          <w:tcPr>
            <w:tcW w:w="2800" w:type="dxa"/>
            <w:vAlign w:val="bottom"/>
          </w:tcPr>
          <w:p>
            <w:pPr>
              <w:ind w:left="100"/>
              <w:spacing w:after="0"/>
              <w:rPr>
                <w:sz w:val="20"/>
                <w:szCs w:val="20"/>
                <w:color w:val="auto"/>
              </w:rPr>
            </w:pPr>
            <w:r>
              <w:rPr>
                <w:rFonts w:ascii="Arial" w:cs="Arial" w:eastAsia="Arial" w:hAnsi="Arial"/>
                <w:sz w:val="13"/>
                <w:szCs w:val="13"/>
                <w:color w:val="auto"/>
              </w:rPr>
              <w:t>Subordinated notes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r>
      <w:tr>
        <w:trPr>
          <w:trHeight w:val="184"/>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increase (decrease) in interest expense</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20" w:type="dxa"/>
            <w:vAlign w:val="bottom"/>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(8,839)</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8,614</w:t>
            </w:r>
          </w:p>
        </w:tc>
        <w:tc>
          <w:tcPr>
            <w:tcW w:w="20" w:type="dxa"/>
            <w:vAlign w:val="bottom"/>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10,235</w:t>
            </w:r>
          </w:p>
        </w:tc>
        <w:tc>
          <w:tcPr>
            <w:tcW w:w="20" w:type="dxa"/>
            <w:vAlign w:val="bottom"/>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18,848</w:t>
            </w:r>
          </w:p>
        </w:tc>
        <w:tc>
          <w:tcPr>
            <w:tcW w:w="20" w:type="dxa"/>
            <w:vAlign w:val="bottom"/>
            <w:shd w:val="clear" w:color="auto" w:fill="CCEEFF"/>
          </w:tcPr>
          <w:p>
            <w:pPr>
              <w:spacing w:after="0"/>
              <w:rPr>
                <w:sz w:val="16"/>
                <w:szCs w:val="16"/>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3"/>
                <w:szCs w:val="13"/>
                <w:b w:val="1"/>
                <w:bCs w:val="1"/>
                <w:color w:val="auto"/>
              </w:rPr>
              <w:t>Increase in net interest income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9,538</w:t>
            </w: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6,502</w:t>
            </w: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4,865</w:t>
            </w: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11,368</w:t>
            </w:r>
          </w:p>
        </w:tc>
        <w:tc>
          <w:tcPr>
            <w:tcW w:w="2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860" w:hanging="197"/>
        <w:spacing w:after="0"/>
        <w:tabs>
          <w:tab w:leader="none" w:pos="8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200" w:lineRule="exact"/>
        <w:rPr>
          <w:sz w:val="20"/>
          <w:szCs w:val="20"/>
          <w:color w:val="auto"/>
        </w:rPr>
      </w:pPr>
    </w:p>
    <w:p>
      <w:pPr>
        <w:spacing w:after="0" w:line="2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60" w:name="page61"/>
    <w:bookmarkEnd w:id="6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During the year ended December 31, 2025 average rates paid on interest-bearing liabilities decreased, while yields earned on interest-earning assets increased slightly. The Company was able to reprice its interest-bearing liabilities downward more rapidly than its interest-earning assets.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Total assets at December 31, 2025, were $2.8 billion, an increase of $210.3 million, or 8.1%, over total assets of $2.6 billion at December 31, 2024. Total loans held for investment increased $216.4 million, or 11.0%, to $2.2 billion at December 31, 2025 compared to $2.0 billion at December 31, 2024. Total deposits increased by $171.1 million, or 7.9%, to $2.3 billion at December 31, 2025 compared to $2.2 billion at December 31, 2024.</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operating philosophy of the portfolio is to maximize the Company’s profitability, taking into consideration the Company’s risk appetite and tolerance, manage it’s asset composition and diversification, and maintain adequate risk-based capital ratios.</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investment guidelines,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objectives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2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and/or the ALCO of the Company to ensure an appropriate risk and return profile as well as for adherence to the Company’s investment policy.</w:t>
      </w:r>
    </w:p>
    <w:p>
      <w:pPr>
        <w:spacing w:after="0" w:line="138"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As of December 31, 2025, the investment portfolio consisted of available-for-sale (“AFS”) and held-to-maturity (“HTM”) debt securities. In 2022, the Company transferred investment securities from AFS to HTM with an amortized cost basis and fair value amount of $74.4 million and $63.8 million, respectively. On the date of transfer, these securities had a total net unrealized loss of $10.6 million. The transfer of the debt securities from the AFS to HTM category was made at fair value at the date of transfer. The unrealized gain or loss at the date of transfer is retained in accumulated other comprehensive loss and in the carrying value of the HTM securities. Such amounts are amortized over the remaining life of the security. There was no impact to net income on the date of transfer. There were no securities transferred from AFS to HTM in 2025 or 2024.</w:t>
      </w:r>
    </w:p>
    <w:p>
      <w:pPr>
        <w:spacing w:after="0" w:line="126"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book value of the AFS securities is adjusted quarterly for unrealized gain or loss as a valuation allowance, and any gain or loss is reported on an after-tax basis as a component of other comprehensive loss in stockholders’ equity.</w:t>
      </w:r>
    </w:p>
    <w:p>
      <w:pPr>
        <w:spacing w:after="0" w:line="12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41"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Company monitors the credit quality of HTM securities through the use of credit ratings. Credit ratings are monitored by the Company on at least a quarterly basis. As of December 31, 2025 and December 31, 2024, all HTM securities held by the Company were rated investment grade.</w:t>
      </w:r>
    </w:p>
    <w:p>
      <w:pPr>
        <w:spacing w:after="0" w:line="3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61" w:name="page62"/>
    <w:bookmarkEnd w:id="6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At December 31, 2025, HTM securities included $144.9 million of U.S. Government and U.S. Agency issued bonds and mortgage-backed securities. Because of the explicit and/or implicit guarantee on these bonds, the Company holds no reserves on these holdings. The remaining portion of the HTM portfolio is made up of $9.0 million in investment grade corporate bonds. The required reserve for these holdings is determined each quarter using the model described above. For the portion of the HTM exposed to non-government credit risk, the Company utilized the PD/LGD methodology to estimate a $2 thousand ACL as of December 31, 2025. The book value for debt securities classified as HTM represents amortized cost less ACL.</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December 31, 2025, securities with a fair value of $43.5 million were pledged to secure public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62" w:name="page63"/>
    <w:bookmarkEnd w:id="6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99"/>
              </w:rPr>
              <w:t>December 31, 2025</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Unrealized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380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Losses</w:t>
            </w:r>
          </w:p>
        </w:tc>
        <w:tc>
          <w:tcPr>
            <w:tcW w:w="120" w:type="dxa"/>
            <w:vAlign w:val="bottom"/>
          </w:tcPr>
          <w:p>
            <w:pPr>
              <w:spacing w:after="0"/>
              <w:rPr>
                <w:sz w:val="12"/>
                <w:szCs w:val="12"/>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2"/>
                <w:szCs w:val="12"/>
                <w:color w:val="auto"/>
              </w:rPr>
            </w:pPr>
          </w:p>
        </w:tc>
      </w:tr>
      <w:tr>
        <w:trPr>
          <w:trHeight w:val="161"/>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15,169</w:t>
            </w:r>
          </w:p>
        </w:tc>
        <w:tc>
          <w:tcPr>
            <w:tcW w:w="4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14,144</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92,871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(17,043)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75,828</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29,917</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174,622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(6,861)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168,108</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15,284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15,230</w:t>
            </w:r>
          </w:p>
        </w:tc>
        <w:tc>
          <w:tcPr>
            <w:tcW w:w="20" w:type="dxa"/>
            <w:vAlign w:val="bottom"/>
          </w:tcPr>
          <w:p>
            <w:pPr>
              <w:spacing w:after="0"/>
              <w:rPr>
                <w:sz w:val="14"/>
                <w:szCs w:val="14"/>
                <w:color w:val="auto"/>
              </w:rPr>
            </w:pPr>
          </w:p>
        </w:tc>
      </w:tr>
      <w:tr>
        <w:trPr>
          <w:trHeight w:val="172"/>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339,007</w:t>
            </w: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(32,206)</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307,490</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9"/>
              </w:rPr>
              <w:t>December 31, 2025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rPr>
              <w:t>Unrecognized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9"/>
              </w:rPr>
              <w:t>Unrecognized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41,158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(3,279)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37,970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51,431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(5,499)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46,786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15,088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(1,037)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153,943</w:t>
            </w:r>
          </w:p>
        </w:tc>
        <w:tc>
          <w:tcPr>
            <w:tcW w:w="20" w:type="dxa"/>
            <w:vAlign w:val="bottom"/>
          </w:tcPr>
          <w:p>
            <w:pPr>
              <w:spacing w:after="0"/>
              <w:rPr>
                <w:sz w:val="18"/>
                <w:szCs w:val="18"/>
                <w:color w:val="auto"/>
              </w:rPr>
            </w:pPr>
          </w:p>
        </w:tc>
        <w:tc>
          <w:tcPr>
            <w:tcW w:w="16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1,705</w:t>
            </w:r>
          </w:p>
        </w:tc>
        <w:tc>
          <w:tcPr>
            <w:tcW w:w="20" w:type="dxa"/>
            <w:vAlign w:val="bottom"/>
          </w:tcPr>
          <w:p>
            <w:pPr>
              <w:spacing w:after="0"/>
              <w:rPr>
                <w:sz w:val="18"/>
                <w:szCs w:val="18"/>
                <w:color w:val="auto"/>
              </w:rPr>
            </w:pPr>
          </w:p>
        </w:tc>
        <w:tc>
          <w:tcPr>
            <w:tcW w:w="160" w:type="dxa"/>
            <w:vAlign w:val="bottom"/>
            <w:gridSpan w:val="3"/>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(13,140)</w:t>
            </w:r>
          </w:p>
        </w:tc>
        <w:tc>
          <w:tcPr>
            <w:tcW w:w="18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142,508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00" w:type="dxa"/>
            <w:vAlign w:val="bottom"/>
            <w:vMerge w:val="continue"/>
          </w:tcPr>
          <w:p>
            <w:pPr>
              <w:spacing w:after="0"/>
              <w:rPr>
                <w:sz w:val="14"/>
                <w:szCs w:val="14"/>
                <w:color w:val="auto"/>
              </w:rPr>
            </w:pP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153,941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81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790" w:type="dxa"/>
            <w:vAlign w:val="bottom"/>
            <w:tcBorders>
              <w:bottom w:val="single" w:sz="8" w:color="auto"/>
            </w:tcBorders>
            <w:gridSpan w:val="5"/>
          </w:tcPr>
          <w:p>
            <w:pPr>
              <w:jc w:val="right"/>
              <w:ind w:right="236"/>
              <w:spacing w:after="0"/>
              <w:rPr>
                <w:sz w:val="20"/>
                <w:szCs w:val="20"/>
                <w:color w:val="auto"/>
              </w:rPr>
            </w:pPr>
            <w:r>
              <w:rPr>
                <w:rFonts w:ascii="Arial" w:cs="Arial" w:eastAsia="Arial" w:hAnsi="Arial"/>
                <w:sz w:val="13"/>
                <w:szCs w:val="13"/>
                <w:b w:val="1"/>
                <w:bCs w:val="1"/>
                <w:color w:val="auto"/>
              </w:rPr>
              <w:t>December 31, 2024</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9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Unrealized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9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81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81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81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Losses</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9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3"/>
                <w:szCs w:val="13"/>
                <w:color w:val="auto"/>
              </w:rPr>
            </w:pPr>
          </w:p>
        </w:tc>
      </w:tr>
      <w:tr>
        <w:trPr>
          <w:trHeight w:val="161"/>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12,625</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ind w:right="16"/>
              <w:spacing w:after="0"/>
              <w:rPr>
                <w:sz w:val="20"/>
                <w:szCs w:val="20"/>
                <w:color w:val="auto"/>
              </w:rPr>
            </w:pPr>
            <w:r>
              <w:rPr>
                <w:rFonts w:ascii="Arial" w:cs="Arial" w:eastAsia="Arial" w:hAnsi="Arial"/>
                <w:sz w:val="13"/>
                <w:szCs w:val="13"/>
                <w:color w:val="auto"/>
              </w:rPr>
              <w:t>101,808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(22,918)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78,905</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46,933</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86,604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40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(7,905)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78,739</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19,311</w:t>
            </w:r>
          </w:p>
        </w:tc>
        <w:tc>
          <w:tcPr>
            <w:tcW w:w="20" w:type="dxa"/>
            <w:vAlign w:val="bottom"/>
            <w:shd w:val="clear" w:color="auto" w:fill="CCEEFF"/>
          </w:tcPr>
          <w:p>
            <w:pPr>
              <w:spacing w:after="0"/>
              <w:rPr>
                <w:sz w:val="14"/>
                <w:szCs w:val="14"/>
                <w:color w:val="auto"/>
              </w:rPr>
            </w:pPr>
          </w:p>
        </w:tc>
      </w:tr>
      <w:tr>
        <w:trPr>
          <w:trHeight w:val="180"/>
        </w:trPr>
        <w:tc>
          <w:tcPr>
            <w:tcW w:w="3800" w:type="dxa"/>
            <w:vAlign w:val="bottom"/>
          </w:tcPr>
          <w:p>
            <w:pPr>
              <w:ind w:left="4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24,314</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1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438</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23,708</w:t>
            </w:r>
          </w:p>
        </w:tc>
        <w:tc>
          <w:tcPr>
            <w:tcW w:w="20" w:type="dxa"/>
            <w:vAlign w:val="bottom"/>
          </w:tcPr>
          <w:p>
            <w:pPr>
              <w:spacing w:after="0"/>
              <w:rPr>
                <w:sz w:val="15"/>
                <w:szCs w:val="15"/>
                <w:color w:val="auto"/>
              </w:rPr>
            </w:pPr>
          </w:p>
        </w:tc>
      </w:tr>
      <w:tr>
        <w:trPr>
          <w:trHeight w:val="152"/>
        </w:trPr>
        <w:tc>
          <w:tcPr>
            <w:tcW w:w="38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310,925</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508</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(51,212)</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260,221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477" w:right="1440" w:bottom="1440" w:gutter="0" w:footer="0" w:header="0"/>
        </w:sectPr>
      </w:pPr>
    </w:p>
    <w:p>
      <w:pPr>
        <w:spacing w:after="0" w:line="36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Held-to-maturity:</w:t>
      </w:r>
    </w:p>
    <w:p>
      <w:pPr>
        <w:spacing w:after="0" w:line="26" w:lineRule="exact"/>
        <w:rPr>
          <w:sz w:val="20"/>
          <w:szCs w:val="20"/>
          <w:color w:val="auto"/>
        </w:rPr>
      </w:pPr>
    </w:p>
    <w:p>
      <w:pPr>
        <w:ind w:left="700" w:right="700"/>
        <w:spacing w:after="0" w:line="275" w:lineRule="auto"/>
        <w:rPr>
          <w:sz w:val="20"/>
          <w:szCs w:val="20"/>
          <w:color w:val="auto"/>
        </w:rPr>
      </w:pPr>
      <w:r>
        <w:rPr>
          <w:rFonts w:ascii="Arial" w:cs="Arial" w:eastAsia="Arial" w:hAnsi="Arial"/>
          <w:sz w:val="13"/>
          <w:szCs w:val="13"/>
          <w:color w:val="auto"/>
        </w:rPr>
        <w:t>U.S. Government Agency Collateralized mortgage obligations Mortgage-backed securities - residential Mortgage-backed securities - commercial</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Arial" w:cs="Arial" w:eastAsia="Arial" w:hAnsi="Arial"/>
          <w:sz w:val="13"/>
          <w:szCs w:val="13"/>
          <w:b w:val="1"/>
          <w:bCs w:val="1"/>
          <w:color w:val="auto"/>
        </w:rPr>
        <w:t>December 31,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2"/>
                <w:szCs w:val="12"/>
                <w:color w:val="auto"/>
              </w:rPr>
            </w:pPr>
          </w:p>
        </w:tc>
        <w:tc>
          <w:tcPr>
            <w:tcW w:w="960" w:type="dxa"/>
            <w:vAlign w:val="bottom"/>
            <w:gridSpan w:val="4"/>
          </w:tcPr>
          <w:p>
            <w:pPr>
              <w:ind w:left="20"/>
              <w:spacing w:after="0"/>
              <w:rPr>
                <w:sz w:val="20"/>
                <w:szCs w:val="20"/>
                <w:color w:val="auto"/>
              </w:rPr>
            </w:pPr>
            <w:r>
              <w:rPr>
                <w:rFonts w:ascii="Arial" w:cs="Arial" w:eastAsia="Arial" w:hAnsi="Arial"/>
                <w:sz w:val="13"/>
                <w:szCs w:val="13"/>
                <w:b w:val="1"/>
                <w:bCs w:val="1"/>
                <w:color w:val="auto"/>
              </w:rPr>
              <w:t>Unrecognized</w:t>
            </w:r>
          </w:p>
        </w:tc>
        <w:tc>
          <w:tcPr>
            <w:tcW w:w="2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Unrecognized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Gains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Losses</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Fair Value</w:t>
            </w:r>
          </w:p>
        </w:tc>
      </w:tr>
      <w:tr>
        <w:trPr>
          <w:trHeight w:val="161"/>
        </w:trPr>
        <w:tc>
          <w:tcPr>
            <w:tcW w:w="40" w:type="dxa"/>
            <w:vAlign w:val="bottom"/>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42,538</w:t>
            </w:r>
          </w:p>
        </w:tc>
        <w:tc>
          <w:tcPr>
            <w:tcW w:w="12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10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37,444</w:t>
            </w:r>
          </w:p>
        </w:tc>
        <w:tc>
          <w:tcPr>
            <w:tcW w:w="6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56,987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49,259</w:t>
            </w:r>
          </w:p>
        </w:tc>
      </w:tr>
      <w:tr>
        <w:trPr>
          <w:trHeight w:val="163"/>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40,681</w:t>
            </w:r>
          </w:p>
        </w:tc>
        <w:tc>
          <w:tcPr>
            <w:tcW w:w="12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(4,613)</w:t>
            </w:r>
          </w:p>
        </w:tc>
        <w:tc>
          <w:tcPr>
            <w:tcW w:w="100" w:type="dxa"/>
            <w:vAlign w:val="bottom"/>
            <w:tcBorders>
              <w:right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36,121</w:t>
            </w:r>
          </w:p>
        </w:tc>
        <w:tc>
          <w:tcPr>
            <w:tcW w:w="6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15,272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13,887</w:t>
            </w:r>
          </w:p>
        </w:tc>
      </w:tr>
    </w:tbl>
    <w:p>
      <w:pPr>
        <w:spacing w:after="0" w:line="12" w:lineRule="exact"/>
        <w:rPr>
          <w:sz w:val="20"/>
          <w:szCs w:val="20"/>
          <w:color w:val="auto"/>
        </w:rPr>
      </w:pPr>
    </w:p>
    <w:p>
      <w:pPr>
        <w:sectPr>
          <w:pgSz w:w="11900" w:h="16838" w:orient="portrait"/>
          <w:cols w:equalWidth="0" w:num="2">
            <w:col w:w="3740" w:space="720"/>
            <w:col w:w="4559"/>
          </w:cols>
          <w:pgMar w:left="1440" w:top="477" w:right="1440" w:bottom="1440" w:gutter="0" w:footer="0" w:header="0"/>
          <w:type w:val="continuous"/>
        </w:sectPr>
      </w:pPr>
    </w:p>
    <w:tbl>
      <w:tblPr>
        <w:tblLayout w:type="fixed"/>
        <w:tblInd w:w="660" w:type="dxa"/>
        <w:tblCellMar>
          <w:top w:w="0" w:type="dxa"/>
          <w:left w:w="0" w:type="dxa"/>
          <w:bottom w:w="0" w:type="dxa"/>
          <w:right w:w="0" w:type="dxa"/>
        </w:tblCellMar>
      </w:tblPr>
      <w:tr>
        <w:trPr>
          <w:trHeight w:val="14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9,222</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7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8,829</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790" w:type="dxa"/>
            <w:vAlign w:val="bottom"/>
          </w:tcPr>
          <w:p>
            <w:pPr>
              <w:jc w:val="right"/>
              <w:ind w:right="16"/>
              <w:spacing w:after="0"/>
              <w:rPr>
                <w:sz w:val="20"/>
                <w:szCs w:val="20"/>
                <w:color w:val="auto"/>
              </w:rPr>
            </w:pPr>
            <w:r>
              <w:rPr>
                <w:rFonts w:ascii="Arial" w:cs="Arial" w:eastAsia="Arial" w:hAnsi="Arial"/>
                <w:sz w:val="13"/>
                <w:szCs w:val="13"/>
                <w:color w:val="auto"/>
              </w:rPr>
              <w:t>164,700</w:t>
            </w:r>
          </w:p>
        </w:tc>
        <w:tc>
          <w:tcPr>
            <w:tcW w:w="19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30" w:type="dxa"/>
            <w:vAlign w:val="bottom"/>
          </w:tcPr>
          <w:p>
            <w:pPr>
              <w:jc w:val="right"/>
              <w:spacing w:after="0"/>
              <w:rPr>
                <w:sz w:val="20"/>
                <w:szCs w:val="20"/>
                <w:color w:val="auto"/>
              </w:rPr>
            </w:pPr>
            <w:r>
              <w:rPr>
                <w:rFonts w:ascii="Arial" w:cs="Arial" w:eastAsia="Arial" w:hAnsi="Arial"/>
                <w:sz w:val="13"/>
                <w:szCs w:val="13"/>
                <w:color w:val="auto"/>
              </w:rPr>
              <w:t>110</w:t>
            </w:r>
          </w:p>
        </w:tc>
        <w:tc>
          <w:tcPr>
            <w:tcW w:w="250" w:type="dxa"/>
            <w:vAlign w:val="bottom"/>
            <w:gridSpan w:val="4"/>
          </w:tcPr>
          <w:p>
            <w:pPr>
              <w:jc w:val="right"/>
              <w:ind w:right="30"/>
              <w:spacing w:after="0"/>
              <w:rPr>
                <w:sz w:val="20"/>
                <w:szCs w:val="20"/>
                <w:color w:val="auto"/>
              </w:rPr>
            </w:pPr>
            <w:r>
              <w:rPr>
                <w:rFonts w:ascii="Arial" w:cs="Arial" w:eastAsia="Arial" w:hAnsi="Arial"/>
                <w:sz w:val="13"/>
                <w:szCs w:val="13"/>
                <w:color w:val="auto"/>
              </w:rPr>
              <w:t>$</w:t>
            </w:r>
          </w:p>
        </w:tc>
        <w:tc>
          <w:tcPr>
            <w:tcW w:w="790" w:type="dxa"/>
            <w:vAlign w:val="bottom"/>
          </w:tcPr>
          <w:p>
            <w:pPr>
              <w:jc w:val="right"/>
              <w:spacing w:after="0"/>
              <w:rPr>
                <w:sz w:val="20"/>
                <w:szCs w:val="20"/>
                <w:color w:val="auto"/>
              </w:rPr>
            </w:pPr>
            <w:r>
              <w:rPr>
                <w:rFonts w:ascii="Arial" w:cs="Arial" w:eastAsia="Arial" w:hAnsi="Arial"/>
                <w:sz w:val="13"/>
                <w:szCs w:val="13"/>
                <w:color w:val="auto"/>
              </w:rPr>
              <w:t>(19,270)</w:t>
            </w:r>
          </w:p>
        </w:tc>
        <w:tc>
          <w:tcPr>
            <w:tcW w:w="210" w:type="dxa"/>
            <w:vAlign w:val="bottom"/>
            <w:gridSpan w:val="3"/>
          </w:tcPr>
          <w:p>
            <w:pPr>
              <w:jc w:val="right"/>
              <w:ind w:right="50"/>
              <w:spacing w:after="0"/>
              <w:rPr>
                <w:sz w:val="20"/>
                <w:szCs w:val="20"/>
                <w:color w:val="auto"/>
              </w:rPr>
            </w:pPr>
            <w:r>
              <w:rPr>
                <w:rFonts w:ascii="Arial" w:cs="Arial" w:eastAsia="Arial" w:hAnsi="Arial"/>
                <w:sz w:val="13"/>
                <w:szCs w:val="13"/>
                <w:color w:val="auto"/>
              </w:rPr>
              <w:t>$</w:t>
            </w:r>
          </w:p>
        </w:tc>
        <w:tc>
          <w:tcPr>
            <w:tcW w:w="770" w:type="dxa"/>
            <w:vAlign w:val="bottom"/>
          </w:tcPr>
          <w:p>
            <w:pPr>
              <w:jc w:val="right"/>
              <w:spacing w:after="0"/>
              <w:rPr>
                <w:sz w:val="20"/>
                <w:szCs w:val="20"/>
                <w:color w:val="auto"/>
              </w:rPr>
            </w:pPr>
            <w:r>
              <w:rPr>
                <w:rFonts w:ascii="Arial" w:cs="Arial" w:eastAsia="Arial" w:hAnsi="Arial"/>
                <w:sz w:val="13"/>
                <w:szCs w:val="13"/>
                <w:color w:val="auto"/>
              </w:rPr>
              <w:t>145,540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3780" w:type="dxa"/>
            <w:vAlign w:val="bottom"/>
            <w:tcBorders>
              <w:top w:val="single" w:sz="8" w:color="CCEEFF"/>
            </w:tcBorders>
            <w:shd w:val="clear" w:color="auto" w:fill="CCEEFF"/>
          </w:tcPr>
          <w:p>
            <w:pPr>
              <w:ind w:left="40"/>
              <w:spacing w:after="0" w:line="141"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0" w:type="dxa"/>
            <w:vAlign w:val="bottom"/>
            <w:tcBorders>
              <w:top w:val="single" w:sz="8" w:color="auto"/>
              <w:bottom w:val="single" w:sz="8" w:color="auto"/>
            </w:tcBorders>
            <w:shd w:val="clear" w:color="auto" w:fill="CCEEFF"/>
          </w:tcPr>
          <w:p>
            <w:pPr>
              <w:spacing w:after="0"/>
              <w:rPr>
                <w:sz w:val="12"/>
                <w:szCs w:val="12"/>
                <w:color w:val="auto"/>
              </w:rPr>
            </w:pPr>
          </w:p>
        </w:tc>
        <w:tc>
          <w:tcPr>
            <w:tcW w:w="79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73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79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77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3"/>
                <w:szCs w:val="13"/>
                <w:color w:val="auto"/>
              </w:rPr>
              <w:t>Securities held-to maturity, net of allowance for credit losses</w:t>
            </w:r>
          </w:p>
        </w:tc>
        <w:tc>
          <w:tcPr>
            <w:tcW w:w="40" w:type="dxa"/>
            <w:vAlign w:val="bottom"/>
            <w:gridSpan w:val="2"/>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780" w:type="dxa"/>
            <w:vAlign w:val="bottom"/>
            <w:vMerge w:val="continue"/>
          </w:tcPr>
          <w:p>
            <w:pPr>
              <w:spacing w:after="0"/>
              <w:rPr>
                <w:sz w:val="14"/>
                <w:szCs w:val="14"/>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90" w:type="dxa"/>
            <w:vAlign w:val="bottom"/>
          </w:tcPr>
          <w:p>
            <w:pPr>
              <w:jc w:val="right"/>
              <w:ind w:right="16"/>
              <w:spacing w:after="0"/>
              <w:rPr>
                <w:sz w:val="20"/>
                <w:szCs w:val="20"/>
                <w:color w:val="auto"/>
              </w:rPr>
            </w:pPr>
            <w:r>
              <w:rPr>
                <w:rFonts w:ascii="Arial" w:cs="Arial" w:eastAsia="Arial" w:hAnsi="Arial"/>
                <w:sz w:val="13"/>
                <w:szCs w:val="13"/>
                <w:color w:val="auto"/>
              </w:rPr>
              <w:t>164,694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9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type w:val="continuous"/>
        </w:sectPr>
      </w:pPr>
    </w:p>
    <w:bookmarkStart w:id="63" w:name="page64"/>
    <w:bookmarkEnd w:id="6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AFS and HTM investment securities in aggregate increased $36.5 million or 8.6% to $461.4 million at December 31, 2025 from $424.9 million at December 31, 2024.</w:t>
      </w:r>
    </w:p>
    <w:p>
      <w:pPr>
        <w:spacing w:after="0" w:line="12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December 31, 2025 (in thousands, except ratios):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6"/>
          </w:tcPr>
          <w:p>
            <w:pPr>
              <w:jc w:val="right"/>
              <w:ind w:right="243"/>
              <w:spacing w:after="0"/>
              <w:rPr>
                <w:sz w:val="20"/>
                <w:szCs w:val="20"/>
                <w:color w:val="auto"/>
              </w:rPr>
            </w:pPr>
            <w:r>
              <w:rPr>
                <w:rFonts w:ascii="Arial" w:cs="Arial" w:eastAsia="Arial" w:hAnsi="Arial"/>
                <w:sz w:val="11"/>
                <w:szCs w:val="11"/>
                <w:b w:val="1"/>
                <w:bCs w:val="1"/>
                <w:color w:val="auto"/>
              </w:rPr>
              <w:t>After 1 year</w:t>
            </w: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After 5 years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7"/>
        </w:trPr>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Within 1 year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6"/>
          </w:tcPr>
          <w:p>
            <w:pPr>
              <w:jc w:val="right"/>
              <w:ind w:right="123"/>
              <w:spacing w:after="0"/>
              <w:rPr>
                <w:sz w:val="20"/>
                <w:szCs w:val="20"/>
                <w:color w:val="auto"/>
              </w:rPr>
            </w:pPr>
            <w:r>
              <w:rPr>
                <w:rFonts w:ascii="Arial" w:cs="Arial" w:eastAsia="Arial" w:hAnsi="Arial"/>
                <w:sz w:val="11"/>
                <w:szCs w:val="11"/>
                <w:b w:val="1"/>
                <w:bCs w:val="1"/>
                <w:color w:val="auto"/>
              </w:rPr>
              <w:t>through 5 years</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through 10 years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After 10 years</w:t>
            </w:r>
          </w:p>
        </w:tc>
        <w:tc>
          <w:tcPr>
            <w:tcW w:w="100" w:type="dxa"/>
            <w:vAlign w:val="bottom"/>
          </w:tcPr>
          <w:p>
            <w:pPr>
              <w:spacing w:after="0"/>
              <w:rPr>
                <w:sz w:val="11"/>
                <w:szCs w:val="11"/>
                <w:color w:val="auto"/>
              </w:rPr>
            </w:pPr>
          </w:p>
        </w:tc>
        <w:tc>
          <w:tcPr>
            <w:tcW w:w="580" w:type="dxa"/>
            <w:vAlign w:val="bottom"/>
            <w:gridSpan w:val="3"/>
          </w:tcPr>
          <w:p>
            <w:pPr>
              <w:ind w:left="300"/>
              <w:spacing w:after="0"/>
              <w:rPr>
                <w:sz w:val="20"/>
                <w:szCs w:val="20"/>
                <w:color w:val="auto"/>
              </w:rPr>
            </w:pPr>
            <w:r>
              <w:rPr>
                <w:rFonts w:ascii="Arial" w:cs="Arial" w:eastAsia="Arial" w:hAnsi="Arial"/>
                <w:sz w:val="11"/>
                <w:szCs w:val="11"/>
                <w:b w:val="1"/>
                <w:bCs w:val="1"/>
                <w:color w:val="auto"/>
                <w:w w:val="98"/>
              </w:rPr>
              <w:t>Total</w:t>
            </w:r>
          </w:p>
        </w:tc>
        <w:tc>
          <w:tcPr>
            <w:tcW w:w="380" w:type="dxa"/>
            <w:vAlign w:val="bottom"/>
          </w:tcPr>
          <w:p>
            <w:pPr>
              <w:spacing w:after="0"/>
              <w:rPr>
                <w:sz w:val="11"/>
                <w:szCs w:val="11"/>
                <w:color w:val="auto"/>
              </w:rPr>
            </w:pPr>
          </w:p>
        </w:tc>
      </w:tr>
      <w:tr>
        <w:trPr>
          <w:trHeight w:val="185"/>
        </w:trPr>
        <w:tc>
          <w:tcPr>
            <w:tcW w:w="2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Amortized</w:t>
            </w:r>
          </w:p>
        </w:tc>
        <w:tc>
          <w:tcPr>
            <w:tcW w:w="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Amortized</w:t>
            </w:r>
          </w:p>
        </w:tc>
        <w:tc>
          <w:tcPr>
            <w:tcW w:w="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Amortized</w:t>
            </w:r>
          </w:p>
        </w:tc>
        <w:tc>
          <w:tcPr>
            <w:tcW w:w="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Amortized</w:t>
            </w:r>
          </w:p>
        </w:tc>
        <w:tc>
          <w:tcPr>
            <w:tcW w:w="4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1"/>
                <w:szCs w:val="11"/>
                <w:b w:val="1"/>
                <w:bCs w:val="1"/>
                <w:color w:val="auto"/>
              </w:rPr>
              <w:t>Amortized</w:t>
            </w:r>
          </w:p>
        </w:tc>
        <w:tc>
          <w:tcPr>
            <w:tcW w:w="380" w:type="dxa"/>
            <w:vAlign w:val="bottom"/>
            <w:tcBorders>
              <w:top w:val="single" w:sz="8" w:color="auto"/>
            </w:tcBorders>
          </w:tcPr>
          <w:p>
            <w:pPr>
              <w:spacing w:after="0"/>
              <w:rPr>
                <w:sz w:val="16"/>
                <w:szCs w:val="16"/>
                <w:color w:val="auto"/>
              </w:rPr>
            </w:pPr>
          </w:p>
        </w:tc>
      </w:tr>
      <w:tr>
        <w:trPr>
          <w:trHeight w:val="137"/>
        </w:trPr>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10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Cost</w:t>
            </w:r>
          </w:p>
        </w:tc>
        <w:tc>
          <w:tcPr>
            <w:tcW w:w="520" w:type="dxa"/>
            <w:vAlign w:val="bottom"/>
            <w:gridSpan w:val="4"/>
          </w:tcPr>
          <w:p>
            <w:pPr>
              <w:ind w:left="80"/>
              <w:spacing w:after="0"/>
              <w:rPr>
                <w:sz w:val="20"/>
                <w:szCs w:val="20"/>
                <w:color w:val="auto"/>
              </w:rPr>
            </w:pPr>
            <w:r>
              <w:rPr>
                <w:rFonts w:ascii="Arial" w:cs="Arial" w:eastAsia="Arial" w:hAnsi="Arial"/>
                <w:sz w:val="11"/>
                <w:szCs w:val="11"/>
                <w:b w:val="1"/>
                <w:bCs w:val="1"/>
                <w:color w:val="auto"/>
              </w:rPr>
              <w:t>Yield</w:t>
            </w:r>
          </w:p>
        </w:tc>
        <w:tc>
          <w:tcPr>
            <w:tcW w:w="56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2"/>
          </w:tcPr>
          <w:p>
            <w:pPr>
              <w:ind w:left="80"/>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2"/>
          </w:tcPr>
          <w:p>
            <w:pPr>
              <w:ind w:left="80"/>
              <w:spacing w:after="0"/>
              <w:rPr>
                <w:sz w:val="20"/>
                <w:szCs w:val="20"/>
                <w:color w:val="auto"/>
              </w:rPr>
            </w:pPr>
            <w:r>
              <w:rPr>
                <w:rFonts w:ascii="Arial" w:cs="Arial" w:eastAsia="Arial" w:hAnsi="Arial"/>
                <w:sz w:val="11"/>
                <w:szCs w:val="11"/>
                <w:b w:val="1"/>
                <w:bCs w:val="1"/>
                <w:color w:val="auto"/>
              </w:rPr>
              <w:t>Yield</w:t>
            </w:r>
          </w:p>
        </w:tc>
        <w:tc>
          <w:tcPr>
            <w:tcW w:w="100" w:type="dxa"/>
            <w:vAlign w:val="bottom"/>
          </w:tcPr>
          <w:p>
            <w:pPr>
              <w:spacing w:after="0"/>
              <w:rPr>
                <w:sz w:val="11"/>
                <w:szCs w:val="11"/>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Cost</w:t>
            </w:r>
          </w:p>
        </w:tc>
        <w:tc>
          <w:tcPr>
            <w:tcW w:w="380" w:type="dxa"/>
            <w:vAlign w:val="bottom"/>
          </w:tcPr>
          <w:p>
            <w:pPr>
              <w:jc w:val="right"/>
              <w:ind w:right="23"/>
              <w:spacing w:after="0"/>
              <w:rPr>
                <w:sz w:val="20"/>
                <w:szCs w:val="20"/>
                <w:color w:val="auto"/>
              </w:rPr>
            </w:pPr>
            <w:r>
              <w:rPr>
                <w:rFonts w:ascii="Arial" w:cs="Arial" w:eastAsia="Arial" w:hAnsi="Arial"/>
                <w:sz w:val="11"/>
                <w:szCs w:val="11"/>
                <w:b w:val="1"/>
                <w:bCs w:val="1"/>
                <w:color w:val="auto"/>
              </w:rPr>
              <w:t>Yield</w:t>
            </w:r>
          </w:p>
        </w:tc>
      </w:tr>
      <w:tr>
        <w:trPr>
          <w:trHeight w:val="151"/>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r>
      <w:tr>
        <w:trPr>
          <w:trHeight w:val="160"/>
        </w:trPr>
        <w:tc>
          <w:tcPr>
            <w:tcW w:w="224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520" w:type="dxa"/>
            <w:vAlign w:val="bottom"/>
            <w:gridSpan w:val="4"/>
          </w:tcPr>
          <w:p>
            <w:pPr>
              <w:ind w:left="360"/>
              <w:spacing w:after="0"/>
              <w:rPr>
                <w:sz w:val="20"/>
                <w:szCs w:val="20"/>
                <w:color w:val="auto"/>
              </w:rPr>
            </w:pPr>
            <w:r>
              <w:rPr>
                <w:rFonts w:ascii="Arial" w:cs="Arial" w:eastAsia="Arial" w:hAnsi="Arial"/>
                <w:sz w:val="11"/>
                <w:szCs w:val="11"/>
                <w:color w:val="auto"/>
              </w:rPr>
              <w:t>- $</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15,169</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15,169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4.00%</w:t>
            </w:r>
          </w:p>
        </w:tc>
      </w:tr>
      <w:tr>
        <w:trPr>
          <w:trHeight w:val="160"/>
        </w:trPr>
        <w:tc>
          <w:tcPr>
            <w:tcW w:w="224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92,871</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92,871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r>
      <w:tr>
        <w:trPr>
          <w:trHeight w:val="160"/>
        </w:trPr>
        <w:tc>
          <w:tcPr>
            <w:tcW w:w="2240" w:type="dxa"/>
            <w:vAlign w:val="bottom"/>
          </w:tcPr>
          <w:p>
            <w:pPr>
              <w:spacing w:after="0"/>
              <w:rPr>
                <w:sz w:val="20"/>
                <w:szCs w:val="20"/>
                <w:color w:val="auto"/>
              </w:rPr>
            </w:pPr>
            <w:r>
              <w:rPr>
                <w:rFonts w:ascii="Arial" w:cs="Arial" w:eastAsia="Arial" w:hAnsi="Arial"/>
                <w:sz w:val="11"/>
                <w:szCs w:val="11"/>
                <w:color w:val="auto"/>
              </w:rPr>
              <w:t>Mortgage-backed securities - 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35,865</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35,865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2.41%</w:t>
            </w:r>
          </w:p>
        </w:tc>
      </w:tr>
      <w:tr>
        <w:trPr>
          <w:trHeight w:val="160"/>
        </w:trPr>
        <w:tc>
          <w:tcPr>
            <w:tcW w:w="2240" w:type="dxa"/>
            <w:vAlign w:val="bottom"/>
            <w:shd w:val="clear" w:color="auto" w:fill="CCEEFF"/>
          </w:tcPr>
          <w:p>
            <w:pPr>
              <w:spacing w:after="0"/>
              <w:rPr>
                <w:sz w:val="20"/>
                <w:szCs w:val="20"/>
                <w:color w:val="auto"/>
              </w:rPr>
            </w:pPr>
            <w:r>
              <w:rPr>
                <w:rFonts w:ascii="Arial" w:cs="Arial" w:eastAsia="Arial" w:hAnsi="Arial"/>
                <w:sz w:val="11"/>
                <w:szCs w:val="11"/>
                <w:color w:val="auto"/>
              </w:rPr>
              <w:t>Mortgage-backed securities - commercial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174,622</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174,622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w:t>
            </w:r>
          </w:p>
        </w:tc>
      </w:tr>
      <w:tr>
        <w:trPr>
          <w:trHeight w:val="160"/>
        </w:trPr>
        <w:tc>
          <w:tcPr>
            <w:tcW w:w="2240" w:type="dxa"/>
            <w:vAlign w:val="bottom"/>
          </w:tcPr>
          <w:p>
            <w:pPr>
              <w:spacing w:after="0"/>
              <w:rPr>
                <w:sz w:val="20"/>
                <w:szCs w:val="20"/>
                <w:color w:val="auto"/>
              </w:rPr>
            </w:pPr>
            <w:r>
              <w:rPr>
                <w:rFonts w:ascii="Arial" w:cs="Arial" w:eastAsia="Arial" w:hAnsi="Arial"/>
                <w:sz w:val="11"/>
                <w:szCs w:val="11"/>
                <w:color w:val="auto"/>
              </w:rPr>
              <w:t>Municipal securities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5,196</w:t>
            </w:r>
          </w:p>
        </w:tc>
        <w:tc>
          <w:tcPr>
            <w:tcW w:w="2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5,196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1.87%</w:t>
            </w:r>
          </w:p>
        </w:tc>
      </w:tr>
      <w:tr>
        <w:trPr>
          <w:trHeight w:val="160"/>
        </w:trPr>
        <w:tc>
          <w:tcPr>
            <w:tcW w:w="2240" w:type="dxa"/>
            <w:vAlign w:val="bottom"/>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4,473</w:t>
            </w:r>
          </w:p>
        </w:tc>
        <w:tc>
          <w:tcPr>
            <w:tcW w:w="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8.14%</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10,811</w:t>
            </w:r>
          </w:p>
        </w:tc>
        <w:tc>
          <w:tcPr>
            <w:tcW w:w="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5.65%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w:t>
            </w:r>
          </w:p>
        </w:tc>
      </w:tr>
      <w:tr>
        <w:trPr>
          <w:trHeight w:val="201"/>
        </w:trPr>
        <w:tc>
          <w:tcPr>
            <w:tcW w:w="22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4,473</w:t>
            </w:r>
          </w:p>
        </w:tc>
        <w:tc>
          <w:tcPr>
            <w:tcW w:w="20" w:type="dxa"/>
            <w:vAlign w:val="bottom"/>
          </w:tcPr>
          <w:p>
            <w:pPr>
              <w:spacing w:after="0"/>
              <w:rPr>
                <w:sz w:val="17"/>
                <w:szCs w:val="17"/>
                <w:color w:val="auto"/>
              </w:rPr>
            </w:pPr>
          </w:p>
        </w:tc>
        <w:tc>
          <w:tcPr>
            <w:tcW w:w="520" w:type="dxa"/>
            <w:vAlign w:val="bottom"/>
            <w:gridSpan w:val="4"/>
          </w:tcPr>
          <w:p>
            <w:pPr>
              <w:jc w:val="right"/>
              <w:spacing w:after="0"/>
              <w:rPr>
                <w:sz w:val="20"/>
                <w:szCs w:val="20"/>
                <w:color w:val="auto"/>
              </w:rPr>
            </w:pPr>
            <w:r>
              <w:rPr>
                <w:rFonts w:ascii="Arial" w:cs="Arial" w:eastAsia="Arial" w:hAnsi="Arial"/>
                <w:sz w:val="11"/>
                <w:szCs w:val="11"/>
                <w:color w:val="auto"/>
              </w:rPr>
              <w:t>8.14% $</w:t>
            </w:r>
          </w:p>
        </w:tc>
        <w:tc>
          <w:tcPr>
            <w:tcW w:w="540" w:type="dxa"/>
            <w:vAlign w:val="bottom"/>
          </w:tcPr>
          <w:p>
            <w:pPr>
              <w:jc w:val="right"/>
              <w:spacing w:after="0"/>
              <w:rPr>
                <w:sz w:val="20"/>
                <w:szCs w:val="20"/>
                <w:color w:val="auto"/>
              </w:rPr>
            </w:pPr>
            <w:r>
              <w:rPr>
                <w:rFonts w:ascii="Arial" w:cs="Arial" w:eastAsia="Arial" w:hAnsi="Arial"/>
                <w:sz w:val="11"/>
                <w:szCs w:val="11"/>
                <w:color w:val="auto"/>
              </w:rPr>
              <w:t>16,007</w:t>
            </w:r>
          </w:p>
        </w:tc>
        <w:tc>
          <w:tcPr>
            <w:tcW w:w="2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1"/>
                <w:szCs w:val="11"/>
                <w:color w:val="auto"/>
              </w:rPr>
              <w:t>4.42% $</w:t>
            </w:r>
          </w:p>
        </w:tc>
        <w:tc>
          <w:tcPr>
            <w:tcW w:w="520" w:type="dxa"/>
            <w:vAlign w:val="bottom"/>
          </w:tcPr>
          <w:p>
            <w:pPr>
              <w:jc w:val="right"/>
              <w:spacing w:after="0"/>
              <w:rPr>
                <w:sz w:val="20"/>
                <w:szCs w:val="20"/>
                <w:color w:val="auto"/>
              </w:rPr>
            </w:pPr>
            <w:r>
              <w:rPr>
                <w:rFonts w:ascii="Arial" w:cs="Arial" w:eastAsia="Arial" w:hAnsi="Arial"/>
                <w:sz w:val="11"/>
                <w:szCs w:val="11"/>
                <w:color w:val="auto"/>
              </w:rPr>
              <w:t>318,527</w:t>
            </w:r>
          </w:p>
        </w:tc>
        <w:tc>
          <w:tcPr>
            <w:tcW w:w="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3.17%</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339,006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3.30%</w:t>
            </w:r>
          </w:p>
        </w:tc>
      </w:tr>
      <w:tr>
        <w:trPr>
          <w:trHeight w:val="143"/>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Held-to-maturity:</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r>
      <w:tr>
        <w:trPr>
          <w:trHeight w:val="160"/>
        </w:trPr>
        <w:tc>
          <w:tcPr>
            <w:tcW w:w="224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2,999</w:t>
            </w:r>
          </w:p>
        </w:tc>
        <w:tc>
          <w:tcPr>
            <w:tcW w:w="20" w:type="dxa"/>
            <w:vAlign w:val="bottom"/>
          </w:tcPr>
          <w:p>
            <w:pPr>
              <w:spacing w:after="0"/>
              <w:rPr>
                <w:sz w:val="13"/>
                <w:szCs w:val="13"/>
                <w:color w:val="auto"/>
              </w:rPr>
            </w:pPr>
          </w:p>
        </w:tc>
        <w:tc>
          <w:tcPr>
            <w:tcW w:w="540" w:type="dxa"/>
            <w:vAlign w:val="bottom"/>
            <w:gridSpan w:val="4"/>
          </w:tcPr>
          <w:p>
            <w:pPr>
              <w:jc w:val="right"/>
              <w:spacing w:after="0"/>
              <w:rPr>
                <w:sz w:val="20"/>
                <w:szCs w:val="20"/>
                <w:color w:val="auto"/>
              </w:rPr>
            </w:pPr>
            <w:r>
              <w:rPr>
                <w:rFonts w:ascii="Arial" w:cs="Arial" w:eastAsia="Arial" w:hAnsi="Arial"/>
                <w:sz w:val="11"/>
                <w:szCs w:val="11"/>
                <w:color w:val="auto"/>
              </w:rPr>
              <w:t>0.64% $</w:t>
            </w:r>
          </w:p>
        </w:tc>
        <w:tc>
          <w:tcPr>
            <w:tcW w:w="520" w:type="dxa"/>
            <w:vAlign w:val="bottom"/>
          </w:tcPr>
          <w:p>
            <w:pPr>
              <w:jc w:val="right"/>
              <w:spacing w:after="0"/>
              <w:rPr>
                <w:sz w:val="20"/>
                <w:szCs w:val="20"/>
                <w:color w:val="auto"/>
              </w:rPr>
            </w:pPr>
            <w:r>
              <w:rPr>
                <w:rFonts w:ascii="Arial" w:cs="Arial" w:eastAsia="Arial" w:hAnsi="Arial"/>
                <w:sz w:val="11"/>
                <w:szCs w:val="11"/>
                <w:color w:val="auto"/>
              </w:rPr>
              <w:t>19,773</w:t>
            </w:r>
          </w:p>
        </w:tc>
        <w:tc>
          <w:tcPr>
            <w:tcW w:w="2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1"/>
                <w:szCs w:val="11"/>
                <w:color w:val="auto"/>
              </w:rPr>
              <w:t>1.25% $</w:t>
            </w:r>
          </w:p>
        </w:tc>
        <w:tc>
          <w:tcPr>
            <w:tcW w:w="540" w:type="dxa"/>
            <w:vAlign w:val="bottom"/>
          </w:tcPr>
          <w:p>
            <w:pPr>
              <w:jc w:val="right"/>
              <w:spacing w:after="0"/>
              <w:rPr>
                <w:sz w:val="20"/>
                <w:szCs w:val="20"/>
                <w:color w:val="auto"/>
              </w:rPr>
            </w:pPr>
            <w:r>
              <w:rPr>
                <w:rFonts w:ascii="Arial" w:cs="Arial" w:eastAsia="Arial" w:hAnsi="Arial"/>
                <w:sz w:val="11"/>
                <w:szCs w:val="11"/>
                <w:color w:val="auto"/>
              </w:rPr>
              <w:t>5,001</w:t>
            </w:r>
          </w:p>
        </w:tc>
        <w:tc>
          <w:tcPr>
            <w:tcW w:w="20" w:type="dxa"/>
            <w:vAlign w:val="bottom"/>
          </w:tcPr>
          <w:p>
            <w:pPr>
              <w:spacing w:after="0"/>
              <w:rPr>
                <w:sz w:val="13"/>
                <w:szCs w:val="13"/>
                <w:color w:val="auto"/>
              </w:rPr>
            </w:pPr>
          </w:p>
        </w:tc>
        <w:tc>
          <w:tcPr>
            <w:tcW w:w="540" w:type="dxa"/>
            <w:vAlign w:val="bottom"/>
            <w:gridSpan w:val="4"/>
          </w:tcPr>
          <w:p>
            <w:pPr>
              <w:jc w:val="right"/>
              <w:spacing w:after="0"/>
              <w:rPr>
                <w:sz w:val="20"/>
                <w:szCs w:val="20"/>
                <w:color w:val="auto"/>
              </w:rPr>
            </w:pPr>
            <w:r>
              <w:rPr>
                <w:rFonts w:ascii="Arial" w:cs="Arial" w:eastAsia="Arial" w:hAnsi="Arial"/>
                <w:sz w:val="11"/>
                <w:szCs w:val="11"/>
                <w:color w:val="auto"/>
              </w:rPr>
              <w:t>1.99% $</w:t>
            </w:r>
          </w:p>
        </w:tc>
        <w:tc>
          <w:tcPr>
            <w:tcW w:w="520" w:type="dxa"/>
            <w:vAlign w:val="bottom"/>
          </w:tcPr>
          <w:p>
            <w:pPr>
              <w:jc w:val="right"/>
              <w:spacing w:after="0"/>
              <w:rPr>
                <w:sz w:val="20"/>
                <w:szCs w:val="20"/>
                <w:color w:val="auto"/>
              </w:rPr>
            </w:pPr>
            <w:r>
              <w:rPr>
                <w:rFonts w:ascii="Arial" w:cs="Arial" w:eastAsia="Arial" w:hAnsi="Arial"/>
                <w:sz w:val="11"/>
                <w:szCs w:val="11"/>
                <w:color w:val="auto"/>
              </w:rPr>
              <w:t>13,385</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41,158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1.49%</w:t>
            </w:r>
          </w:p>
        </w:tc>
      </w:tr>
      <w:tr>
        <w:trPr>
          <w:trHeight w:val="160"/>
        </w:trPr>
        <w:tc>
          <w:tcPr>
            <w:tcW w:w="224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51,431</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51,431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r>
      <w:tr>
        <w:trPr>
          <w:trHeight w:val="160"/>
        </w:trPr>
        <w:tc>
          <w:tcPr>
            <w:tcW w:w="2240" w:type="dxa"/>
            <w:vAlign w:val="bottom"/>
          </w:tcPr>
          <w:p>
            <w:pPr>
              <w:spacing w:after="0"/>
              <w:rPr>
                <w:sz w:val="20"/>
                <w:szCs w:val="20"/>
                <w:color w:val="auto"/>
              </w:rPr>
            </w:pPr>
            <w:r>
              <w:rPr>
                <w:rFonts w:ascii="Arial" w:cs="Arial" w:eastAsia="Arial" w:hAnsi="Arial"/>
                <w:sz w:val="11"/>
                <w:szCs w:val="11"/>
                <w:color w:val="auto"/>
              </w:rPr>
              <w:t>Mortgage-backed securities - 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675</w:t>
            </w:r>
          </w:p>
        </w:tc>
        <w:tc>
          <w:tcPr>
            <w:tcW w:w="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2.96%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3,888</w:t>
            </w:r>
          </w:p>
        </w:tc>
        <w:tc>
          <w:tcPr>
            <w:tcW w:w="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1.66%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5,051</w:t>
            </w: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27,607</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37,221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2.06%</w:t>
            </w:r>
          </w:p>
        </w:tc>
      </w:tr>
      <w:tr>
        <w:trPr>
          <w:trHeight w:val="160"/>
        </w:trPr>
        <w:tc>
          <w:tcPr>
            <w:tcW w:w="2240" w:type="dxa"/>
            <w:vAlign w:val="bottom"/>
            <w:shd w:val="clear" w:color="auto" w:fill="CCEEFF"/>
          </w:tcPr>
          <w:p>
            <w:pPr>
              <w:spacing w:after="0"/>
              <w:rPr>
                <w:sz w:val="20"/>
                <w:szCs w:val="20"/>
                <w:color w:val="auto"/>
              </w:rPr>
            </w:pPr>
            <w:r>
              <w:rPr>
                <w:rFonts w:ascii="Arial" w:cs="Arial" w:eastAsia="Arial" w:hAnsi="Arial"/>
                <w:sz w:val="11"/>
                <w:szCs w:val="11"/>
                <w:color w:val="auto"/>
              </w:rPr>
              <w:t>Mortgage-backed securities - commercial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3,042</w:t>
            </w:r>
          </w:p>
        </w:tc>
        <w:tc>
          <w:tcPr>
            <w:tcW w:w="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12,046</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15,088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r>
      <w:tr>
        <w:trPr>
          <w:trHeight w:val="149"/>
        </w:trPr>
        <w:tc>
          <w:tcPr>
            <w:tcW w:w="2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9,045</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2.82%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9,045</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2.82%</w:t>
            </w:r>
          </w:p>
        </w:tc>
      </w:tr>
      <w:tr>
        <w:trPr>
          <w:trHeight w:val="20"/>
        </w:trPr>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22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12,719</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26,703</w:t>
            </w:r>
          </w:p>
        </w:tc>
        <w:tc>
          <w:tcPr>
            <w:tcW w:w="20" w:type="dxa"/>
            <w:vAlign w:val="bottom"/>
            <w:tcBorders>
              <w:bottom w:val="single" w:sz="8" w:color="auto"/>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10,052</w:t>
            </w:r>
          </w:p>
        </w:tc>
        <w:tc>
          <w:tcPr>
            <w:tcW w:w="20" w:type="dxa"/>
            <w:vAlign w:val="bottom"/>
            <w:tcBorders>
              <w:bottom w:val="single" w:sz="8" w:color="auto"/>
            </w:tcBorders>
            <w:shd w:val="clear" w:color="auto" w:fill="CCEEFF"/>
          </w:tcPr>
          <w:p>
            <w:pPr>
              <w:spacing w:after="0"/>
              <w:rPr>
                <w:sz w:val="12"/>
                <w:szCs w:val="12"/>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1"/>
                <w:szCs w:val="11"/>
                <w:color w:val="auto"/>
              </w:rPr>
              <w:t>1.81%</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104,469</w:t>
            </w:r>
          </w:p>
        </w:tc>
        <w:tc>
          <w:tcPr>
            <w:tcW w:w="20" w:type="dxa"/>
            <w:vAlign w:val="bottom"/>
            <w:tcBorders>
              <w:bottom w:val="single" w:sz="8" w:color="auto"/>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153,943</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r>
      <w:tr>
        <w:trPr>
          <w:trHeight w:val="20"/>
        </w:trPr>
        <w:tc>
          <w:tcPr>
            <w:tcW w:w="2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any tax-exempt securities at both December 31, 2025 and 2024.</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Loans are the largest category of interest-earning assets on the Consolidated Balance Sheets, and usually provides higher yields than the remainder of the Company’s interest-earning assets. Higher yields typically carry inherent credit and liquidity risks in comparison to lower yielding assets. The Company manages and mitigates such risks in accordance with the credit and ALM policies, risk tolerance and balance sheet composition.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jc w:val="right"/>
              <w:ind w:right="296"/>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jc w:val="right"/>
              <w:ind w:right="296"/>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1,244,835</w:t>
            </w:r>
          </w:p>
        </w:tc>
        <w:tc>
          <w:tcPr>
            <w:tcW w:w="80" w:type="dxa"/>
            <w:vAlign w:val="bottom"/>
          </w:tcPr>
          <w:p>
            <w:pPr>
              <w:spacing w:after="0"/>
              <w:rPr>
                <w:sz w:val="14"/>
                <w:szCs w:val="14"/>
                <w:color w:val="auto"/>
              </w:rPr>
            </w:pPr>
          </w:p>
        </w:tc>
        <w:tc>
          <w:tcPr>
            <w:tcW w:w="820" w:type="dxa"/>
            <w:vAlign w:val="bottom"/>
            <w:gridSpan w:val="3"/>
          </w:tcPr>
          <w:p>
            <w:pPr>
              <w:jc w:val="right"/>
              <w:ind w:right="36"/>
              <w:spacing w:after="0"/>
              <w:rPr>
                <w:sz w:val="20"/>
                <w:szCs w:val="20"/>
                <w:color w:val="auto"/>
              </w:rPr>
            </w:pPr>
            <w:r>
              <w:rPr>
                <w:rFonts w:ascii="Arial" w:cs="Arial" w:eastAsia="Arial" w:hAnsi="Arial"/>
                <w:sz w:val="13"/>
                <w:szCs w:val="13"/>
                <w:color w:val="auto"/>
              </w:rPr>
              <w:t>57.0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1,136,417</w:t>
            </w:r>
          </w:p>
        </w:tc>
        <w:tc>
          <w:tcPr>
            <w:tcW w:w="80" w:type="dxa"/>
            <w:vAlign w:val="bottom"/>
          </w:tcPr>
          <w:p>
            <w:pPr>
              <w:spacing w:after="0"/>
              <w:rPr>
                <w:sz w:val="14"/>
                <w:szCs w:val="14"/>
                <w:color w:val="auto"/>
              </w:rPr>
            </w:pPr>
          </w:p>
        </w:tc>
        <w:tc>
          <w:tcPr>
            <w:tcW w:w="820" w:type="dxa"/>
            <w:vAlign w:val="bottom"/>
            <w:gridSpan w:val="3"/>
          </w:tcPr>
          <w:p>
            <w:pPr>
              <w:jc w:val="right"/>
              <w:ind w:right="36"/>
              <w:spacing w:after="0"/>
              <w:rPr>
                <w:sz w:val="20"/>
                <w:szCs w:val="20"/>
                <w:color w:val="auto"/>
              </w:rPr>
            </w:pPr>
            <w:r>
              <w:rPr>
                <w:rFonts w:ascii="Arial" w:cs="Arial" w:eastAsia="Arial" w:hAnsi="Arial"/>
                <w:sz w:val="13"/>
                <w:szCs w:val="13"/>
                <w:color w:val="auto"/>
              </w:rPr>
              <w:t>57.8</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8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8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ind w:left="40"/>
              <w:spacing w:after="0"/>
              <w:rPr>
                <w:sz w:val="20"/>
                <w:szCs w:val="20"/>
                <w:color w:val="auto"/>
              </w:rPr>
            </w:pPr>
            <w:r>
              <w:rPr>
                <w:rFonts w:ascii="Arial" w:cs="Arial" w:eastAsia="Arial" w:hAnsi="Arial"/>
                <w:sz w:val="13"/>
                <w:szCs w:val="13"/>
                <w:color w:val="auto"/>
              </w:rPr>
              <w:t>Correspondent Banks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127,968</w:t>
            </w:r>
          </w:p>
        </w:tc>
        <w:tc>
          <w:tcPr>
            <w:tcW w:w="80" w:type="dxa"/>
            <w:vAlign w:val="bottom"/>
          </w:tcPr>
          <w:p>
            <w:pPr>
              <w:spacing w:after="0"/>
              <w:rPr>
                <w:sz w:val="14"/>
                <w:szCs w:val="14"/>
                <w:color w:val="auto"/>
              </w:rPr>
            </w:pPr>
          </w:p>
        </w:tc>
        <w:tc>
          <w:tcPr>
            <w:tcW w:w="820" w:type="dxa"/>
            <w:vAlign w:val="bottom"/>
            <w:gridSpan w:val="3"/>
          </w:tcPr>
          <w:p>
            <w:pPr>
              <w:jc w:val="right"/>
              <w:ind w:right="16"/>
              <w:spacing w:after="0"/>
              <w:rPr>
                <w:sz w:val="20"/>
                <w:szCs w:val="20"/>
                <w:color w:val="auto"/>
              </w:rPr>
            </w:pPr>
            <w:r>
              <w:rPr>
                <w:rFonts w:ascii="Arial" w:cs="Arial" w:eastAsia="Arial" w:hAnsi="Arial"/>
                <w:sz w:val="13"/>
                <w:szCs w:val="13"/>
                <w:color w:val="auto"/>
              </w:rPr>
              <w:t>5.9</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82,438</w:t>
            </w:r>
          </w:p>
        </w:tc>
        <w:tc>
          <w:tcPr>
            <w:tcW w:w="820" w:type="dxa"/>
            <w:vAlign w:val="bottom"/>
            <w:gridSpan w:val="3"/>
          </w:tcPr>
          <w:p>
            <w:pPr>
              <w:jc w:val="right"/>
              <w:ind w:right="36"/>
              <w:spacing w:after="0"/>
              <w:rPr>
                <w:sz w:val="20"/>
                <w:szCs w:val="20"/>
                <w:color w:val="auto"/>
              </w:rPr>
            </w:pPr>
            <w:r>
              <w:rPr>
                <w:rFonts w:ascii="Arial" w:cs="Arial" w:eastAsia="Arial" w:hAnsi="Arial"/>
                <w:sz w:val="13"/>
                <w:szCs w:val="13"/>
                <w:color w:val="auto"/>
              </w:rPr>
              <w:t>4.2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9.5</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10.1</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660" w:type="dxa"/>
            <w:vAlign w:val="bottom"/>
          </w:tcPr>
          <w:p>
            <w:pPr>
              <w:ind w:left="140"/>
              <w:spacing w:after="0"/>
              <w:rPr>
                <w:sz w:val="20"/>
                <w:szCs w:val="20"/>
                <w:color w:val="auto"/>
              </w:rPr>
            </w:pPr>
            <w:r>
              <w:rPr>
                <w:rFonts w:ascii="Arial" w:cs="Arial" w:eastAsia="Arial" w:hAnsi="Arial"/>
                <w:sz w:val="13"/>
                <w:szCs w:val="13"/>
                <w:color w:val="auto"/>
              </w:rPr>
              <w:t>Total gross loans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2,183,258</w:t>
            </w:r>
          </w:p>
        </w:tc>
        <w:tc>
          <w:tcPr>
            <w:tcW w:w="80" w:type="dxa"/>
            <w:vAlign w:val="bottom"/>
          </w:tcPr>
          <w:p>
            <w:pPr>
              <w:spacing w:after="0"/>
              <w:rPr>
                <w:sz w:val="20"/>
                <w:szCs w:val="20"/>
                <w:color w:val="auto"/>
              </w:rPr>
            </w:pPr>
          </w:p>
        </w:tc>
        <w:tc>
          <w:tcPr>
            <w:tcW w:w="820" w:type="dxa"/>
            <w:vAlign w:val="bottom"/>
            <w:gridSpan w:val="3"/>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1,965,218</w:t>
            </w:r>
          </w:p>
        </w:tc>
        <w:tc>
          <w:tcPr>
            <w:tcW w:w="80" w:type="dxa"/>
            <w:vAlign w:val="bottom"/>
          </w:tcPr>
          <w:p>
            <w:pPr>
              <w:spacing w:after="0"/>
              <w:rPr>
                <w:sz w:val="20"/>
                <w:szCs w:val="20"/>
                <w:color w:val="auto"/>
              </w:rPr>
            </w:pPr>
          </w:p>
        </w:tc>
        <w:tc>
          <w:tcPr>
            <w:tcW w:w="820" w:type="dxa"/>
            <w:vAlign w:val="bottom"/>
            <w:gridSpan w:val="3"/>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660" w:type="dxa"/>
            <w:vAlign w:val="bottom"/>
            <w:tcBorders>
              <w:top w:val="single" w:sz="8" w:color="CCEEFF"/>
            </w:tcBorders>
            <w:shd w:val="clear" w:color="auto" w:fill="CCEEFF"/>
          </w:tcPr>
          <w:p>
            <w:pPr>
              <w:ind w:left="40"/>
              <w:spacing w:after="0" w:line="123" w:lineRule="exact"/>
              <w:rPr>
                <w:sz w:val="20"/>
                <w:szCs w:val="20"/>
                <w:color w:val="auto"/>
              </w:rPr>
            </w:pPr>
            <w:r>
              <w:rPr>
                <w:rFonts w:ascii="Arial" w:cs="Arial" w:eastAsia="Arial" w:hAnsi="Arial"/>
                <w:sz w:val="13"/>
                <w:szCs w:val="13"/>
                <w:color w:val="auto"/>
              </w:rPr>
              <w:t>Plus: Deferred costs/fees</w:t>
            </w:r>
          </w:p>
        </w:tc>
        <w:tc>
          <w:tcPr>
            <w:tcW w:w="160" w:type="dxa"/>
            <w:vAlign w:val="bottom"/>
            <w:tcBorders>
              <w:top w:val="single" w:sz="8" w:color="CCEEFF"/>
              <w:bottom w:val="single" w:sz="8" w:color="auto"/>
            </w:tcBorders>
            <w:shd w:val="clear" w:color="auto" w:fill="CCEEFF"/>
          </w:tcPr>
          <w:p>
            <w:pPr>
              <w:spacing w:after="0"/>
              <w:rPr>
                <w:sz w:val="11"/>
                <w:szCs w:val="11"/>
                <w:color w:val="auto"/>
              </w:rPr>
            </w:pPr>
          </w:p>
        </w:tc>
        <w:tc>
          <w:tcPr>
            <w:tcW w:w="800" w:type="dxa"/>
            <w:vAlign w:val="bottom"/>
            <w:tcBorders>
              <w:top w:val="single" w:sz="8" w:color="CCEEFF"/>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5,999</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auto"/>
            </w:tcBorders>
            <w:shd w:val="clear" w:color="auto" w:fill="CCEEFF"/>
          </w:tcPr>
          <w:p>
            <w:pPr>
              <w:spacing w:after="0"/>
              <w:rPr>
                <w:sz w:val="11"/>
                <w:szCs w:val="11"/>
                <w:color w:val="auto"/>
              </w:rPr>
            </w:pPr>
          </w:p>
        </w:tc>
        <w:tc>
          <w:tcPr>
            <w:tcW w:w="800" w:type="dxa"/>
            <w:vAlign w:val="bottom"/>
            <w:tcBorders>
              <w:top w:val="single" w:sz="8" w:color="CCEEFF"/>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7,630</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140"/>
              <w:spacing w:after="0"/>
              <w:rPr>
                <w:sz w:val="20"/>
                <w:szCs w:val="20"/>
                <w:color w:val="auto"/>
              </w:rPr>
            </w:pPr>
            <w:r>
              <w:rPr>
                <w:rFonts w:ascii="Arial" w:cs="Arial" w:eastAsia="Arial" w:hAnsi="Arial"/>
                <w:sz w:val="13"/>
                <w:szCs w:val="13"/>
                <w:color w:val="auto"/>
              </w:rPr>
              <w:t>Total loans held for investment, net of deferred costs/fees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2,189,257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1,972,848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25,500</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24,070</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ind w:left="140"/>
              <w:spacing w:after="0"/>
              <w:rPr>
                <w:sz w:val="20"/>
                <w:szCs w:val="20"/>
                <w:color w:val="auto"/>
              </w:rPr>
            </w:pPr>
            <w:r>
              <w:rPr>
                <w:rFonts w:ascii="Arial" w:cs="Arial" w:eastAsia="Arial" w:hAnsi="Arial"/>
                <w:sz w:val="13"/>
                <w:szCs w:val="13"/>
                <w:color w:val="auto"/>
              </w:rPr>
              <w:t>Total loans held for investment, net of allowance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2,163,757</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1,948,778</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55" w:lineRule="auto"/>
        <w:rPr>
          <w:sz w:val="20"/>
          <w:szCs w:val="20"/>
          <w:color w:val="auto"/>
        </w:rPr>
      </w:pPr>
      <w:r>
        <w:rPr>
          <w:rFonts w:ascii="Arial" w:cs="Arial" w:eastAsia="Arial" w:hAnsi="Arial"/>
          <w:sz w:val="14"/>
          <w:szCs w:val="14"/>
          <w:color w:val="auto"/>
        </w:rPr>
        <w:t>Total loans held for investment net of deferred costs/fees increased by $216.4 million or 11.0% at December 31, 2025 compared to December 31, 2024. The most significant growth was in the commercial real estate and correspondent bank loan pools. Commercial real estate continues to be the main category of our portfolio, reflective of the market in which we operate. We continue to grow our non-CRE loan pools to further diversify the loan portfolio overall composition, but we do not expect any significant changes over the foreseeable future in the composition of our loan portfolio.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64" w:name="page65"/>
    <w:bookmarkEnd w:id="6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The growth experienced over the last couple of years is primarily due to implementation of our relationship-based banking model, our diversified business verticals, and the success of our relationship managers in competing for new business in a highly competitive metropolitan area.</w:t>
      </w:r>
    </w:p>
    <w:p>
      <w:pPr>
        <w:spacing w:after="0" w:line="118"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December 31, 2025 (in thousands):</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Due in 1 to 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Due after 5 to 15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Due after 15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years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years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years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161"/>
        </w:trPr>
        <w:tc>
          <w:tcPr>
            <w:tcW w:w="2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8,435</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61,279</w:t>
            </w:r>
          </w:p>
        </w:tc>
        <w:tc>
          <w:tcPr>
            <w:tcW w:w="20" w:type="dxa"/>
            <w:vAlign w:val="bottom"/>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66,063</w:t>
            </w:r>
          </w:p>
        </w:tc>
        <w:tc>
          <w:tcPr>
            <w:tcW w:w="20" w:type="dxa"/>
            <w:vAlign w:val="bottom"/>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171,915</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69,664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527,784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641,905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1,244,835</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120,412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43,922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127,968</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24,760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178,810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20" w:type="dxa"/>
            <w:vAlign w:val="bottom"/>
            <w:shd w:val="clear" w:color="auto" w:fill="CCEEFF"/>
          </w:tcPr>
          <w:p>
            <w:pPr>
              <w:spacing w:after="0"/>
              <w:rPr>
                <w:sz w:val="14"/>
                <w:szCs w:val="14"/>
                <w:color w:val="auto"/>
              </w:rPr>
            </w:pPr>
          </w:p>
        </w:tc>
      </w:tr>
      <w:tr>
        <w:trPr>
          <w:trHeight w:val="212"/>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218,929</w:t>
            </w:r>
          </w:p>
        </w:tc>
        <w:tc>
          <w:tcPr>
            <w:tcW w:w="180" w:type="dxa"/>
            <w:vAlign w:val="bottom"/>
            <w:gridSpan w:val="3"/>
          </w:tcPr>
          <w:p>
            <w:pPr>
              <w:jc w:val="right"/>
              <w:ind w:right="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710,627</w:t>
            </w:r>
          </w:p>
        </w:tc>
        <w:tc>
          <w:tcPr>
            <w:tcW w:w="20" w:type="dxa"/>
            <w:vAlign w:val="bottom"/>
          </w:tcPr>
          <w:p>
            <w:pPr>
              <w:spacing w:after="0"/>
              <w:rPr>
                <w:sz w:val="18"/>
                <w:szCs w:val="18"/>
                <w:color w:val="auto"/>
              </w:rPr>
            </w:pPr>
          </w:p>
        </w:tc>
        <w:tc>
          <w:tcPr>
            <w:tcW w:w="280" w:type="dxa"/>
            <w:vAlign w:val="bottom"/>
            <w:gridSpan w:val="3"/>
          </w:tcPr>
          <w:p>
            <w:pPr>
              <w:jc w:val="right"/>
              <w:ind w:right="12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853,573</w:t>
            </w:r>
          </w:p>
        </w:tc>
        <w:tc>
          <w:tcPr>
            <w:tcW w:w="20" w:type="dxa"/>
            <w:vAlign w:val="bottom"/>
          </w:tcPr>
          <w:p>
            <w:pPr>
              <w:spacing w:after="0"/>
              <w:rPr>
                <w:sz w:val="18"/>
                <w:szCs w:val="18"/>
                <w:color w:val="auto"/>
              </w:rPr>
            </w:pPr>
          </w:p>
        </w:tc>
        <w:tc>
          <w:tcPr>
            <w:tcW w:w="180" w:type="dxa"/>
            <w:vAlign w:val="bottom"/>
            <w:gridSpan w:val="3"/>
          </w:tcPr>
          <w:p>
            <w:pPr>
              <w:jc w:val="right"/>
              <w:ind w:right="2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400,129</w:t>
            </w:r>
          </w:p>
        </w:tc>
        <w:tc>
          <w:tcPr>
            <w:tcW w:w="20" w:type="dxa"/>
            <w:vAlign w:val="bottom"/>
          </w:tcPr>
          <w:p>
            <w:pPr>
              <w:spacing w:after="0"/>
              <w:rPr>
                <w:sz w:val="18"/>
                <w:szCs w:val="18"/>
                <w:color w:val="auto"/>
              </w:rPr>
            </w:pPr>
          </w:p>
        </w:tc>
        <w:tc>
          <w:tcPr>
            <w:tcW w:w="26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2,183,258</w:t>
            </w:r>
          </w:p>
        </w:tc>
        <w:tc>
          <w:tcPr>
            <w:tcW w:w="20" w:type="dxa"/>
            <w:vAlign w:val="bottom"/>
          </w:tcPr>
          <w:p>
            <w:pPr>
              <w:spacing w:after="0"/>
              <w:rPr>
                <w:sz w:val="18"/>
                <w:szCs w:val="18"/>
                <w:color w:val="auto"/>
              </w:rPr>
            </w:pPr>
          </w:p>
        </w:tc>
      </w:tr>
      <w:tr>
        <w:trPr>
          <w:trHeight w:val="153"/>
        </w:trPr>
        <w:tc>
          <w:tcPr>
            <w:tcW w:w="2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176,933</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188,621</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164,498</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310,107</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840,159</w:t>
            </w:r>
          </w:p>
        </w:tc>
        <w:tc>
          <w:tcPr>
            <w:tcW w:w="20" w:type="dxa"/>
            <w:vAlign w:val="bottom"/>
            <w:shd w:val="clear" w:color="auto" w:fill="CCEEFF"/>
          </w:tcPr>
          <w:p>
            <w:pPr>
              <w:spacing w:after="0"/>
              <w:rPr>
                <w:sz w:val="14"/>
                <w:szCs w:val="14"/>
                <w:color w:val="auto"/>
              </w:rPr>
            </w:pPr>
          </w:p>
        </w:tc>
      </w:tr>
      <w:tr>
        <w:trPr>
          <w:trHeight w:val="180"/>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41,996</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689,075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1,343,099</w:t>
            </w:r>
          </w:p>
        </w:tc>
        <w:tc>
          <w:tcPr>
            <w:tcW w:w="20" w:type="dxa"/>
            <w:vAlign w:val="bottom"/>
          </w:tcPr>
          <w:p>
            <w:pPr>
              <w:spacing w:after="0"/>
              <w:rPr>
                <w:sz w:val="15"/>
                <w:szCs w:val="15"/>
                <w:color w:val="auto"/>
              </w:rPr>
            </w:pPr>
          </w:p>
        </w:tc>
      </w:tr>
      <w:tr>
        <w:trPr>
          <w:trHeight w:val="152"/>
        </w:trPr>
        <w:tc>
          <w:tcPr>
            <w:tcW w:w="2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Total gross loans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218,929</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710,627</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853,573</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400,129</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2,183,258</w:t>
            </w:r>
          </w:p>
        </w:tc>
        <w:tc>
          <w:tcPr>
            <w:tcW w:w="20" w:type="dxa"/>
            <w:vAlign w:val="bottom"/>
            <w:shd w:val="clear" w:color="auto" w:fill="CCEEFF"/>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information presented in the table above is based upon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and rate modifications are discussed as well.</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of December 31, 2025, approximately 61.5% of the loans have adjustable/variable rates and 38.5% of the loans have fixed rates. The adjustable/variable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December 31, 2025, the commercial real estate portfolio was $1.2 billion or 57.0% of the total gross loans portfolio. At such date, $193.0 million of outstanding balances are characterized as owner occupied and $1.05 billion are characterized as non-owner occupied. The retail sector was the largest segment comprising $320.1 million of the non-owner occupied commercial real estate portfolio.</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is a summary of the distribution of non-owner occupied commercial real estate loans held for investment by loan type (dollars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3"/>
                <w:szCs w:val="13"/>
                <w:b w:val="1"/>
                <w:bCs w:val="1"/>
                <w:color w:val="auto"/>
              </w:rPr>
              <w:t>December 31, 2025</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6"/>
                <w:szCs w:val="16"/>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 of Notes</w:t>
            </w:r>
          </w:p>
        </w:tc>
        <w:tc>
          <w:tcPr>
            <w:tcW w:w="60" w:type="dxa"/>
            <w:vAlign w:val="bottom"/>
            <w:vMerge w:val="restart"/>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 of Total</w:t>
            </w:r>
          </w:p>
        </w:tc>
        <w:tc>
          <w:tcPr>
            <w:tcW w:w="118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8"/>
              </w:rPr>
              <w:t>Average Loan Size</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Non-Accruals</w:t>
            </w:r>
          </w:p>
        </w:tc>
        <w:tc>
          <w:tcPr>
            <w:tcW w:w="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Weighted Avg</w:t>
            </w: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Gross Loans</w:t>
            </w:r>
          </w:p>
        </w:tc>
        <w:tc>
          <w:tcPr>
            <w:tcW w:w="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60"/>
              <w:spacing w:after="0" w:line="160" w:lineRule="exact"/>
              <w:rPr>
                <w:sz w:val="20"/>
                <w:szCs w:val="20"/>
                <w:color w:val="auto"/>
              </w:rPr>
            </w:pPr>
            <w:r>
              <w:rPr>
                <w:rFonts w:ascii="Arial" w:cs="Arial" w:eastAsia="Arial" w:hAnsi="Arial"/>
                <w:sz w:val="18"/>
                <w:szCs w:val="18"/>
                <w:b w:val="1"/>
                <w:bCs w:val="1"/>
                <w:color w:val="auto"/>
                <w:vertAlign w:val="subscript"/>
              </w:rPr>
              <w:t>LTV</w:t>
            </w:r>
            <w:r>
              <w:rPr>
                <w:rFonts w:ascii="Arial" w:cs="Arial" w:eastAsia="Arial" w:hAnsi="Arial"/>
                <w:sz w:val="7"/>
                <w:szCs w:val="7"/>
                <w:b w:val="1"/>
                <w:bCs w:val="1"/>
                <w:color w:val="auto"/>
              </w:rPr>
              <w:t xml:space="preserve"> (1)</w:t>
            </w:r>
          </w:p>
        </w:tc>
        <w:tc>
          <w:tcPr>
            <w:tcW w:w="0" w:type="dxa"/>
            <w:vAlign w:val="bottom"/>
          </w:tcPr>
          <w:p>
            <w:pPr>
              <w:spacing w:after="0"/>
              <w:rPr>
                <w:sz w:val="1"/>
                <w:szCs w:val="1"/>
                <w:color w:val="auto"/>
              </w:rPr>
            </w:pPr>
          </w:p>
        </w:tc>
      </w:tr>
      <w:tr>
        <w:trPr>
          <w:trHeight w:val="20"/>
        </w:trPr>
        <w:tc>
          <w:tcPr>
            <w:tcW w:w="16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Retail</w:t>
            </w: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320,132</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52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Multifamily</w:t>
            </w:r>
          </w:p>
        </w:tc>
        <w:tc>
          <w:tcPr>
            <w:tcW w:w="12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252,041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197</w:t>
            </w:r>
          </w:p>
        </w:tc>
        <w:tc>
          <w:tcPr>
            <w:tcW w:w="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1,279</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134,190</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Office</w:t>
            </w:r>
          </w:p>
        </w:tc>
        <w:tc>
          <w:tcPr>
            <w:tcW w:w="12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122,887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2,083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Hotels/Motels</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117,226</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Construction/Land</w:t>
            </w:r>
          </w:p>
        </w:tc>
        <w:tc>
          <w:tcPr>
            <w:tcW w:w="12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73,080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3,322</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0"/>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32,272</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6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6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1,051,828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571</w:t>
            </w:r>
          </w:p>
        </w:tc>
        <w:tc>
          <w:tcPr>
            <w:tcW w:w="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48%</w:t>
            </w:r>
          </w:p>
        </w:tc>
        <w:tc>
          <w:tcPr>
            <w:tcW w:w="640" w:type="dxa"/>
            <w:vAlign w:val="bottom"/>
          </w:tcPr>
          <w:p>
            <w:pPr>
              <w:jc w:val="right"/>
              <w:ind w:right="52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1,842</w:t>
            </w:r>
          </w:p>
        </w:tc>
        <w:tc>
          <w:tcPr>
            <w:tcW w:w="6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60" w:hanging="197"/>
        <w:spacing w:after="0"/>
        <w:tabs>
          <w:tab w:leader="none" w:pos="8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Loan-to-value is calculated based on the real estate value at the time of origination, renewal, or update, whichever is more recent.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71" w:lineRule="exact"/>
        <w:rPr>
          <w:rFonts w:ascii="Arial" w:cs="Arial" w:eastAsia="Arial" w:hAnsi="Arial"/>
          <w:sz w:val="13"/>
          <w:szCs w:val="13"/>
          <w:color w:val="auto"/>
        </w:rPr>
      </w:pPr>
    </w:p>
    <w:p>
      <w:pPr>
        <w:ind w:left="2920"/>
        <w:spacing w:after="0"/>
        <w:rPr>
          <w:rFonts w:ascii="Arial" w:cs="Arial" w:eastAsia="Arial" w:hAnsi="Arial"/>
          <w:sz w:val="13"/>
          <w:szCs w:val="13"/>
          <w:color w:val="auto"/>
        </w:rPr>
      </w:pPr>
      <w:r>
        <w:rPr>
          <w:rFonts w:ascii="Arial" w:cs="Arial" w:eastAsia="Arial" w:hAnsi="Arial"/>
          <w:sz w:val="14"/>
          <w:szCs w:val="14"/>
          <w:color w:val="auto"/>
        </w:rPr>
        <w:t>65USCB Financial Holdings, Inc.  2025 10-K</w:t>
      </w:r>
    </w:p>
    <w:p>
      <w:pPr>
        <w:sectPr>
          <w:pgSz w:w="11900" w:h="16838" w:orient="portrait"/>
          <w:cols w:equalWidth="0" w:num="1">
            <w:col w:w="9019"/>
          </w:cols>
          <w:pgMar w:left="1440" w:top="477" w:right="1440" w:bottom="1440" w:gutter="0" w:footer="0" w:header="0"/>
        </w:sectPr>
      </w:pPr>
    </w:p>
    <w:bookmarkStart w:id="65" w:name="page66"/>
    <w:bookmarkEnd w:id="6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is a summary of non-owner occupied commercial real estate loans held for investment by collateral geographical location (dollars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 xml:space="preserve">South Florida </w:t>
            </w:r>
            <w:r>
              <w:rPr>
                <w:rFonts w:ascii="Arial" w:cs="Arial" w:eastAsia="Arial" w:hAnsi="Arial"/>
                <w:sz w:val="17"/>
                <w:szCs w:val="17"/>
                <w:b w:val="1"/>
                <w:bCs w:val="1"/>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rPr>
              <w:t xml:space="preserve">Rest of Florida </w:t>
            </w:r>
            <w:r>
              <w:rPr>
                <w:rFonts w:ascii="Arial" w:cs="Arial" w:eastAsia="Arial" w:hAnsi="Arial"/>
                <w:sz w:val="17"/>
                <w:szCs w:val="17"/>
                <w:b w:val="1"/>
                <w:bCs w:val="1"/>
                <w:color w:val="auto"/>
                <w:vertAlign w:val="superscript"/>
              </w:rPr>
              <w:t>(2)</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3"/>
                <w:szCs w:val="13"/>
                <w:b w:val="1"/>
                <w:bCs w:val="1"/>
                <w:color w:val="auto"/>
              </w:rPr>
              <w:t xml:space="preserve">Outside Florida </w:t>
            </w:r>
            <w:r>
              <w:rPr>
                <w:rFonts w:ascii="Arial" w:cs="Arial" w:eastAsia="Arial" w:hAnsi="Arial"/>
                <w:sz w:val="17"/>
                <w:szCs w:val="17"/>
                <w:b w:val="1"/>
                <w:bCs w:val="1"/>
                <w:color w:val="auto"/>
                <w:vertAlign w:val="superscript"/>
              </w:rPr>
              <w:t>(3)</w:t>
            </w:r>
          </w:p>
        </w:tc>
        <w:tc>
          <w:tcPr>
            <w:tcW w:w="0" w:type="dxa"/>
            <w:vAlign w:val="bottom"/>
          </w:tcPr>
          <w:p>
            <w:pPr>
              <w:spacing w:after="0"/>
              <w:rPr>
                <w:sz w:val="1"/>
                <w:szCs w:val="1"/>
                <w:color w:val="auto"/>
              </w:rPr>
            </w:pPr>
          </w:p>
        </w:tc>
      </w:tr>
      <w:tr>
        <w:trPr>
          <w:trHeight w:val="226"/>
        </w:trPr>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 of Non-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 of Non-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 of Non-</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Owner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Owner</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Owner</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Occupied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Occupied</w:t>
            </w:r>
          </w:p>
        </w:tc>
        <w:tc>
          <w:tcPr>
            <w:tcW w:w="200" w:type="dxa"/>
            <w:vAlign w:val="bottom"/>
          </w:tcPr>
          <w:p>
            <w:pPr>
              <w:spacing w:after="0"/>
              <w:rPr>
                <w:sz w:val="12"/>
                <w:szCs w:val="12"/>
                <w:color w:val="auto"/>
              </w:rPr>
            </w:pPr>
          </w:p>
        </w:tc>
        <w:tc>
          <w:tcPr>
            <w:tcW w:w="980" w:type="dxa"/>
            <w:vAlign w:val="bottom"/>
            <w:vMerge w:val="restart"/>
          </w:tcPr>
          <w:p>
            <w:pPr>
              <w:jc w:val="right"/>
              <w:ind w:right="296"/>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Occupied</w:t>
            </w:r>
          </w:p>
        </w:tc>
        <w:tc>
          <w:tcPr>
            <w:tcW w:w="0" w:type="dxa"/>
            <w:vAlign w:val="bottom"/>
          </w:tcPr>
          <w:p>
            <w:pPr>
              <w:spacing w:after="0"/>
              <w:rPr>
                <w:sz w:val="1"/>
                <w:szCs w:val="1"/>
                <w:color w:val="auto"/>
              </w:rPr>
            </w:pPr>
          </w:p>
        </w:tc>
      </w:tr>
      <w:tr>
        <w:trPr>
          <w:trHeight w:val="160"/>
        </w:trPr>
        <w:tc>
          <w:tcPr>
            <w:tcW w:w="18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0" w:type="dxa"/>
            <w:vAlign w:val="bottom"/>
          </w:tcPr>
          <w:p>
            <w:pPr>
              <w:spacing w:after="0"/>
              <w:rPr>
                <w:sz w:val="1"/>
                <w:szCs w:val="1"/>
                <w:color w:val="auto"/>
              </w:rPr>
            </w:pPr>
          </w:p>
        </w:tc>
      </w:tr>
      <w:tr>
        <w:trPr>
          <w:trHeight w:val="151"/>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220,390</w:t>
            </w: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46,268</w:t>
            </w: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53,475</w:t>
            </w:r>
          </w:p>
        </w:tc>
        <w:tc>
          <w:tcPr>
            <w:tcW w:w="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20"/>
                <w:szCs w:val="20"/>
                <w:color w:val="auto"/>
              </w:rPr>
            </w:pPr>
            <w:r>
              <w:rPr>
                <w:rFonts w:ascii="Arial" w:cs="Arial" w:eastAsia="Arial" w:hAnsi="Arial"/>
                <w:sz w:val="13"/>
                <w:szCs w:val="13"/>
                <w:color w:val="auto"/>
              </w:rPr>
              <w:t>Multifamily</w:t>
            </w:r>
          </w:p>
        </w:tc>
        <w:tc>
          <w:tcPr>
            <w:tcW w:w="140" w:type="dxa"/>
            <w:vAlign w:val="bottom"/>
          </w:tcPr>
          <w:p>
            <w:pPr>
              <w:spacing w:after="0"/>
              <w:rPr>
                <w:sz w:val="14"/>
                <w:szCs w:val="14"/>
                <w:color w:val="auto"/>
              </w:rPr>
            </w:pPr>
          </w:p>
        </w:tc>
        <w:tc>
          <w:tcPr>
            <w:tcW w:w="1020" w:type="dxa"/>
            <w:vAlign w:val="bottom"/>
          </w:tcPr>
          <w:p>
            <w:pPr>
              <w:ind w:left="480"/>
              <w:spacing w:after="0"/>
              <w:rPr>
                <w:sz w:val="20"/>
                <w:szCs w:val="20"/>
                <w:color w:val="auto"/>
              </w:rPr>
            </w:pPr>
            <w:r>
              <w:rPr>
                <w:rFonts w:ascii="Arial" w:cs="Arial" w:eastAsia="Arial" w:hAnsi="Arial"/>
                <w:sz w:val="13"/>
                <w:szCs w:val="13"/>
                <w:color w:val="auto"/>
              </w:rPr>
              <w:t>177,152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Arial" w:cs="Arial" w:eastAsia="Arial" w:hAnsi="Arial"/>
                <w:sz w:val="13"/>
                <w:szCs w:val="13"/>
                <w:color w:val="auto"/>
              </w:rPr>
              <w:t>74,888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70,399</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59,465</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4,326</w:t>
            </w:r>
          </w:p>
        </w:tc>
        <w:tc>
          <w:tcPr>
            <w:tcW w:w="2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3"/>
                <w:szCs w:val="13"/>
                <w:color w:val="auto"/>
              </w:rPr>
              <w:t>Office</w:t>
            </w:r>
          </w:p>
        </w:tc>
        <w:tc>
          <w:tcPr>
            <w:tcW w:w="140" w:type="dxa"/>
            <w:vAlign w:val="bottom"/>
          </w:tcPr>
          <w:p>
            <w:pPr>
              <w:spacing w:after="0"/>
              <w:rPr>
                <w:sz w:val="14"/>
                <w:szCs w:val="14"/>
                <w:color w:val="auto"/>
              </w:rPr>
            </w:pPr>
          </w:p>
        </w:tc>
        <w:tc>
          <w:tcPr>
            <w:tcW w:w="1020" w:type="dxa"/>
            <w:vAlign w:val="bottom"/>
          </w:tcPr>
          <w:p>
            <w:pPr>
              <w:ind w:left="540"/>
              <w:spacing w:after="0"/>
              <w:rPr>
                <w:sz w:val="20"/>
                <w:szCs w:val="20"/>
                <w:color w:val="auto"/>
              </w:rPr>
            </w:pPr>
            <w:r>
              <w:rPr>
                <w:rFonts w:ascii="Arial" w:cs="Arial" w:eastAsia="Arial" w:hAnsi="Arial"/>
                <w:sz w:val="13"/>
                <w:szCs w:val="13"/>
                <w:color w:val="auto"/>
              </w:rPr>
              <w:t>90,470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Arial" w:cs="Arial" w:eastAsia="Arial" w:hAnsi="Arial"/>
                <w:sz w:val="13"/>
                <w:szCs w:val="13"/>
                <w:color w:val="auto"/>
              </w:rPr>
              <w:t>26,788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5,629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Hotels/Motels</w:t>
            </w: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89,754</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27,472</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3"/>
                <w:szCs w:val="13"/>
                <w:color w:val="auto"/>
              </w:rPr>
              <w:t>Construction/Land</w:t>
            </w:r>
          </w:p>
        </w:tc>
        <w:tc>
          <w:tcPr>
            <w:tcW w:w="140" w:type="dxa"/>
            <w:vAlign w:val="bottom"/>
          </w:tcPr>
          <w:p>
            <w:pPr>
              <w:spacing w:after="0"/>
              <w:rPr>
                <w:sz w:val="14"/>
                <w:szCs w:val="14"/>
                <w:color w:val="auto"/>
              </w:rPr>
            </w:pPr>
          </w:p>
        </w:tc>
        <w:tc>
          <w:tcPr>
            <w:tcW w:w="1020" w:type="dxa"/>
            <w:vAlign w:val="bottom"/>
          </w:tcPr>
          <w:p>
            <w:pPr>
              <w:ind w:left="540"/>
              <w:spacing w:after="0"/>
              <w:rPr>
                <w:sz w:val="20"/>
                <w:szCs w:val="20"/>
                <w:color w:val="auto"/>
              </w:rPr>
            </w:pPr>
            <w:r>
              <w:rPr>
                <w:rFonts w:ascii="Arial" w:cs="Arial" w:eastAsia="Arial" w:hAnsi="Arial"/>
                <w:sz w:val="13"/>
                <w:szCs w:val="13"/>
                <w:color w:val="auto"/>
              </w:rPr>
              <w:t>59,039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500"/>
              <w:spacing w:after="0"/>
              <w:rPr>
                <w:sz w:val="20"/>
                <w:szCs w:val="20"/>
                <w:color w:val="auto"/>
              </w:rPr>
            </w:pPr>
            <w:r>
              <w:rPr>
                <w:rFonts w:ascii="Arial" w:cs="Arial" w:eastAsia="Arial" w:hAnsi="Arial"/>
                <w:sz w:val="13"/>
                <w:szCs w:val="13"/>
                <w:color w:val="auto"/>
              </w:rPr>
              <w:t>14,041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0"/>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17,112</w:t>
            </w:r>
          </w:p>
        </w:tc>
        <w:tc>
          <w:tcPr>
            <w:tcW w:w="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11,659</w:t>
            </w:r>
          </w:p>
        </w:tc>
        <w:tc>
          <w:tcPr>
            <w:tcW w:w="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3,500</w:t>
            </w:r>
          </w:p>
        </w:tc>
        <w:tc>
          <w:tcPr>
            <w:tcW w:w="2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82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Pr>
          <w:p>
            <w:pPr>
              <w:ind w:left="480"/>
              <w:spacing w:after="0"/>
              <w:rPr>
                <w:sz w:val="20"/>
                <w:szCs w:val="20"/>
                <w:color w:val="auto"/>
              </w:rPr>
            </w:pPr>
            <w:r>
              <w:rPr>
                <w:rFonts w:ascii="Arial" w:cs="Arial" w:eastAsia="Arial" w:hAnsi="Arial"/>
                <w:sz w:val="13"/>
                <w:szCs w:val="13"/>
                <w:color w:val="auto"/>
              </w:rPr>
              <w:t>724,316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71%</w:t>
            </w: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980" w:type="dxa"/>
            <w:vAlign w:val="bottom"/>
          </w:tcPr>
          <w:p>
            <w:pPr>
              <w:ind w:left="420"/>
              <w:spacing w:after="0"/>
              <w:rPr>
                <w:sz w:val="20"/>
                <w:szCs w:val="20"/>
                <w:color w:val="auto"/>
              </w:rPr>
            </w:pPr>
            <w:r>
              <w:rPr>
                <w:rFonts w:ascii="Arial" w:cs="Arial" w:eastAsia="Arial" w:hAnsi="Arial"/>
                <w:sz w:val="13"/>
                <w:szCs w:val="13"/>
                <w:color w:val="auto"/>
              </w:rPr>
              <w:t>260,581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66,930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860" w:hanging="197"/>
        <w:spacing w:after="0"/>
        <w:tabs>
          <w:tab w:leader="none" w:pos="8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Miami-Dade, Broward, and West Palm Beach counties</w:t>
      </w:r>
    </w:p>
    <w:p>
      <w:pPr>
        <w:spacing w:after="0" w:line="21" w:lineRule="exact"/>
        <w:rPr>
          <w:rFonts w:ascii="Arial" w:cs="Arial" w:eastAsia="Arial" w:hAnsi="Arial"/>
          <w:sz w:val="13"/>
          <w:szCs w:val="13"/>
          <w:color w:val="auto"/>
        </w:rPr>
      </w:pPr>
    </w:p>
    <w:p>
      <w:pPr>
        <w:ind w:left="860" w:hanging="197"/>
        <w:spacing w:after="0"/>
        <w:tabs>
          <w:tab w:leader="none" w:pos="8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All other Florida counties</w:t>
      </w:r>
    </w:p>
    <w:p>
      <w:pPr>
        <w:spacing w:after="0" w:line="21" w:lineRule="exact"/>
        <w:rPr>
          <w:rFonts w:ascii="Arial" w:cs="Arial" w:eastAsia="Arial" w:hAnsi="Arial"/>
          <w:sz w:val="13"/>
          <w:szCs w:val="13"/>
          <w:color w:val="auto"/>
        </w:rPr>
      </w:pPr>
    </w:p>
    <w:p>
      <w:pPr>
        <w:ind w:left="860" w:hanging="197"/>
        <w:spacing w:after="0"/>
        <w:tabs>
          <w:tab w:leader="none" w:pos="8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Within the U.S.</w:t>
      </w:r>
    </w:p>
    <w:p>
      <w:pPr>
        <w:spacing w:after="0" w:line="16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December 31, 2025, 71% of the non-owner occupied CRE portfolio were located within South Florida. 26 loan notes with an outstanding principal balance of $66.9 million are located outside Florida. Balances of non-owner occupied CRE loans outside Florida were: $44.2 million in New York, $7.3 million in Georgia, $7.1 million in Indiana, $4.3 million in Arkansas, and $4.1 million in North Carolina.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evaluated at least annually, or more frequently if deemed necessary. Internal credit risk ratings may change based on management’s assessment of the results from the annual review, portfolio monitoring and other developments observed with borrowers.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59" w:lineRule="exact"/>
        <w:rPr>
          <w:sz w:val="20"/>
          <w:szCs w:val="20"/>
          <w:color w:val="auto"/>
        </w:rPr>
      </w:pPr>
    </w:p>
    <w:p>
      <w:pPr>
        <w:ind w:left="1180" w:right="819"/>
        <w:spacing w:after="0" w:line="265"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28" w:lineRule="exact"/>
        <w:rPr>
          <w:sz w:val="20"/>
          <w:szCs w:val="20"/>
          <w:color w:val="auto"/>
        </w:rPr>
      </w:pPr>
    </w:p>
    <w:p>
      <w:pPr>
        <w:jc w:val="both"/>
        <w:ind w:left="1180" w:right="819"/>
        <w:spacing w:after="0" w:line="251"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7" w:lineRule="exact"/>
        <w:rPr>
          <w:sz w:val="20"/>
          <w:szCs w:val="20"/>
          <w:color w:val="auto"/>
        </w:rPr>
      </w:pPr>
    </w:p>
    <w:p>
      <w:pPr>
        <w:jc w:val="both"/>
        <w:ind w:left="1180" w:right="719"/>
        <w:spacing w:after="0" w:line="265"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66" w:name="page67"/>
    <w:bookmarkEnd w:id="6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8"/>
          </w:tcPr>
          <w:p>
            <w:pPr>
              <w:jc w:val="center"/>
              <w:ind w:right="784"/>
              <w:spacing w:after="0"/>
              <w:rPr>
                <w:sz w:val="20"/>
                <w:szCs w:val="20"/>
                <w:color w:val="auto"/>
              </w:rPr>
            </w:pPr>
            <w:r>
              <w:rPr>
                <w:rFonts w:ascii="Arial" w:cs="Arial" w:eastAsia="Arial" w:hAnsi="Arial"/>
                <w:sz w:val="13"/>
                <w:szCs w:val="13"/>
                <w:b w:val="1"/>
                <w:bCs w:val="1"/>
                <w:color w:val="auto"/>
                <w:w w:val="99"/>
              </w:rPr>
              <w:t>December 31, 2025</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Special Mention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24"/>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304,276</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724"/>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20" w:type="dxa"/>
            <w:vAlign w:val="bottom"/>
            <w:shd w:val="clear" w:color="auto" w:fill="CCEEFF"/>
          </w:tcPr>
          <w:p>
            <w:pPr>
              <w:spacing w:after="0"/>
              <w:rPr>
                <w:sz w:val="13"/>
                <w:szCs w:val="13"/>
                <w:color w:val="auto"/>
              </w:rPr>
            </w:pPr>
          </w:p>
        </w:tc>
      </w:tr>
      <w:tr>
        <w:trPr>
          <w:trHeight w:val="16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1,230,823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1,244,835</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293,169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127,968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127,968</w:t>
            </w:r>
          </w:p>
        </w:tc>
        <w:tc>
          <w:tcPr>
            <w:tcW w:w="20" w:type="dxa"/>
            <w:vAlign w:val="bottom"/>
          </w:tcPr>
          <w:p>
            <w:pPr>
              <w:spacing w:after="0"/>
              <w:rPr>
                <w:sz w:val="14"/>
                <w:szCs w:val="14"/>
                <w:color w:val="auto"/>
              </w:rPr>
            </w:pPr>
          </w:p>
        </w:tc>
      </w:tr>
      <w:tr>
        <w:trPr>
          <w:trHeight w:val="160"/>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4"/>
        </w:trPr>
        <w:tc>
          <w:tcPr>
            <w:tcW w:w="2300" w:type="dxa"/>
            <w:vAlign w:val="bottom"/>
          </w:tcPr>
          <w:p>
            <w:pPr>
              <w:spacing w:after="0"/>
              <w:rPr>
                <w:sz w:val="16"/>
                <w:szCs w:val="16"/>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2,163,451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13,436</w:t>
            </w:r>
          </w:p>
        </w:tc>
        <w:tc>
          <w:tcPr>
            <w:tcW w:w="4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6,371</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724"/>
              <w:spacing w:after="0"/>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2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2,183,258</w:t>
            </w:r>
          </w:p>
        </w:tc>
        <w:tc>
          <w:tcPr>
            <w:tcW w:w="20" w:type="dxa"/>
            <w:vAlign w:val="bottom"/>
            <w:tcBorders>
              <w:bottom w:val="single" w:sz="8" w:color="auto"/>
            </w:tcBorders>
          </w:tcPr>
          <w:p>
            <w:pPr>
              <w:spacing w:after="0"/>
              <w:rPr>
                <w:sz w:val="16"/>
                <w:szCs w:val="16"/>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center"/>
              <w:ind w:right="776"/>
              <w:spacing w:after="0"/>
              <w:rPr>
                <w:sz w:val="20"/>
                <w:szCs w:val="20"/>
                <w:color w:val="auto"/>
              </w:rPr>
            </w:pPr>
            <w:r>
              <w:rPr>
                <w:rFonts w:ascii="Arial" w:cs="Arial" w:eastAsia="Arial" w:hAnsi="Arial"/>
                <w:sz w:val="13"/>
                <w:szCs w:val="13"/>
                <w:b w:val="1"/>
                <w:bCs w:val="1"/>
                <w:color w:val="auto"/>
                <w:w w:val="99"/>
              </w:rPr>
              <w:t>December 31, 2024</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6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289,401</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1,133,965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1,136,417</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256,031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20" w:type="dxa"/>
            <w:vAlign w:val="bottom"/>
            <w:shd w:val="clear" w:color="auto" w:fill="CCEEFF"/>
          </w:tcPr>
          <w:p>
            <w:pPr>
              <w:spacing w:after="0"/>
              <w:rPr>
                <w:sz w:val="14"/>
                <w:szCs w:val="14"/>
                <w:color w:val="auto"/>
              </w:rPr>
            </w:pPr>
          </w:p>
        </w:tc>
      </w:tr>
      <w:tr>
        <w:trPr>
          <w:trHeight w:val="172"/>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1,957,936</w:t>
            </w:r>
          </w:p>
        </w:tc>
        <w:tc>
          <w:tcPr>
            <w:tcW w:w="20" w:type="dxa"/>
            <w:vAlign w:val="bottom"/>
          </w:tcPr>
          <w:p>
            <w:pPr>
              <w:spacing w:after="0"/>
              <w:rPr>
                <w:sz w:val="14"/>
                <w:szCs w:val="14"/>
                <w:color w:val="auto"/>
              </w:rPr>
            </w:pPr>
          </w:p>
        </w:tc>
        <w:tc>
          <w:tcPr>
            <w:tcW w:w="560" w:type="dxa"/>
            <w:vAlign w:val="bottom"/>
            <w:gridSpan w:val="2"/>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7,282</w:t>
            </w:r>
          </w:p>
        </w:tc>
        <w:tc>
          <w:tcPr>
            <w:tcW w:w="20" w:type="dxa"/>
            <w:vAlign w:val="bottom"/>
          </w:tcPr>
          <w:p>
            <w:pPr>
              <w:spacing w:after="0"/>
              <w:rPr>
                <w:sz w:val="14"/>
                <w:szCs w:val="14"/>
                <w:color w:val="auto"/>
              </w:rPr>
            </w:pPr>
          </w:p>
        </w:tc>
        <w:tc>
          <w:tcPr>
            <w:tcW w:w="90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1,965,218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December 31, 2025 and 2024 (in thousands, except ratios):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0" w:type="dxa"/>
            <w:vAlign w:val="bottom"/>
            <w:tcBorders>
              <w:bottom w:val="single" w:sz="8" w:color="CCEEFF"/>
            </w:tcBorders>
          </w:tcPr>
          <w:p>
            <w:pPr>
              <w:spacing w:after="0"/>
              <w:rPr>
                <w:sz w:val="13"/>
                <w:szCs w:val="13"/>
                <w:color w:val="auto"/>
              </w:rPr>
            </w:pPr>
          </w:p>
        </w:tc>
        <w:tc>
          <w:tcPr>
            <w:tcW w:w="4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r>
      <w:tr>
        <w:trPr>
          <w:trHeight w:val="161"/>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non-performing loans</w:t>
            </w: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w:t>
            </w:r>
          </w:p>
        </w:tc>
        <w:tc>
          <w:tcPr>
            <w:tcW w:w="20" w:type="dxa"/>
            <w:vAlign w:val="bottom"/>
            <w:shd w:val="clear" w:color="auto" w:fill="CCEEFF"/>
          </w:tcPr>
          <w:p>
            <w:pPr>
              <w:spacing w:after="0"/>
              <w:rPr>
                <w:sz w:val="14"/>
                <w:szCs w:val="14"/>
                <w:color w:val="auto"/>
              </w:rPr>
            </w:pPr>
          </w:p>
        </w:tc>
      </w:tr>
      <w:tr>
        <w:trPr>
          <w:trHeight w:val="171"/>
        </w:trPr>
        <w:tc>
          <w:tcPr>
            <w:tcW w:w="484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Other real estate owned</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2"/>
        </w:trPr>
        <w:tc>
          <w:tcPr>
            <w:tcW w:w="220" w:type="dxa"/>
            <w:vAlign w:val="bottom"/>
            <w:tcBorders>
              <w:bottom w:val="single" w:sz="8" w:color="CCEEFF"/>
            </w:tcBorders>
            <w:shd w:val="clear" w:color="auto" w:fill="CCEEFF"/>
          </w:tcPr>
          <w:p>
            <w:pPr>
              <w:spacing w:after="0"/>
              <w:rPr>
                <w:sz w:val="14"/>
                <w:szCs w:val="14"/>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3,138</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700"/>
        <w:spacing w:after="0"/>
        <w:rPr>
          <w:sz w:val="20"/>
          <w:szCs w:val="20"/>
          <w:color w:val="auto"/>
        </w:rPr>
      </w:pPr>
      <w:r>
        <w:rPr>
          <w:rFonts w:ascii="Arial" w:cs="Arial" w:eastAsia="Arial" w:hAnsi="Arial"/>
          <w:sz w:val="13"/>
          <w:szCs w:val="13"/>
          <w:b w:val="1"/>
          <w:bCs w:val="1"/>
          <w:color w:val="auto"/>
        </w:rPr>
        <w:t>Asset quality ratios:</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Allowance for credit losses to total loans</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Allowance for credit losses to non-performing loans</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Non-performing loans to total loans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right w:val="single" w:sz="8" w:color="CCEEFF"/>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r>
      <w:tr>
        <w:trPr>
          <w:trHeight w:val="179"/>
        </w:trPr>
        <w:tc>
          <w:tcPr>
            <w:tcW w:w="1260" w:type="dxa"/>
            <w:vAlign w:val="bottom"/>
            <w:gridSpan w:val="2"/>
          </w:tcPr>
          <w:p>
            <w:pPr>
              <w:jc w:val="right"/>
              <w:ind w:right="80"/>
              <w:spacing w:after="0"/>
              <w:rPr>
                <w:sz w:val="20"/>
                <w:szCs w:val="20"/>
                <w:color w:val="auto"/>
              </w:rPr>
            </w:pPr>
            <w:r>
              <w:rPr>
                <w:rFonts w:ascii="Arial" w:cs="Arial" w:eastAsia="Arial" w:hAnsi="Arial"/>
                <w:sz w:val="13"/>
                <w:szCs w:val="13"/>
                <w:color w:val="auto"/>
              </w:rPr>
              <w:t>813%</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889%</w:t>
            </w:r>
          </w:p>
        </w:tc>
      </w:tr>
      <w:tr>
        <w:trPr>
          <w:trHeight w:val="163"/>
        </w:trPr>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Borders>
              <w:right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r>
    </w:tbl>
    <w:p>
      <w:pPr>
        <w:spacing w:after="0" w:line="200" w:lineRule="exact"/>
        <w:rPr>
          <w:sz w:val="20"/>
          <w:szCs w:val="20"/>
          <w:color w:val="auto"/>
        </w:rPr>
      </w:pPr>
    </w:p>
    <w:p>
      <w:pPr>
        <w:sectPr>
          <w:pgSz w:w="11900" w:h="16838" w:orient="portrait"/>
          <w:cols w:equalWidth="0" w:num="2">
            <w:col w:w="5020" w:space="720"/>
            <w:col w:w="3279"/>
          </w:cols>
          <w:pgMar w:left="1440" w:top="477" w:right="1440" w:bottom="1440" w:gutter="0" w:footer="0" w:header="0"/>
          <w:type w:val="continuous"/>
        </w:sectPr>
      </w:pPr>
    </w:p>
    <w:p>
      <w:pPr>
        <w:spacing w:after="0" w:line="11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OREO and other repossessed assets. Problem loans for which the collection or liquidation in full is reasonably uncertain are placed on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26"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are surfacing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For further discussion on non-performing loans, see Note 3 “Loans” to the Consolidated Financial Statements set forth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type w:val="continuous"/>
        </w:sectPr>
      </w:pPr>
    </w:p>
    <w:bookmarkStart w:id="67" w:name="page68"/>
    <w:bookmarkEnd w:id="6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ACL represents an amount that, in management's evaluation, is adequate to provide coverage for all expected future credit losses on outstanding loans as of the measurement date. Additionally, qualitative adjustments are made to the ACL when, based on management’s judgment, there are factors impacting the allowance estimate not considered by the quantitative calculations. See Note 3 “Loans” to the Consolidated Financial Statements set forth in Item 8 of Part 1 of this Annual Report as Form 10-K for more information on the allowance for credit losses.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Correspondent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and 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216"/>
              <w:spacing w:after="0"/>
              <w:rPr>
                <w:sz w:val="20"/>
                <w:szCs w:val="20"/>
                <w:color w:val="auto"/>
              </w:rPr>
            </w:pPr>
            <w:r>
              <w:rPr>
                <w:rFonts w:ascii="Arial" w:cs="Arial" w:eastAsia="Arial" w:hAnsi="Arial"/>
                <w:sz w:val="13"/>
                <w:szCs w:val="13"/>
                <w:b w:val="1"/>
                <w:bCs w:val="1"/>
                <w:color w:val="auto"/>
              </w:rPr>
              <w:t>Banks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ind w:left="120"/>
              <w:spacing w:after="0"/>
              <w:rPr>
                <w:sz w:val="20"/>
                <w:szCs w:val="20"/>
                <w:color w:val="auto"/>
              </w:rPr>
            </w:pPr>
            <w:r>
              <w:rPr>
                <w:rFonts w:ascii="Arial" w:cs="Arial" w:eastAsia="Arial" w:hAnsi="Arial"/>
                <w:sz w:val="13"/>
                <w:szCs w:val="13"/>
                <w:b w:val="1"/>
                <w:bCs w:val="1"/>
                <w:color w:val="auto"/>
              </w:rPr>
              <w:t>Total</w:t>
            </w:r>
          </w:p>
        </w:tc>
      </w:tr>
      <w:tr>
        <w:trPr>
          <w:trHeight w:val="151"/>
        </w:trPr>
        <w:tc>
          <w:tcPr>
            <w:tcW w:w="208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December, 31, 2025</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Beginning balance</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5,121</w:t>
            </w:r>
          </w:p>
        </w:tc>
        <w:tc>
          <w:tcPr>
            <w:tcW w:w="1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8,788</w:t>
            </w:r>
          </w:p>
        </w:tc>
        <w:tc>
          <w:tcPr>
            <w:tcW w:w="240" w:type="dxa"/>
            <w:vAlign w:val="bottom"/>
            <w:gridSpan w:val="6"/>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4,633</w:t>
            </w:r>
          </w:p>
        </w:tc>
        <w:tc>
          <w:tcPr>
            <w:tcW w:w="220" w:type="dxa"/>
            <w:vAlign w:val="bottom"/>
            <w:gridSpan w:val="7"/>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654</w:t>
            </w:r>
          </w:p>
        </w:tc>
        <w:tc>
          <w:tcPr>
            <w:tcW w:w="200" w:type="dxa"/>
            <w:vAlign w:val="bottom"/>
            <w:gridSpan w:val="6"/>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4,874</w:t>
            </w:r>
          </w:p>
        </w:tc>
        <w:tc>
          <w:tcPr>
            <w:tcW w:w="240" w:type="dxa"/>
            <w:vAlign w:val="bottom"/>
            <w:gridSpan w:val="6"/>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24,070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8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2,119</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1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Ending Balance</w:t>
            </w:r>
          </w:p>
        </w:tc>
        <w:tc>
          <w:tcPr>
            <w:tcW w:w="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5,908</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9,476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4,814</w:t>
            </w:r>
          </w:p>
        </w:tc>
        <w:tc>
          <w:tcPr>
            <w:tcW w:w="4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1,015</w:t>
            </w:r>
          </w:p>
        </w:tc>
        <w:tc>
          <w:tcPr>
            <w:tcW w:w="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4,287</w:t>
            </w:r>
          </w:p>
        </w:tc>
        <w:tc>
          <w:tcPr>
            <w:tcW w:w="4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25,500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3"/>
        </w:trPr>
        <w:tc>
          <w:tcPr>
            <w:tcW w:w="2100" w:type="dxa"/>
            <w:vAlign w:val="bottom"/>
            <w:gridSpan w:val="2"/>
            <w:shd w:val="clear" w:color="auto" w:fill="CCEEFF"/>
          </w:tcPr>
          <w:p>
            <w:pPr>
              <w:spacing w:after="0"/>
              <w:rPr>
                <w:sz w:val="13"/>
                <w:szCs w:val="13"/>
                <w:color w:val="auto"/>
              </w:rPr>
            </w:pPr>
          </w:p>
        </w:tc>
        <w:tc>
          <w:tcPr>
            <w:tcW w:w="140" w:type="dxa"/>
            <w:vAlign w:val="bottom"/>
            <w:gridSpan w:val="3"/>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78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40" w:type="dxa"/>
            <w:vAlign w:val="bottom"/>
            <w:gridSpan w:val="3"/>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Average loans</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307,199</w:t>
            </w:r>
          </w:p>
        </w:tc>
        <w:tc>
          <w:tcPr>
            <w:tcW w:w="1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1,186,105</w:t>
            </w:r>
          </w:p>
        </w:tc>
        <w:tc>
          <w:tcPr>
            <w:tcW w:w="240" w:type="dxa"/>
            <w:vAlign w:val="bottom"/>
            <w:gridSpan w:val="6"/>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266,095</w:t>
            </w:r>
          </w:p>
        </w:tc>
        <w:tc>
          <w:tcPr>
            <w:tcW w:w="220" w:type="dxa"/>
            <w:vAlign w:val="bottom"/>
            <w:gridSpan w:val="7"/>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99,580</w:t>
            </w:r>
          </w:p>
        </w:tc>
        <w:tc>
          <w:tcPr>
            <w:tcW w:w="200" w:type="dxa"/>
            <w:vAlign w:val="bottom"/>
            <w:gridSpan w:val="6"/>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210,060</w:t>
            </w:r>
          </w:p>
        </w:tc>
        <w:tc>
          <w:tcPr>
            <w:tcW w:w="240" w:type="dxa"/>
            <w:vAlign w:val="bottom"/>
            <w:gridSpan w:val="6"/>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2,069,039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charge-offs (recoveries) to</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1"/>
        </w:trPr>
        <w:tc>
          <w:tcPr>
            <w:tcW w:w="2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Beginning balance</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2,695</w:t>
            </w:r>
          </w:p>
        </w:tc>
        <w:tc>
          <w:tcPr>
            <w:tcW w:w="1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10,366</w:t>
            </w:r>
          </w:p>
        </w:tc>
        <w:tc>
          <w:tcPr>
            <w:tcW w:w="240" w:type="dxa"/>
            <w:vAlign w:val="bottom"/>
            <w:gridSpan w:val="6"/>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3,974</w:t>
            </w:r>
          </w:p>
        </w:tc>
        <w:tc>
          <w:tcPr>
            <w:tcW w:w="220" w:type="dxa"/>
            <w:vAlign w:val="bottom"/>
            <w:gridSpan w:val="7"/>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911</w:t>
            </w:r>
          </w:p>
        </w:tc>
        <w:tc>
          <w:tcPr>
            <w:tcW w:w="200" w:type="dxa"/>
            <w:vAlign w:val="bottom"/>
            <w:gridSpan w:val="6"/>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3,138</w:t>
            </w:r>
          </w:p>
        </w:tc>
        <w:tc>
          <w:tcPr>
            <w:tcW w:w="240" w:type="dxa"/>
            <w:vAlign w:val="bottom"/>
            <w:gridSpan w:val="6"/>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21,084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208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17"/>
        </w:trPr>
        <w:tc>
          <w:tcPr>
            <w:tcW w:w="21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Ending Balance</w:t>
            </w:r>
          </w:p>
        </w:tc>
        <w:tc>
          <w:tcPr>
            <w:tcW w:w="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5,121</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8,788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4,633</w:t>
            </w:r>
          </w:p>
        </w:tc>
        <w:tc>
          <w:tcPr>
            <w:tcW w:w="4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4,874</w:t>
            </w:r>
          </w:p>
        </w:tc>
        <w:tc>
          <w:tcPr>
            <w:tcW w:w="4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24,070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3"/>
        </w:trPr>
        <w:tc>
          <w:tcPr>
            <w:tcW w:w="2100" w:type="dxa"/>
            <w:vAlign w:val="bottom"/>
            <w:gridSpan w:val="2"/>
            <w:shd w:val="clear" w:color="auto" w:fill="CCEEFF"/>
          </w:tcPr>
          <w:p>
            <w:pPr>
              <w:spacing w:after="0"/>
              <w:rPr>
                <w:sz w:val="13"/>
                <w:szCs w:val="13"/>
                <w:color w:val="auto"/>
              </w:rPr>
            </w:pPr>
          </w:p>
        </w:tc>
        <w:tc>
          <w:tcPr>
            <w:tcW w:w="140" w:type="dxa"/>
            <w:vAlign w:val="bottom"/>
            <w:gridSpan w:val="3"/>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78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40" w:type="dxa"/>
            <w:vAlign w:val="bottom"/>
            <w:gridSpan w:val="3"/>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7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Average loans</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256,112</w:t>
            </w:r>
          </w:p>
        </w:tc>
        <w:tc>
          <w:tcPr>
            <w:tcW w:w="18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1,068,574</w:t>
            </w:r>
          </w:p>
        </w:tc>
        <w:tc>
          <w:tcPr>
            <w:tcW w:w="240" w:type="dxa"/>
            <w:vAlign w:val="bottom"/>
            <w:gridSpan w:val="6"/>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238,266</w:t>
            </w:r>
          </w:p>
        </w:tc>
        <w:tc>
          <w:tcPr>
            <w:tcW w:w="220" w:type="dxa"/>
            <w:vAlign w:val="bottom"/>
            <w:gridSpan w:val="7"/>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103,345</w:t>
            </w:r>
          </w:p>
        </w:tc>
        <w:tc>
          <w:tcPr>
            <w:tcW w:w="200" w:type="dxa"/>
            <w:vAlign w:val="bottom"/>
            <w:gridSpan w:val="6"/>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195,716</w:t>
            </w:r>
          </w:p>
        </w:tc>
        <w:tc>
          <w:tcPr>
            <w:tcW w:w="240" w:type="dxa"/>
            <w:vAlign w:val="bottom"/>
            <w:gridSpan w:val="6"/>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1,862,013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charge-offs (recoveries) to</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
        </w:trPr>
        <w:tc>
          <w:tcPr>
            <w:tcW w:w="2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3" w:lineRule="exact"/>
        <w:rPr>
          <w:sz w:val="20"/>
          <w:szCs w:val="20"/>
          <w:color w:val="auto"/>
        </w:rPr>
      </w:pPr>
    </w:p>
    <w:p>
      <w:pPr>
        <w:ind w:left="700" w:right="979" w:hanging="5"/>
        <w:spacing w:after="0" w:line="269" w:lineRule="auto"/>
        <w:tabs>
          <w:tab w:leader="none" w:pos="892"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Provision for credit losses excludes $182 thousand provision for unfunded commitments included in accrued interest and other liabilities and $4 thousand release for investment securities held to maturity.</w:t>
      </w:r>
    </w:p>
    <w:p>
      <w:pPr>
        <w:spacing w:after="0" w:line="48" w:lineRule="exact"/>
        <w:rPr>
          <w:rFonts w:ascii="Arial" w:cs="Arial" w:eastAsia="Arial" w:hAnsi="Arial"/>
          <w:sz w:val="13"/>
          <w:szCs w:val="13"/>
          <w:color w:val="auto"/>
        </w:rPr>
      </w:pPr>
    </w:p>
    <w:p>
      <w:pPr>
        <w:ind w:left="700" w:right="979" w:hanging="5"/>
        <w:spacing w:after="0" w:line="252" w:lineRule="auto"/>
        <w:tabs>
          <w:tab w:leader="none" w:pos="892"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Provision for credit losses excludes $199 thousand provision for unfunded commitments included in accrued interest and other liabilities and $2 thousand release for investment securities held to maturity.</w:t>
      </w:r>
    </w:p>
    <w:p>
      <w:pPr>
        <w:spacing w:after="0" w:line="365"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The following table presents ACL by type and its individual percentage to total loans for the periods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210" w:type="dxa"/>
            <w:vAlign w:val="bottom"/>
            <w:tcBorders>
              <w:bottom w:val="single" w:sz="8" w:color="auto"/>
            </w:tcBorders>
          </w:tcPr>
          <w:p>
            <w:pPr>
              <w:spacing w:after="0"/>
              <w:rPr>
                <w:sz w:val="12"/>
                <w:szCs w:val="12"/>
                <w:color w:val="auto"/>
              </w:rPr>
            </w:pPr>
          </w:p>
        </w:tc>
        <w:tc>
          <w:tcPr>
            <w:tcW w:w="107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180" w:type="dxa"/>
            <w:vAlign w:val="bottom"/>
          </w:tcPr>
          <w:p>
            <w:pPr>
              <w:spacing w:after="0"/>
              <w:rPr>
                <w:sz w:val="14"/>
                <w:szCs w:val="14"/>
                <w:color w:val="auto"/>
              </w:rPr>
            </w:pPr>
          </w:p>
        </w:tc>
        <w:tc>
          <w:tcPr>
            <w:tcW w:w="210" w:type="dxa"/>
            <w:vAlign w:val="bottom"/>
            <w:tcBorders>
              <w:bottom w:val="single" w:sz="8" w:color="auto"/>
            </w:tcBorders>
          </w:tcPr>
          <w:p>
            <w:pPr>
              <w:spacing w:after="0"/>
              <w:rPr>
                <w:sz w:val="14"/>
                <w:szCs w:val="14"/>
                <w:color w:val="auto"/>
              </w:rPr>
            </w:pPr>
          </w:p>
        </w:tc>
        <w:tc>
          <w:tcPr>
            <w:tcW w:w="127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36"/>
              <w:spacing w:after="0"/>
              <w:rPr>
                <w:sz w:val="20"/>
                <w:szCs w:val="20"/>
                <w:color w:val="auto"/>
              </w:rPr>
            </w:pPr>
            <w:r>
              <w:rPr>
                <w:rFonts w:ascii="Arial" w:cs="Arial" w:eastAsia="Arial" w:hAnsi="Arial"/>
                <w:sz w:val="13"/>
                <w:szCs w:val="13"/>
                <w:b w:val="1"/>
                <w:bCs w:val="1"/>
                <w:color w:val="auto"/>
                <w:w w:val="96"/>
              </w:rPr>
              <w:t>2024</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left="96"/>
              <w:spacing w:after="0"/>
              <w:rPr>
                <w:sz w:val="20"/>
                <w:szCs w:val="20"/>
                <w:color w:val="auto"/>
              </w:rPr>
            </w:pPr>
            <w:r>
              <w:rPr>
                <w:rFonts w:ascii="Arial" w:cs="Arial" w:eastAsia="Arial" w:hAnsi="Arial"/>
                <w:sz w:val="13"/>
                <w:szCs w:val="13"/>
                <w:b w:val="1"/>
                <w:bCs w:val="1"/>
                <w:color w:val="auto"/>
                <w:w w:val="99"/>
              </w:rPr>
              <w:t>% of Loans in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left="116"/>
              <w:spacing w:after="0"/>
              <w:rPr>
                <w:sz w:val="20"/>
                <w:szCs w:val="20"/>
                <w:color w:val="auto"/>
              </w:rPr>
            </w:pPr>
            <w:r>
              <w:rPr>
                <w:rFonts w:ascii="Arial" w:cs="Arial" w:eastAsia="Arial" w:hAnsi="Arial"/>
                <w:sz w:val="13"/>
                <w:szCs w:val="13"/>
                <w:b w:val="1"/>
                <w:bCs w:val="1"/>
                <w:color w:val="auto"/>
                <w:w w:val="96"/>
              </w:rPr>
              <w:t>% of Loans in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2180" w:type="dxa"/>
            <w:vAlign w:val="bottom"/>
          </w:tcPr>
          <w:p>
            <w:pPr>
              <w:ind w:left="40"/>
              <w:spacing w:after="0" w:line="139" w:lineRule="exact"/>
              <w:rPr>
                <w:sz w:val="20"/>
                <w:szCs w:val="20"/>
                <w:color w:val="auto"/>
              </w:rPr>
            </w:pPr>
            <w:r>
              <w:rPr>
                <w:rFonts w:ascii="Arial" w:cs="Arial" w:eastAsia="Arial" w:hAnsi="Arial"/>
                <w:sz w:val="13"/>
                <w:szCs w:val="13"/>
                <w:b w:val="1"/>
                <w:bCs w:val="1"/>
                <w:color w:val="auto"/>
              </w:rPr>
              <w:t>Loan Category</w:t>
            </w:r>
          </w:p>
        </w:tc>
        <w:tc>
          <w:tcPr>
            <w:tcW w:w="210" w:type="dxa"/>
            <w:vAlign w:val="bottom"/>
          </w:tcPr>
          <w:p>
            <w:pPr>
              <w:spacing w:after="0"/>
              <w:rPr>
                <w:sz w:val="12"/>
                <w:szCs w:val="12"/>
                <w:color w:val="auto"/>
              </w:rPr>
            </w:pPr>
          </w:p>
        </w:tc>
        <w:tc>
          <w:tcPr>
            <w:tcW w:w="1270" w:type="dxa"/>
            <w:vAlign w:val="bottom"/>
            <w:gridSpan w:val="2"/>
          </w:tcPr>
          <w:p>
            <w:pPr>
              <w:jc w:val="right"/>
              <w:ind w:right="520"/>
              <w:spacing w:after="0" w:line="139" w:lineRule="exact"/>
              <w:rPr>
                <w:sz w:val="20"/>
                <w:szCs w:val="20"/>
                <w:color w:val="auto"/>
              </w:rPr>
            </w:pPr>
            <w:r>
              <w:rPr>
                <w:rFonts w:ascii="Arial" w:cs="Arial" w:eastAsia="Arial" w:hAnsi="Arial"/>
                <w:sz w:val="13"/>
                <w:szCs w:val="13"/>
                <w:b w:val="1"/>
                <w:bCs w:val="1"/>
                <w:color w:val="auto"/>
              </w:rPr>
              <w:t>Allowance</w:t>
            </w:r>
          </w:p>
        </w:tc>
        <w:tc>
          <w:tcPr>
            <w:tcW w:w="12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9"/>
              </w:rPr>
              <w:t>Each Category to</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156"/>
              <w:spacing w:after="0" w:line="139" w:lineRule="exact"/>
              <w:rPr>
                <w:sz w:val="20"/>
                <w:szCs w:val="20"/>
                <w:color w:val="auto"/>
              </w:rPr>
            </w:pPr>
            <w:r>
              <w:rPr>
                <w:rFonts w:ascii="Arial" w:cs="Arial" w:eastAsia="Arial" w:hAnsi="Arial"/>
                <w:sz w:val="13"/>
                <w:szCs w:val="13"/>
                <w:b w:val="1"/>
                <w:bCs w:val="1"/>
                <w:color w:val="auto"/>
                <w:w w:val="96"/>
              </w:rPr>
              <w:t>Allowance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9"/>
              </w:rPr>
              <w:t>Each Category to</w:t>
            </w:r>
          </w:p>
        </w:tc>
        <w:tc>
          <w:tcPr>
            <w:tcW w:w="20" w:type="dxa"/>
            <w:vAlign w:val="bottom"/>
          </w:tcPr>
          <w:p>
            <w:pPr>
              <w:spacing w:after="0"/>
              <w:rPr>
                <w:sz w:val="12"/>
                <w:szCs w:val="12"/>
                <w:color w:val="auto"/>
              </w:rPr>
            </w:pPr>
          </w:p>
        </w:tc>
      </w:tr>
      <w:tr>
        <w:trPr>
          <w:trHeight w:val="176"/>
        </w:trPr>
        <w:tc>
          <w:tcPr>
            <w:tcW w:w="218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07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left="76"/>
              <w:spacing w:after="0"/>
              <w:rPr>
                <w:sz w:val="20"/>
                <w:szCs w:val="20"/>
                <w:color w:val="auto"/>
              </w:rPr>
            </w:pPr>
            <w:r>
              <w:rPr>
                <w:rFonts w:ascii="Arial" w:cs="Arial" w:eastAsia="Arial" w:hAnsi="Arial"/>
                <w:sz w:val="13"/>
                <w:szCs w:val="13"/>
                <w:b w:val="1"/>
                <w:bCs w:val="1"/>
                <w:color w:val="auto"/>
                <w:w w:val="95"/>
              </w:rPr>
              <w:t>Total Loans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left="96"/>
              <w:spacing w:after="0"/>
              <w:rPr>
                <w:sz w:val="20"/>
                <w:szCs w:val="20"/>
                <w:color w:val="auto"/>
              </w:rPr>
            </w:pPr>
            <w:r>
              <w:rPr>
                <w:rFonts w:ascii="Arial" w:cs="Arial" w:eastAsia="Arial" w:hAnsi="Arial"/>
                <w:sz w:val="13"/>
                <w:szCs w:val="13"/>
                <w:b w:val="1"/>
                <w:bCs w:val="1"/>
                <w:color w:val="auto"/>
                <w:w w:val="98"/>
              </w:rPr>
              <w:t>Total Loans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210" w:type="dxa"/>
            <w:vAlign w:val="bottom"/>
            <w:tcBorders>
              <w:bottom w:val="single" w:sz="8" w:color="auto"/>
            </w:tcBorders>
          </w:tcPr>
          <w:p>
            <w:pPr>
              <w:spacing w:after="0"/>
              <w:rPr>
                <w:sz w:val="2"/>
                <w:szCs w:val="2"/>
                <w:color w:val="auto"/>
              </w:rPr>
            </w:pPr>
          </w:p>
        </w:tc>
        <w:tc>
          <w:tcPr>
            <w:tcW w:w="107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1"/>
        </w:trPr>
        <w:tc>
          <w:tcPr>
            <w:tcW w:w="21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Residential Real Estate</w:t>
            </w:r>
          </w:p>
        </w:tc>
        <w:tc>
          <w:tcPr>
            <w:tcW w:w="210" w:type="dxa"/>
            <w:vAlign w:val="bottom"/>
            <w:shd w:val="clear" w:color="auto" w:fill="CCEEFF"/>
          </w:tcPr>
          <w:p>
            <w:pPr>
              <w:jc w:val="right"/>
              <w:ind w:right="46"/>
              <w:spacing w:after="0"/>
              <w:rPr>
                <w:sz w:val="20"/>
                <w:szCs w:val="20"/>
                <w:color w:val="auto"/>
              </w:rPr>
            </w:pPr>
            <w:r>
              <w:rPr>
                <w:rFonts w:ascii="Arial" w:cs="Arial" w:eastAsia="Arial" w:hAnsi="Arial"/>
                <w:sz w:val="13"/>
                <w:szCs w:val="13"/>
                <w:color w:val="auto"/>
              </w:rPr>
              <w:t>$</w:t>
            </w:r>
          </w:p>
        </w:tc>
        <w:tc>
          <w:tcPr>
            <w:tcW w:w="107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5,908</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80"/>
        </w:trPr>
        <w:tc>
          <w:tcPr>
            <w:tcW w:w="2180" w:type="dxa"/>
            <w:vAlign w:val="bottom"/>
          </w:tcPr>
          <w:p>
            <w:pPr>
              <w:ind w:left="220"/>
              <w:spacing w:after="0"/>
              <w:rPr>
                <w:sz w:val="20"/>
                <w:szCs w:val="20"/>
                <w:color w:val="auto"/>
              </w:rPr>
            </w:pPr>
            <w:r>
              <w:rPr>
                <w:rFonts w:ascii="Arial" w:cs="Arial" w:eastAsia="Arial" w:hAnsi="Arial"/>
                <w:sz w:val="13"/>
                <w:szCs w:val="13"/>
                <w:color w:val="auto"/>
              </w:rPr>
              <w:t>Commercial Real Estate</w:t>
            </w:r>
          </w:p>
        </w:tc>
        <w:tc>
          <w:tcPr>
            <w:tcW w:w="210" w:type="dxa"/>
            <w:vAlign w:val="bottom"/>
          </w:tcPr>
          <w:p>
            <w:pPr>
              <w:spacing w:after="0"/>
              <w:rPr>
                <w:sz w:val="15"/>
                <w:szCs w:val="15"/>
                <w:color w:val="auto"/>
              </w:rPr>
            </w:pPr>
          </w:p>
        </w:tc>
        <w:tc>
          <w:tcPr>
            <w:tcW w:w="1070" w:type="dxa"/>
            <w:vAlign w:val="bottom"/>
          </w:tcPr>
          <w:p>
            <w:pPr>
              <w:jc w:val="right"/>
              <w:ind w:right="16"/>
              <w:spacing w:after="0"/>
              <w:rPr>
                <w:sz w:val="20"/>
                <w:szCs w:val="20"/>
                <w:color w:val="auto"/>
              </w:rPr>
            </w:pPr>
            <w:r>
              <w:rPr>
                <w:rFonts w:ascii="Arial" w:cs="Arial" w:eastAsia="Arial" w:hAnsi="Arial"/>
                <w:sz w:val="13"/>
                <w:szCs w:val="13"/>
                <w:color w:val="auto"/>
              </w:rPr>
              <w:t>9,476</w:t>
            </w:r>
          </w:p>
        </w:tc>
        <w:tc>
          <w:tcPr>
            <w:tcW w:w="200" w:type="dxa"/>
            <w:vAlign w:val="bottom"/>
          </w:tcPr>
          <w:p>
            <w:pPr>
              <w:spacing w:after="0"/>
              <w:rPr>
                <w:sz w:val="15"/>
                <w:szCs w:val="15"/>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57.0</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8,788</w:t>
            </w:r>
          </w:p>
        </w:tc>
        <w:tc>
          <w:tcPr>
            <w:tcW w:w="1300" w:type="dxa"/>
            <w:vAlign w:val="bottom"/>
            <w:gridSpan w:val="3"/>
          </w:tcPr>
          <w:p>
            <w:pPr>
              <w:jc w:val="right"/>
              <w:ind w:right="16"/>
              <w:spacing w:after="0"/>
              <w:rPr>
                <w:sz w:val="20"/>
                <w:szCs w:val="20"/>
                <w:color w:val="auto"/>
              </w:rPr>
            </w:pPr>
            <w:r>
              <w:rPr>
                <w:rFonts w:ascii="Arial" w:cs="Arial" w:eastAsia="Arial" w:hAnsi="Arial"/>
                <w:sz w:val="13"/>
                <w:szCs w:val="13"/>
                <w:color w:val="auto"/>
              </w:rPr>
              <w:t>57.8</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5"/>
                <w:szCs w:val="15"/>
                <w:color w:val="auto"/>
              </w:rPr>
            </w:pPr>
          </w:p>
        </w:tc>
      </w:tr>
      <w:tr>
        <w:trPr>
          <w:trHeight w:val="152"/>
        </w:trPr>
        <w:tc>
          <w:tcPr>
            <w:tcW w:w="2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Commercial and Industrial</w:t>
            </w:r>
          </w:p>
        </w:tc>
        <w:tc>
          <w:tcPr>
            <w:tcW w:w="210" w:type="dxa"/>
            <w:vAlign w:val="bottom"/>
            <w:tcBorders>
              <w:bottom w:val="single" w:sz="8" w:color="CCEEFF"/>
            </w:tcBorders>
            <w:shd w:val="clear" w:color="auto" w:fill="CCEEFF"/>
          </w:tcPr>
          <w:p>
            <w:pPr>
              <w:spacing w:after="0"/>
              <w:rPr>
                <w:sz w:val="13"/>
                <w:szCs w:val="13"/>
                <w:color w:val="auto"/>
              </w:rPr>
            </w:pPr>
          </w:p>
        </w:tc>
        <w:tc>
          <w:tcPr>
            <w:tcW w:w="107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4,814</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4,633</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9"/>
        </w:trPr>
        <w:tc>
          <w:tcPr>
            <w:tcW w:w="2180" w:type="dxa"/>
            <w:vAlign w:val="bottom"/>
          </w:tcPr>
          <w:p>
            <w:pPr>
              <w:ind w:left="220"/>
              <w:spacing w:after="0"/>
              <w:rPr>
                <w:sz w:val="20"/>
                <w:szCs w:val="20"/>
                <w:color w:val="auto"/>
              </w:rPr>
            </w:pPr>
            <w:r>
              <w:rPr>
                <w:rFonts w:ascii="Arial" w:cs="Arial" w:eastAsia="Arial" w:hAnsi="Arial"/>
                <w:sz w:val="13"/>
                <w:szCs w:val="13"/>
                <w:color w:val="auto"/>
              </w:rPr>
              <w:t>Correspondent Banks</w:t>
            </w:r>
          </w:p>
        </w:tc>
        <w:tc>
          <w:tcPr>
            <w:tcW w:w="210" w:type="dxa"/>
            <w:vAlign w:val="bottom"/>
          </w:tcPr>
          <w:p>
            <w:pPr>
              <w:spacing w:after="0"/>
              <w:rPr>
                <w:sz w:val="14"/>
                <w:szCs w:val="14"/>
                <w:color w:val="auto"/>
              </w:rPr>
            </w:pPr>
          </w:p>
        </w:tc>
        <w:tc>
          <w:tcPr>
            <w:tcW w:w="1070" w:type="dxa"/>
            <w:vAlign w:val="bottom"/>
          </w:tcPr>
          <w:p>
            <w:pPr>
              <w:jc w:val="right"/>
              <w:ind w:right="16"/>
              <w:spacing w:after="0"/>
              <w:rPr>
                <w:sz w:val="20"/>
                <w:szCs w:val="20"/>
                <w:color w:val="auto"/>
              </w:rPr>
            </w:pPr>
            <w:r>
              <w:rPr>
                <w:rFonts w:ascii="Arial" w:cs="Arial" w:eastAsia="Arial" w:hAnsi="Arial"/>
                <w:sz w:val="13"/>
                <w:szCs w:val="13"/>
                <w:color w:val="auto"/>
              </w:rPr>
              <w:t>1,015</w:t>
            </w:r>
          </w:p>
        </w:tc>
        <w:tc>
          <w:tcPr>
            <w:tcW w:w="20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5.9</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654</w:t>
            </w:r>
          </w:p>
        </w:tc>
        <w:tc>
          <w:tcPr>
            <w:tcW w:w="1300" w:type="dxa"/>
            <w:vAlign w:val="bottom"/>
            <w:gridSpan w:val="3"/>
          </w:tcPr>
          <w:p>
            <w:pPr>
              <w:jc w:val="right"/>
              <w:ind w:right="16"/>
              <w:spacing w:after="0"/>
              <w:rPr>
                <w:sz w:val="20"/>
                <w:szCs w:val="20"/>
                <w:color w:val="auto"/>
              </w:rPr>
            </w:pPr>
            <w:r>
              <w:rPr>
                <w:rFonts w:ascii="Arial" w:cs="Arial" w:eastAsia="Arial" w:hAnsi="Arial"/>
                <w:sz w:val="13"/>
                <w:szCs w:val="13"/>
                <w:color w:val="auto"/>
              </w:rPr>
              <w:t>4.2</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56"/>
        </w:trPr>
        <w:tc>
          <w:tcPr>
            <w:tcW w:w="2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Consumer and Other</w:t>
            </w:r>
          </w:p>
        </w:tc>
        <w:tc>
          <w:tcPr>
            <w:tcW w:w="210" w:type="dxa"/>
            <w:vAlign w:val="bottom"/>
            <w:tcBorders>
              <w:bottom w:val="single" w:sz="8" w:color="auto"/>
            </w:tcBorders>
            <w:shd w:val="clear" w:color="auto" w:fill="CCEEFF"/>
          </w:tcPr>
          <w:p>
            <w:pPr>
              <w:spacing w:after="0"/>
              <w:rPr>
                <w:sz w:val="13"/>
                <w:szCs w:val="13"/>
                <w:color w:val="auto"/>
              </w:rPr>
            </w:pPr>
          </w:p>
        </w:tc>
        <w:tc>
          <w:tcPr>
            <w:tcW w:w="107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4,287</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4,874</w:t>
            </w:r>
          </w:p>
        </w:tc>
        <w:tc>
          <w:tcPr>
            <w:tcW w:w="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96"/>
        </w:trPr>
        <w:tc>
          <w:tcPr>
            <w:tcW w:w="2180" w:type="dxa"/>
            <w:vAlign w:val="bottom"/>
          </w:tcPr>
          <w:p>
            <w:pPr>
              <w:ind w:left="220"/>
              <w:spacing w:after="0"/>
              <w:rPr>
                <w:sz w:val="20"/>
                <w:szCs w:val="20"/>
                <w:color w:val="auto"/>
              </w:rPr>
            </w:pPr>
            <w:r>
              <w:rPr>
                <w:rFonts w:ascii="Arial" w:cs="Arial" w:eastAsia="Arial" w:hAnsi="Arial"/>
                <w:sz w:val="13"/>
                <w:szCs w:val="13"/>
                <w:color w:val="auto"/>
              </w:rPr>
              <w:t>Total</w:t>
            </w:r>
          </w:p>
        </w:tc>
        <w:tc>
          <w:tcPr>
            <w:tcW w:w="210" w:type="dxa"/>
            <w:vAlign w:val="bottom"/>
          </w:tcPr>
          <w:p>
            <w:pPr>
              <w:jc w:val="right"/>
              <w:ind w:right="46"/>
              <w:spacing w:after="0"/>
              <w:rPr>
                <w:sz w:val="20"/>
                <w:szCs w:val="20"/>
                <w:color w:val="auto"/>
              </w:rPr>
            </w:pPr>
            <w:r>
              <w:rPr>
                <w:rFonts w:ascii="Arial" w:cs="Arial" w:eastAsia="Arial" w:hAnsi="Arial"/>
                <w:sz w:val="13"/>
                <w:szCs w:val="13"/>
                <w:color w:val="auto"/>
              </w:rPr>
              <w:t>$</w:t>
            </w:r>
          </w:p>
        </w:tc>
        <w:tc>
          <w:tcPr>
            <w:tcW w:w="1070" w:type="dxa"/>
            <w:vAlign w:val="bottom"/>
          </w:tcPr>
          <w:p>
            <w:pPr>
              <w:jc w:val="right"/>
              <w:ind w:right="16"/>
              <w:spacing w:after="0"/>
              <w:rPr>
                <w:sz w:val="20"/>
                <w:szCs w:val="20"/>
                <w:color w:val="auto"/>
              </w:rPr>
            </w:pPr>
            <w:r>
              <w:rPr>
                <w:rFonts w:ascii="Arial" w:cs="Arial" w:eastAsia="Arial" w:hAnsi="Arial"/>
                <w:sz w:val="13"/>
                <w:szCs w:val="13"/>
                <w:color w:val="auto"/>
              </w:rPr>
              <w:t>25,500</w:t>
            </w:r>
          </w:p>
        </w:tc>
        <w:tc>
          <w:tcPr>
            <w:tcW w:w="2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50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24,070</w:t>
            </w:r>
          </w:p>
        </w:tc>
        <w:tc>
          <w:tcPr>
            <w:tcW w:w="146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r>
      <w:tr>
        <w:trPr>
          <w:trHeight w:val="24"/>
        </w:trPr>
        <w:tc>
          <w:tcPr>
            <w:tcW w:w="2180" w:type="dxa"/>
            <w:vAlign w:val="bottom"/>
          </w:tcPr>
          <w:p>
            <w:pPr>
              <w:spacing w:after="0"/>
              <w:rPr>
                <w:sz w:val="2"/>
                <w:szCs w:val="2"/>
                <w:color w:val="auto"/>
              </w:rPr>
            </w:pPr>
          </w:p>
        </w:tc>
        <w:tc>
          <w:tcPr>
            <w:tcW w:w="210" w:type="dxa"/>
            <w:vAlign w:val="bottom"/>
            <w:tcBorders>
              <w:bottom w:val="single" w:sz="8" w:color="auto"/>
            </w:tcBorders>
          </w:tcPr>
          <w:p>
            <w:pPr>
              <w:spacing w:after="0"/>
              <w:rPr>
                <w:sz w:val="2"/>
                <w:szCs w:val="2"/>
                <w:color w:val="auto"/>
              </w:rPr>
            </w:pPr>
          </w:p>
        </w:tc>
        <w:tc>
          <w:tcPr>
            <w:tcW w:w="107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68" w:name="page69"/>
    <w:bookmarkEnd w:id="6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At December 31, 2025, the combined cash surrender value of all bank-owned life insurance (“BOLI”) policies was $59.4 million. Changes in cash surrender value are recorded in non-interest income on the Consolidated Statements of Operations. In 2025, the Company maintained BOLI policies with five insurance carriers. The Company is the beneficiary of these policies.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SMBs, and the personal business of owners and operators of these SMBs, as well as the retail/consumer relationships of the employees of these businesses. Our focus on quality and customer service has created a strong brand recognition within our depositors, which reflects in the composition of our deposits; most of our funding sources are customer deposits. In addition to our banking centers network, we have developed business verticals to diversify our portfolio in different specialty industries and we offer public fund deposit products to municipalities and public agencies in our geographical footprint.</w:t>
      </w:r>
    </w:p>
    <w:p>
      <w:pPr>
        <w:spacing w:after="0" w:line="141"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Furthermore, our personal and private banking management line of business is focused on the needs of the owners and operators of our business customers, offering a suite of checking, savings, money market and time deposit accounts, and utilizing superior client service to build and expand client relationships. A unique aspect of our business model is our ability to offer correspondent services to banks in Central America and the Caribbean.</w:t>
      </w:r>
    </w:p>
    <w:p>
      <w:pPr>
        <w:spacing w:after="0" w:line="124"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years ended December 31, 2025 and 2024 (in thousands, except ratios):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3"/>
                <w:szCs w:val="13"/>
                <w:b w:val="1"/>
                <w:bCs w:val="1"/>
                <w:color w:val="auto"/>
              </w:rPr>
              <w:t>Years Ended December 31,</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3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r>
      <w:tr>
        <w:trPr>
          <w:trHeight w:val="151"/>
        </w:trPr>
        <w:tc>
          <w:tcPr>
            <w:tcW w:w="3200" w:type="dxa"/>
            <w:vAlign w:val="bottom"/>
          </w:tcPr>
          <w:p>
            <w:pPr>
              <w:spacing w:after="0"/>
              <w:rPr>
                <w:sz w:val="13"/>
                <w:szCs w:val="13"/>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60" w:type="dxa"/>
            <w:vAlign w:val="bottom"/>
          </w:tcPr>
          <w:p>
            <w:pPr>
              <w:spacing w:after="0"/>
              <w:rPr>
                <w:sz w:val="13"/>
                <w:szCs w:val="13"/>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3"/>
                <w:szCs w:val="13"/>
                <w:color w:val="auto"/>
              </w:rPr>
            </w:pPr>
          </w:p>
        </w:tc>
      </w:tr>
      <w:tr>
        <w:trPr>
          <w:trHeight w:val="16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 bearing demand deposits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577,232</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596,073</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demand deposits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51,803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54,667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2.76%</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Savings and money market deposits</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1,255,719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1,109,853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470,213</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3.85%</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326,373</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4.09%</w:t>
            </w:r>
          </w:p>
        </w:tc>
        <w:tc>
          <w:tcPr>
            <w:tcW w:w="20" w:type="dxa"/>
            <w:vAlign w:val="bottom"/>
            <w:tcBorders>
              <w:bottom w:val="single" w:sz="8" w:color="CCEEFF"/>
            </w:tcBorders>
          </w:tcPr>
          <w:p>
            <w:pPr>
              <w:spacing w:after="0"/>
              <w:rPr>
                <w:sz w:val="14"/>
                <w:szCs w:val="14"/>
                <w:color w:val="auto"/>
              </w:rPr>
            </w:pPr>
          </w:p>
        </w:tc>
      </w:tr>
      <w:tr>
        <w:trPr>
          <w:trHeight w:val="172"/>
        </w:trPr>
        <w:tc>
          <w:tcPr>
            <w:tcW w:w="3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2,354,967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2,086,966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20" w:type="dxa"/>
            <w:vAlign w:val="bottom"/>
            <w:shd w:val="clear" w:color="auto" w:fill="CCEEFF"/>
          </w:tcPr>
          <w:p>
            <w:pPr>
              <w:spacing w:after="0"/>
              <w:rPr>
                <w:sz w:val="14"/>
                <w:szCs w:val="14"/>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Total average deposits for the year ended December 31, 2025 was $2.4 billion, an increase of $268.0 million, or 12.8% over total average deposits of $2.1 billion for the same period in 2024. The greatest increase was in savings and money market deposits which increased by $145.9 million, or 13.1%. Non-interest-bearing demand deposits decreased by $18.8 million or 3.2%.</w:t>
      </w:r>
    </w:p>
    <w:p>
      <w:pPr>
        <w:spacing w:after="0" w:line="121"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Bank per account holder. Total estimated uninsured deposits was $1.2 billion at December 31, 2025 and at December 31, 2024. As of December 31, 2025, 49% of our deposits were estimated to be FDIC-insured. At December 31, 2025, our deposit portfolio included 7% of total deposits were public funds (partially collateralized), 11% of total deposits were brokered deposits (FDIC-insured), and 8% were deposits in ICS/CDARs deposit programs (FDIC-insured). The estimated average account size of our deposit portfolio is $113 thousand. Time deposits with balances of $250 thousand or more totaled $111.5 million and $94.0 million at December 31, 2025 and 2024, respectively. At December 31, 2025, our top 10 depositors held 15.59% of our total deposit portfolio. At December 31, 2024, our top 10 depositors held 16.7% of our total deposit portfolio.</w:t>
      </w:r>
    </w:p>
    <w:p>
      <w:pPr>
        <w:spacing w:after="0" w:line="14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w:t>
      </w:r>
    </w:p>
    <w:p>
      <w:pPr>
        <w:spacing w:after="0" w:line="3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69" w:name="page70"/>
    <w:bookmarkEnd w:id="6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719"/>
        <w:spacing w:after="0" w:line="276" w:lineRule="auto"/>
        <w:rPr>
          <w:sz w:val="20"/>
          <w:szCs w:val="20"/>
          <w:color w:val="auto"/>
        </w:rPr>
      </w:pPr>
      <w:r>
        <w:rPr>
          <w:rFonts w:ascii="Arial" w:cs="Arial" w:eastAsia="Arial" w:hAnsi="Arial"/>
          <w:sz w:val="14"/>
          <w:szCs w:val="14"/>
          <w:color w:val="auto"/>
        </w:rPr>
        <w:t>requirements; and internal controls and internal audit processes sufficient to determine the adequacy of the institution’s liquidity risk management process.</w:t>
      </w:r>
    </w:p>
    <w:p>
      <w:pPr>
        <w:spacing w:after="0" w:line="12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services certificates of deposit, Fed Funds lines and borrowings from the FHLB Atlanta. Accordingly, our liquidity resources were at sufficient levels to fund loans and meet other cash needs as necessary.</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following table shows scheduled maturities of uninsured time deposits as of December 31, 2025 (in thousands):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500"/>
              <w:spacing w:after="0"/>
              <w:rPr>
                <w:sz w:val="20"/>
                <w:szCs w:val="20"/>
                <w:color w:val="auto"/>
              </w:rPr>
            </w:pPr>
            <w:r>
              <w:rPr>
                <w:rFonts w:ascii="Arial" w:cs="Arial" w:eastAsia="Arial" w:hAnsi="Arial"/>
                <w:sz w:val="13"/>
                <w:szCs w:val="13"/>
                <w:b w:val="1"/>
                <w:bCs w:val="1"/>
                <w:color w:val="auto"/>
              </w:rPr>
              <w:t>Total</w:t>
            </w:r>
          </w:p>
        </w:tc>
      </w:tr>
      <w:tr>
        <w:trPr>
          <w:trHeight w:val="172"/>
        </w:trPr>
        <w:tc>
          <w:tcPr>
            <w:tcW w:w="6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Three months or less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59,593</w:t>
            </w:r>
          </w:p>
        </w:tc>
        <w:tc>
          <w:tcPr>
            <w:tcW w:w="20" w:type="dxa"/>
            <w:vAlign w:val="bottom"/>
            <w:shd w:val="clear" w:color="auto" w:fill="CCEEFF"/>
          </w:tcPr>
          <w:p>
            <w:pPr>
              <w:spacing w:after="0"/>
              <w:rPr>
                <w:sz w:val="14"/>
                <w:szCs w:val="14"/>
                <w:color w:val="auto"/>
              </w:rPr>
            </w:pPr>
          </w:p>
        </w:tc>
      </w:tr>
      <w:tr>
        <w:trPr>
          <w:trHeight w:val="181"/>
        </w:trPr>
        <w:tc>
          <w:tcPr>
            <w:tcW w:w="6280" w:type="dxa"/>
            <w:vAlign w:val="bottom"/>
          </w:tcPr>
          <w:p>
            <w:pPr>
              <w:ind w:left="40"/>
              <w:spacing w:after="0"/>
              <w:rPr>
                <w:sz w:val="20"/>
                <w:szCs w:val="20"/>
                <w:color w:val="auto"/>
              </w:rPr>
            </w:pPr>
            <w:r>
              <w:rPr>
                <w:rFonts w:ascii="Arial" w:cs="Arial" w:eastAsia="Arial" w:hAnsi="Arial"/>
                <w:sz w:val="13"/>
                <w:szCs w:val="13"/>
                <w:color w:val="auto"/>
              </w:rPr>
              <w:t>Over three through six months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16,190</w:t>
            </w:r>
          </w:p>
        </w:tc>
        <w:tc>
          <w:tcPr>
            <w:tcW w:w="20" w:type="dxa"/>
            <w:vAlign w:val="bottom"/>
          </w:tcPr>
          <w:p>
            <w:pPr>
              <w:spacing w:after="0"/>
              <w:rPr>
                <w:sz w:val="15"/>
                <w:szCs w:val="15"/>
                <w:color w:val="auto"/>
              </w:rPr>
            </w:pPr>
          </w:p>
        </w:tc>
      </w:tr>
      <w:tr>
        <w:trPr>
          <w:trHeight w:val="181"/>
        </w:trPr>
        <w:tc>
          <w:tcPr>
            <w:tcW w:w="6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Over six through twelve months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9,552</w:t>
            </w:r>
          </w:p>
        </w:tc>
        <w:tc>
          <w:tcPr>
            <w:tcW w:w="20" w:type="dxa"/>
            <w:vAlign w:val="bottom"/>
            <w:shd w:val="clear" w:color="auto" w:fill="CCEEFF"/>
          </w:tcPr>
          <w:p>
            <w:pPr>
              <w:spacing w:after="0"/>
              <w:rPr>
                <w:sz w:val="15"/>
                <w:szCs w:val="15"/>
                <w:color w:val="auto"/>
              </w:rPr>
            </w:pPr>
          </w:p>
        </w:tc>
      </w:tr>
      <w:tr>
        <w:trPr>
          <w:trHeight w:val="191"/>
        </w:trPr>
        <w:tc>
          <w:tcPr>
            <w:tcW w:w="6280" w:type="dxa"/>
            <w:vAlign w:val="bottom"/>
          </w:tcPr>
          <w:p>
            <w:pPr>
              <w:ind w:left="40"/>
              <w:spacing w:after="0"/>
              <w:rPr>
                <w:sz w:val="20"/>
                <w:szCs w:val="20"/>
                <w:color w:val="auto"/>
              </w:rPr>
            </w:pPr>
            <w:r>
              <w:rPr>
                <w:rFonts w:ascii="Arial" w:cs="Arial" w:eastAsia="Arial" w:hAnsi="Arial"/>
                <w:sz w:val="13"/>
                <w:szCs w:val="13"/>
                <w:color w:val="auto"/>
              </w:rPr>
              <w:t>Over twelve months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26,146</w:t>
            </w:r>
          </w:p>
        </w:tc>
        <w:tc>
          <w:tcPr>
            <w:tcW w:w="20" w:type="dxa"/>
            <w:vAlign w:val="bottom"/>
          </w:tcPr>
          <w:p>
            <w:pPr>
              <w:spacing w:after="0"/>
              <w:rPr>
                <w:sz w:val="16"/>
                <w:szCs w:val="16"/>
                <w:color w:val="auto"/>
              </w:rPr>
            </w:pPr>
          </w:p>
        </w:tc>
      </w:tr>
      <w:tr>
        <w:trPr>
          <w:trHeight w:val="152"/>
        </w:trPr>
        <w:tc>
          <w:tcPr>
            <w:tcW w:w="6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111,481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FHLB Advances</w:t>
      </w:r>
    </w:p>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As a member of the FHLB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Outstanding fixed-rate advances from the FHLB were at $158.3 million and $163.0 million, as of December 31, 2025, and December 31, 2024, respectively. The weighted average rate for outstanding FHLB advances was 3.8% as of December 31, 2025 and 2024.</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fixed-rate advances as of December 31, 2025 (in thousands):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2025</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Maturity Date</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r>
      <w:tr>
        <w:trPr>
          <w:trHeight w:val="16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March 16, 2026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104,750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3.88%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6"/>
              </w:rPr>
              <w:t>Variable</w:t>
            </w:r>
          </w:p>
        </w:tc>
        <w:tc>
          <w:tcPr>
            <w:tcW w:w="60" w:type="dxa"/>
            <w:vAlign w:val="bottom"/>
          </w:tcPr>
          <w:p>
            <w:pPr>
              <w:spacing w:after="0"/>
              <w:rPr>
                <w:sz w:val="14"/>
                <w:szCs w:val="1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3"/>
                <w:szCs w:val="13"/>
                <w:color w:val="auto"/>
              </w:rPr>
              <w:t>May 22, 2026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42,500</w:t>
            </w:r>
          </w:p>
        </w:tc>
        <w:tc>
          <w:tcPr>
            <w:tcW w:w="20" w:type="dxa"/>
            <w:vAlign w:val="bottom"/>
          </w:tcPr>
          <w:p>
            <w:pPr>
              <w:spacing w:after="0"/>
              <w:rPr>
                <w:sz w:val="14"/>
                <w:szCs w:val="14"/>
                <w:color w:val="auto"/>
              </w:rPr>
            </w:pPr>
          </w:p>
        </w:tc>
      </w:tr>
      <w:tr>
        <w:trPr>
          <w:trHeight w:val="160"/>
        </w:trPr>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3.76%</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January 24, 2028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158,250</w:t>
            </w:r>
          </w:p>
        </w:tc>
        <w:tc>
          <w:tcPr>
            <w:tcW w:w="20" w:type="dxa"/>
            <w:vAlign w:val="bottom"/>
          </w:tcPr>
          <w:p>
            <w:pPr>
              <w:spacing w:after="0"/>
              <w:rPr>
                <w:sz w:val="14"/>
                <w:szCs w:val="14"/>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2024</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r>
      <w:tr>
        <w:trPr>
          <w:trHeight w:val="16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July 18,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January 24, 2028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3.77%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3"/>
                <w:szCs w:val="13"/>
                <w:color w:val="auto"/>
              </w:rPr>
              <w:t>April 25, 2028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Pr>
          <w:p>
            <w:pPr>
              <w:spacing w:after="0"/>
              <w:rPr>
                <w:sz w:val="14"/>
                <w:szCs w:val="14"/>
                <w:color w:val="auto"/>
              </w:rPr>
            </w:pPr>
          </w:p>
        </w:tc>
      </w:tr>
      <w:tr>
        <w:trPr>
          <w:trHeight w:val="17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3.68%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September 13, 2027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3.79%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March 23,</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20,000</w:t>
            </w:r>
          </w:p>
        </w:tc>
        <w:tc>
          <w:tcPr>
            <w:tcW w:w="20" w:type="dxa"/>
            <w:vAlign w:val="bottom"/>
          </w:tcPr>
          <w:p>
            <w:pPr>
              <w:spacing w:after="0"/>
              <w:rPr>
                <w:sz w:val="14"/>
                <w:szCs w:val="14"/>
                <w:color w:val="auto"/>
              </w:rPr>
            </w:pPr>
          </w:p>
        </w:tc>
      </w:tr>
      <w:tr>
        <w:trPr>
          <w:trHeight w:val="160"/>
        </w:trPr>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4.65%</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February 13, 2025</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4"/>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163,000</w:t>
            </w:r>
          </w:p>
        </w:tc>
        <w:tc>
          <w:tcPr>
            <w:tcW w:w="20" w:type="dxa"/>
            <w:vAlign w:val="bottom"/>
            <w:tcBorders>
              <w:bottom w:val="single" w:sz="8" w:color="auto"/>
            </w:tcBorders>
          </w:tcPr>
          <w:p>
            <w:pPr>
              <w:spacing w:after="0"/>
              <w:rPr>
                <w:sz w:val="16"/>
                <w:szCs w:val="16"/>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December 31, 2025, there were no outstanding balances under the Fed Funds lines of credit.</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30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0" w:name="page71"/>
    <w:bookmarkEnd w:id="7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paid off $80 million in borrowings under the BTFP program during the third quarter of 2024. The original maturity of this borrowing by the Bank under the BTFP program was January 2025, and there are no remaining borrowings under this program.</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Subordinated Notes</w:t>
      </w:r>
    </w:p>
    <w:p>
      <w:pPr>
        <w:spacing w:after="0" w:line="168" w:lineRule="exact"/>
        <w:rPr>
          <w:sz w:val="20"/>
          <w:szCs w:val="20"/>
          <w:color w:val="auto"/>
        </w:rPr>
      </w:pPr>
    </w:p>
    <w:p>
      <w:pPr>
        <w:ind w:left="660" w:right="619" w:firstLine="256"/>
        <w:spacing w:after="0" w:line="248" w:lineRule="auto"/>
        <w:rPr>
          <w:sz w:val="20"/>
          <w:szCs w:val="20"/>
          <w:color w:val="auto"/>
        </w:rPr>
      </w:pPr>
      <w:r>
        <w:rPr>
          <w:rFonts w:ascii="Arial" w:cs="Arial" w:eastAsia="Arial" w:hAnsi="Arial"/>
          <w:sz w:val="14"/>
          <w:szCs w:val="14"/>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2035. The Notes were issued by the Company to the purchasers at a price equal to 100% of their face amount. The Notes were offered and sold by the Company in a private placement transaction in reliance on exemptions from the registration requirements of the Securities Act, pursuant to Section 4(a)(2) of the Securities Act and Rule 506(b) of Regulation D thereunder. For additional information, see the Form 8-K the Company filed on August 14, 2025.The subordinated debt was originally issued at a cost of $760 thousand. The carrying value of the issuance cost has been reduced to $700 thousand, reflecting the scheduled expense recognition over the term of the subordinated debt. The subordinated notes are presented net of these costs on the consolidated balance sheet. At December 31, 2025, the outstanding balance of subordinated notes, net of costs, totaled $39.3 million.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as we do for on-balance sheet items. We are not aware of any accounting loss to be incurred by funding these commitments; however, we maintain an allowance for off-balance sheet credit risk which is recorded under accrued interest and other liabilities on the Consolidated Balance Sheets.</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the actual future cash funding requirements . The following table presents lending related commitments outstanding as of December 31, 2025 and 2024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December 31, 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auto"/>
              </w:rPr>
              <w:t>December 31, 2024</w:t>
            </w:r>
          </w:p>
        </w:tc>
      </w:tr>
      <w:tr>
        <w:trPr>
          <w:trHeight w:val="161"/>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161,606</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122,578</w:t>
            </w:r>
          </w:p>
        </w:tc>
        <w:tc>
          <w:tcPr>
            <w:tcW w:w="20" w:type="dxa"/>
            <w:vAlign w:val="bottom"/>
            <w:shd w:val="clear" w:color="auto" w:fill="CCEEFF"/>
          </w:tcPr>
          <w:p>
            <w:pPr>
              <w:spacing w:after="0"/>
              <w:rPr>
                <w:sz w:val="14"/>
                <w:szCs w:val="14"/>
                <w:color w:val="auto"/>
              </w:rPr>
            </w:pPr>
          </w:p>
        </w:tc>
      </w:tr>
      <w:tr>
        <w:trPr>
          <w:trHeight w:val="180"/>
        </w:trPr>
        <w:tc>
          <w:tcPr>
            <w:tcW w:w="5040" w:type="dxa"/>
            <w:vAlign w:val="bottom"/>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2,700</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5,389</w:t>
            </w:r>
          </w:p>
        </w:tc>
        <w:tc>
          <w:tcPr>
            <w:tcW w:w="20" w:type="dxa"/>
            <w:vAlign w:val="bottom"/>
          </w:tcPr>
          <w:p>
            <w:pPr>
              <w:spacing w:after="0"/>
              <w:rPr>
                <w:sz w:val="15"/>
                <w:szCs w:val="15"/>
                <w:color w:val="auto"/>
              </w:rPr>
            </w:pPr>
          </w:p>
        </w:tc>
      </w:tr>
      <w:tr>
        <w:trPr>
          <w:trHeight w:val="152"/>
        </w:trPr>
        <w:tc>
          <w:tcPr>
            <w:tcW w:w="50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ind w:right="30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164,306</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127,967</w:t>
            </w:r>
          </w:p>
        </w:tc>
        <w:tc>
          <w:tcPr>
            <w:tcW w:w="20" w:type="dxa"/>
            <w:vAlign w:val="bottom"/>
            <w:shd w:val="clear" w:color="auto" w:fill="CCEEFF"/>
          </w:tcPr>
          <w:p>
            <w:pPr>
              <w:spacing w:after="0"/>
              <w:rPr>
                <w:sz w:val="13"/>
                <w:szCs w:val="13"/>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number of future payments we could be required to make is represented by the contractual amount of the commitment, less the amount of any advances made.</w:t>
      </w:r>
    </w:p>
    <w:p>
      <w:pPr>
        <w:spacing w:after="0" w:line="135"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5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asset and liability management committee of our Company, or ALCO, consists of members of senior management and our Board. Senior management is responsible for ensuring in a timely manner that Board approved strategies, policies, and procedures for managing and mitigating risks are appropriately executed within the designated lines of authority and responsibility.</w:t>
      </w:r>
    </w:p>
    <w:p>
      <w:pPr>
        <w:spacing w:after="0" w:line="200" w:lineRule="exact"/>
        <w:rPr>
          <w:sz w:val="20"/>
          <w:szCs w:val="20"/>
          <w:color w:val="auto"/>
        </w:rPr>
      </w:pPr>
    </w:p>
    <w:p>
      <w:pPr>
        <w:spacing w:after="0" w:line="27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1" w:name="page72"/>
    <w:bookmarkEnd w:id="7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While some degree of interest rate risk (“IRR”) exposure is inherent to the banking business, our ALCO has established what it believes are sound risk management practices in place to identify, measure, monitor and mitigate IRR exposures.</w:t>
      </w:r>
    </w:p>
    <w:p>
      <w:pPr>
        <w:spacing w:after="0" w:line="12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statement of operations, management considers both earnings and economic impacts. Asset price variations, deposits volatility and reduced earnings or outright losses could adversely affect the Company’s liquidity, performance, and capital adequacy.</w:t>
      </w:r>
    </w:p>
    <w:p>
      <w:pPr>
        <w:spacing w:after="0" w:line="11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To have a more complete picture of IRR, the Company also evaluates the economic value of equity. This assessment allows us to measure the degree to which the economic values will change under different interest rate scenarios. The economic value of equity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0" w:lineRule="exact"/>
        <w:rPr>
          <w:sz w:val="20"/>
          <w:szCs w:val="20"/>
          <w:color w:val="auto"/>
        </w:rPr>
      </w:pPr>
    </w:p>
    <w:p>
      <w:pPr>
        <w:jc w:val="both"/>
        <w:ind w:left="660" w:right="679" w:firstLine="299"/>
        <w:spacing w:after="0" w:line="248" w:lineRule="auto"/>
        <w:rPr>
          <w:sz w:val="20"/>
          <w:szCs w:val="20"/>
          <w:color w:val="auto"/>
        </w:rPr>
      </w:pPr>
      <w:r>
        <w:rPr>
          <w:rFonts w:ascii="Arial" w:cs="Arial" w:eastAsia="Arial" w:hAnsi="Arial"/>
          <w:sz w:val="14"/>
          <w:szCs w:val="14"/>
          <w:color w:val="auto"/>
        </w:rPr>
        <w:t>As of December 31, 2025, both the static and dynamic scenarios of the ALCO model indicate that the Bank’s balance sheet is liability sensitive in year one. This means that our liabilities reprice more quickly than our assets, resulting in a favorable expansion in net interest income (NII) when market interest rates decline. For year two, the static model shifts to a neutral position, while the dynamic model reflects an asset sensitive posture, driven primarily by projected balance sheet growth. This divergence is expected, as the dynamic model incorporates forward looking assumptions that include loan growth and mix shifts over time. Many assumptions are used to calculate the impact of interest rate variations on our net interest income, such as asset prepayment speeds, non-maturity deposit price sensitivity, pricing correlations, deposit truncations and decay rates, and key interest rate drivers .</w:t>
      </w:r>
    </w:p>
    <w:p>
      <w:pPr>
        <w:spacing w:after="0" w:line="131"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the economic value of equity do not include actions that management may undertake to manage the risks in response to anticipated changes in interest rates or client deposit behavior. As part of our ALM strategy and policy, management has the ability to modify the balance sheet to either increase or decrease asset duration and increase or decrease liability duration to modify the balance sheet sensitivity to interest rates.</w:t>
      </w:r>
    </w:p>
    <w:p>
      <w:pPr>
        <w:spacing w:after="0" w:line="13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interest rates will have a negative impact on the EVE. Results and analysis are presented quarterly to the ALCO, and strategies are reviewed and refined. The Bank remains within policy limits for long-term interest rate risk based on EVE results as of December 31, 2025. The balance sheet shows larger EVE swings when rates go up than when rates go down. This happens because, in rising rate scenarios, the value of our longer term assets falls more quickly, especially when loan prepayments slow while our liabilities do not reprice as fast. In contrast, when rates decline, faster loan prepayments and quicker asset repricing help soften the impact on EVE. Additionally, during 2025, we have been taking actions to reduce our asset sensitivity by extending asset duration. This has reduced our NII volatility for the first and second year in the analysis and has helped us to maintain the NII in accordance with ALCO expectations.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0" w:lineRule="exact"/>
        <w:rPr>
          <w:sz w:val="20"/>
          <w:szCs w:val="20"/>
          <w:color w:val="auto"/>
        </w:rPr>
      </w:pPr>
    </w:p>
    <w:p>
      <w:pPr>
        <w:jc w:val="both"/>
        <w:ind w:left="660" w:right="679" w:firstLine="299"/>
        <w:spacing w:after="0" w:line="294"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36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2" w:name="page73"/>
    <w:bookmarkEnd w:id="7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adequate funding on acceptable terms in a timely matter. The Company’s obligations, and the funding sources used to meet them, depend significantly on our business mix, balance sheet structure and composition, credit quality of our assets, interest rate environment and the cash flow profiles of our on- and off-balance sheet obligations.</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managing cash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 Management presents to the ALCO, on a quarterly basis, liquidity stress tests following the scenarios described in the Company’s contingency funding plan.</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Changes in macroeconomic conditions, exposure to credit deterioration, market, operational, legal and reputational risks, including cybersecurity risk and social media events could also affect the Company’s liquidity risk profile unexpectedly and are considered in the assessment of liquidity and ALM framework.</w:t>
      </w:r>
    </w:p>
    <w:p>
      <w:pPr>
        <w:spacing w:after="0" w:line="11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2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involvement by senior management;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41"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 At December 31, 2025, the Company had $321.4 million in available liquidity on balance sheet, including $286.9 million in unpledged securities available to use as collateral and $34.5 million in excess cash. The Company had an additional $349.0 million in off-balance sheet liquidity including excess FHLB Atlanta borrowing capacity, the Federal Reserve Bank discount window and Fed Fund lines of credit, excluding access to brokered deposits and other off-balance sheet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3" w:name="page74"/>
    <w:bookmarkEnd w:id="7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As of December 31, 2025, the Bank was well capitalized under the FDIC’s prompt corrective action framework. Additionally, we follow the capital conservation buffer framework, and according to our actual ratios, the Bank exceeds the capital conversation buffer in all capital ratios as of December 31, 2025. The Company is not subject to regulatory capital requirements because it is deemed by the Federal Reserve to be a small bank holding company.</w:t>
      </w:r>
    </w:p>
    <w:p>
      <w:pPr>
        <w:spacing w:after="0" w:line="137"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following table presents the capital ratios for the Bank at December 31, 2025 and 2024 (in thousands, except ratios):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7"/>
              </w:rPr>
              <w:t>To be Well Capitalized Under</w:t>
            </w:r>
          </w:p>
        </w:tc>
        <w:tc>
          <w:tcPr>
            <w:tcW w:w="20" w:type="dxa"/>
            <w:vAlign w:val="bottom"/>
          </w:tcPr>
          <w:p>
            <w:pPr>
              <w:spacing w:after="0"/>
              <w:rPr>
                <w:sz w:val="13"/>
                <w:szCs w:val="13"/>
                <w:color w:val="auto"/>
              </w:rPr>
            </w:pPr>
          </w:p>
        </w:tc>
      </w:tr>
      <w:tr>
        <w:trPr>
          <w:trHeight w:val="149"/>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3"/>
          </w:tcPr>
          <w:p>
            <w:pPr>
              <w:jc w:val="right"/>
              <w:ind w:right="316"/>
              <w:spacing w:after="0"/>
              <w:rPr>
                <w:sz w:val="20"/>
                <w:szCs w:val="20"/>
                <w:color w:val="auto"/>
              </w:rPr>
            </w:pPr>
            <w:r>
              <w:rPr>
                <w:rFonts w:ascii="Arial" w:cs="Arial" w:eastAsia="Arial" w:hAnsi="Arial"/>
                <w:sz w:val="13"/>
                <w:szCs w:val="13"/>
                <w:b w:val="1"/>
                <w:bCs w:val="1"/>
                <w:color w:val="auto"/>
              </w:rPr>
              <w:t>Minimum Capital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9"/>
              </w:rPr>
              <w:t>Prompt Corrective Action</w:t>
            </w:r>
          </w:p>
        </w:tc>
        <w:tc>
          <w:tcPr>
            <w:tcW w:w="2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Actual</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3"/>
                <w:szCs w:val="13"/>
                <w:b w:val="1"/>
                <w:bCs w:val="1"/>
                <w:color w:val="auto"/>
              </w:rPr>
              <w:t>Requirements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3"/>
                <w:szCs w:val="13"/>
                <w:b w:val="1"/>
                <w:bCs w:val="1"/>
                <w:color w:val="auto"/>
                <w:w w:val="99"/>
              </w:rPr>
              <w:t>Provisions</w:t>
            </w: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3"/>
          </w:tcPr>
          <w:p>
            <w:pPr>
              <w:ind w:left="60"/>
              <w:spacing w:after="0"/>
              <w:rPr>
                <w:sz w:val="20"/>
                <w:szCs w:val="20"/>
                <w:color w:val="auto"/>
              </w:rPr>
            </w:pPr>
            <w:r>
              <w:rPr>
                <w:rFonts w:ascii="Arial" w:cs="Arial" w:eastAsia="Arial" w:hAnsi="Arial"/>
                <w:sz w:val="13"/>
                <w:szCs w:val="13"/>
                <w:b w:val="1"/>
                <w:bCs w:val="1"/>
                <w:color w:val="auto"/>
              </w:rPr>
              <w:t>Ratio</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4"/>
          </w:tcPr>
          <w:p>
            <w:pPr>
              <w:ind w:left="220"/>
              <w:spacing w:after="0"/>
              <w:rPr>
                <w:sz w:val="20"/>
                <w:szCs w:val="20"/>
                <w:color w:val="auto"/>
              </w:rPr>
            </w:pPr>
            <w:r>
              <w:rPr>
                <w:rFonts w:ascii="Arial" w:cs="Arial" w:eastAsia="Arial" w:hAnsi="Arial"/>
                <w:sz w:val="13"/>
                <w:szCs w:val="13"/>
                <w:b w:val="1"/>
                <w:bCs w:val="1"/>
                <w:color w:val="auto"/>
              </w:rPr>
              <w:t>Amount</w:t>
            </w:r>
          </w:p>
        </w:tc>
        <w:tc>
          <w:tcPr>
            <w:tcW w:w="560" w:type="dxa"/>
            <w:vAlign w:val="bottom"/>
          </w:tcPr>
          <w:p>
            <w:pPr>
              <w:jc w:val="right"/>
              <w:ind w:right="156"/>
              <w:spacing w:after="0"/>
              <w:rPr>
                <w:sz w:val="20"/>
                <w:szCs w:val="20"/>
                <w:color w:val="auto"/>
              </w:rPr>
            </w:pPr>
            <w:r>
              <w:rPr>
                <w:rFonts w:ascii="Arial" w:cs="Arial" w:eastAsia="Arial" w:hAnsi="Arial"/>
                <w:sz w:val="13"/>
                <w:szCs w:val="13"/>
                <w:b w:val="1"/>
                <w:bCs w:val="1"/>
                <w:color w:val="auto"/>
                <w:w w:val="98"/>
              </w:rPr>
              <w:t>Ratio</w:t>
            </w:r>
          </w:p>
        </w:tc>
        <w:tc>
          <w:tcPr>
            <w:tcW w:w="20" w:type="dxa"/>
            <w:vAlign w:val="bottom"/>
          </w:tcPr>
          <w:p>
            <w:pPr>
              <w:spacing w:after="0"/>
              <w:rPr>
                <w:sz w:val="14"/>
                <w:szCs w:val="14"/>
                <w:color w:val="auto"/>
              </w:rPr>
            </w:pPr>
          </w:p>
        </w:tc>
      </w:tr>
      <w:tr>
        <w:trPr>
          <w:trHeight w:val="161"/>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299,596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13.67%</w:t>
            </w:r>
          </w:p>
        </w:tc>
        <w:tc>
          <w:tcPr>
            <w:tcW w:w="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280"/>
              <w:spacing w:after="0"/>
              <w:rPr>
                <w:sz w:val="20"/>
                <w:szCs w:val="20"/>
                <w:color w:val="auto"/>
              </w:rPr>
            </w:pPr>
            <w:r>
              <w:rPr>
                <w:rFonts w:ascii="Arial" w:cs="Arial" w:eastAsia="Arial" w:hAnsi="Arial"/>
                <w:sz w:val="13"/>
                <w:szCs w:val="13"/>
                <w:color w:val="auto"/>
              </w:rPr>
              <w:t>175,387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219,234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273,342</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131,541</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273,342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12.47%</w:t>
            </w:r>
          </w:p>
        </w:tc>
        <w:tc>
          <w:tcPr>
            <w:tcW w:w="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340"/>
              <w:spacing w:after="0"/>
              <w:rPr>
                <w:sz w:val="20"/>
                <w:szCs w:val="20"/>
                <w:color w:val="auto"/>
              </w:rPr>
            </w:pPr>
            <w:r>
              <w:rPr>
                <w:rFonts w:ascii="Arial" w:cs="Arial" w:eastAsia="Arial" w:hAnsi="Arial"/>
                <w:sz w:val="13"/>
                <w:szCs w:val="13"/>
                <w:color w:val="auto"/>
              </w:rPr>
              <w:t>98,655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142,502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273,342</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113,296</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r>
      <w:tr>
        <w:trPr>
          <w:trHeight w:val="17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266,387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13.34%</w:t>
            </w:r>
          </w:p>
        </w:tc>
        <w:tc>
          <w:tcPr>
            <w:tcW w:w="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280"/>
              <w:spacing w:after="0"/>
              <w:rPr>
                <w:sz w:val="20"/>
                <w:szCs w:val="20"/>
                <w:color w:val="auto"/>
              </w:rPr>
            </w:pPr>
            <w:r>
              <w:rPr>
                <w:rFonts w:ascii="Arial" w:cs="Arial" w:eastAsia="Arial" w:hAnsi="Arial"/>
                <w:sz w:val="13"/>
                <w:szCs w:val="13"/>
                <w:color w:val="auto"/>
              </w:rPr>
              <w:t>159,795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199,744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241,740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119,846</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241,740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12.10%</w:t>
            </w:r>
          </w:p>
        </w:tc>
        <w:tc>
          <w:tcPr>
            <w:tcW w:w="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340"/>
              <w:spacing w:after="0"/>
              <w:rPr>
                <w:sz w:val="20"/>
                <w:szCs w:val="20"/>
                <w:color w:val="auto"/>
              </w:rPr>
            </w:pPr>
            <w:r>
              <w:rPr>
                <w:rFonts w:ascii="Arial" w:cs="Arial" w:eastAsia="Arial" w:hAnsi="Arial"/>
                <w:sz w:val="13"/>
                <w:szCs w:val="13"/>
                <w:color w:val="auto"/>
              </w:rPr>
              <w:t>89,885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129,834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241,740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103,074</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128,843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requires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in the Consolidated Financial Statements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4" w:name="page75"/>
    <w:bookmarkEnd w:id="7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 -GAAP Financial Measures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Management has included the non-GAAP measures set forth below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Company believes these non-GAAP measurements are key indicators of the earnings power of the Company. The following table reconciles the non-GAAP financial measurement of operating net income available to common stockholders for the periods presented (in thousands, except per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gridSpan w:val="9"/>
          </w:tcPr>
          <w:p>
            <w:pPr>
              <w:jc w:val="right"/>
              <w:ind w:right="140"/>
              <w:spacing w:after="0"/>
              <w:rPr>
                <w:sz w:val="20"/>
                <w:szCs w:val="20"/>
                <w:color w:val="auto"/>
              </w:rPr>
            </w:pPr>
            <w:r>
              <w:rPr>
                <w:rFonts w:ascii="Arial" w:cs="Arial" w:eastAsia="Arial" w:hAnsi="Arial"/>
                <w:sz w:val="13"/>
                <w:szCs w:val="13"/>
                <w:b w:val="1"/>
                <w:bCs w:val="1"/>
                <w:color w:val="auto"/>
              </w:rPr>
              <w:t>As of and for the years ended December 31,</w:t>
            </w:r>
          </w:p>
        </w:tc>
      </w:tr>
      <w:tr>
        <w:trPr>
          <w:trHeight w:val="161"/>
        </w:trPr>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2025</w:t>
            </w:r>
          </w:p>
        </w:tc>
        <w:tc>
          <w:tcPr>
            <w:tcW w:w="5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CCEEFF"/>
            </w:tcBorders>
          </w:tcPr>
          <w:p>
            <w:pPr>
              <w:spacing w:after="0"/>
              <w:rPr>
                <w:sz w:val="14"/>
                <w:szCs w:val="14"/>
                <w:color w:val="auto"/>
              </w:rPr>
            </w:pPr>
          </w:p>
        </w:tc>
      </w:tr>
      <w:tr>
        <w:trPr>
          <w:trHeight w:val="161"/>
        </w:trPr>
        <w:tc>
          <w:tcPr>
            <w:tcW w:w="47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Pre-Tax Pre-Provision ("PTPP") income: (1)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3"/>
          </w:tcPr>
          <w:p>
            <w:pPr>
              <w:ind w:left="200"/>
              <w:spacing w:after="0"/>
              <w:rPr>
                <w:sz w:val="20"/>
                <w:szCs w:val="20"/>
                <w:color w:val="auto"/>
              </w:rPr>
            </w:pPr>
            <w:r>
              <w:rPr>
                <w:rFonts w:ascii="Arial" w:cs="Arial" w:eastAsia="Arial" w:hAnsi="Arial"/>
                <w:sz w:val="13"/>
                <w:szCs w:val="13"/>
                <w:color w:val="auto"/>
              </w:rPr>
              <w:t>Net income (GAAP)</w:t>
            </w: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26,100</w:t>
            </w:r>
          </w:p>
        </w:tc>
        <w:tc>
          <w:tcPr>
            <w:tcW w:w="20" w:type="dxa"/>
            <w:vAlign w:val="bottom"/>
          </w:tcPr>
          <w:p>
            <w:pPr>
              <w:spacing w:after="0"/>
              <w:rPr>
                <w:sz w:val="14"/>
                <w:szCs w:val="14"/>
                <w:color w:val="auto"/>
              </w:rPr>
            </w:pPr>
          </w:p>
        </w:tc>
        <w:tc>
          <w:tcPr>
            <w:tcW w:w="16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24,674</w:t>
            </w:r>
          </w:p>
        </w:tc>
        <w:tc>
          <w:tcPr>
            <w:tcW w:w="20" w:type="dxa"/>
            <w:vAlign w:val="bottom"/>
          </w:tcPr>
          <w:p>
            <w:pPr>
              <w:spacing w:after="0"/>
              <w:rPr>
                <w:sz w:val="14"/>
                <w:szCs w:val="14"/>
                <w:color w:val="auto"/>
              </w:rPr>
            </w:pPr>
          </w:p>
        </w:tc>
      </w:tr>
      <w:tr>
        <w:trPr>
          <w:trHeight w:val="151"/>
        </w:trPr>
        <w:tc>
          <w:tcPr>
            <w:tcW w:w="200" w:type="dxa"/>
            <w:vAlign w:val="bottom"/>
            <w:tcBorders>
              <w:bottom w:val="single" w:sz="8" w:color="CCEEFF"/>
            </w:tcBorders>
            <w:shd w:val="clear" w:color="auto" w:fill="CCEEFF"/>
          </w:tcPr>
          <w:p>
            <w:pPr>
              <w:spacing w:after="0"/>
              <w:rPr>
                <w:sz w:val="13"/>
                <w:szCs w:val="13"/>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Plus: Provision for income taxes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9,816</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7,803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4760" w:type="dxa"/>
            <w:vAlign w:val="bottom"/>
            <w:gridSpan w:val="3"/>
          </w:tcPr>
          <w:p>
            <w:pPr>
              <w:ind w:left="200"/>
              <w:spacing w:after="0"/>
              <w:rPr>
                <w:sz w:val="20"/>
                <w:szCs w:val="20"/>
                <w:color w:val="auto"/>
              </w:rPr>
            </w:pPr>
            <w:r>
              <w:rPr>
                <w:rFonts w:ascii="Arial" w:cs="Arial" w:eastAsia="Arial" w:hAnsi="Arial"/>
                <w:sz w:val="13"/>
                <w:szCs w:val="13"/>
                <w:color w:val="auto"/>
              </w:rPr>
              <w:t>Plus: Provision for credit losses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3,157</w:t>
            </w:r>
          </w:p>
        </w:tc>
        <w:tc>
          <w:tcPr>
            <w:tcW w:w="20" w:type="dxa"/>
            <w:vAlign w:val="bottom"/>
          </w:tcPr>
          <w:p>
            <w:pPr>
              <w:spacing w:after="0"/>
              <w:rPr>
                <w:sz w:val="15"/>
                <w:szCs w:val="15"/>
                <w:color w:val="auto"/>
              </w:rPr>
            </w:pPr>
          </w:p>
        </w:tc>
      </w:tr>
      <w:tr>
        <w:trPr>
          <w:trHeight w:val="141"/>
        </w:trPr>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PTPP income</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38,213</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35,634</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4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43"/>
        </w:trPr>
        <w:tc>
          <w:tcPr>
            <w:tcW w:w="47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47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Operating net income: (1)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3"/>
          </w:tcPr>
          <w:p>
            <w:pPr>
              <w:ind w:left="200"/>
              <w:spacing w:after="0"/>
              <w:rPr>
                <w:sz w:val="20"/>
                <w:szCs w:val="20"/>
                <w:color w:val="auto"/>
              </w:rPr>
            </w:pPr>
            <w:r>
              <w:rPr>
                <w:rFonts w:ascii="Arial" w:cs="Arial" w:eastAsia="Arial" w:hAnsi="Arial"/>
                <w:sz w:val="13"/>
                <w:szCs w:val="13"/>
                <w:color w:val="auto"/>
              </w:rPr>
              <w:t>Net income (GAAP)</w:t>
            </w: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26,100</w:t>
            </w:r>
          </w:p>
        </w:tc>
        <w:tc>
          <w:tcPr>
            <w:tcW w:w="20" w:type="dxa"/>
            <w:vAlign w:val="bottom"/>
          </w:tcPr>
          <w:p>
            <w:pPr>
              <w:spacing w:after="0"/>
              <w:rPr>
                <w:sz w:val="14"/>
                <w:szCs w:val="14"/>
                <w:color w:val="auto"/>
              </w:rPr>
            </w:pPr>
          </w:p>
        </w:tc>
        <w:tc>
          <w:tcPr>
            <w:tcW w:w="16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24,674</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Net gain (loss) on sale of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(7,526)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3"/>
          </w:tcPr>
          <w:p>
            <w:pPr>
              <w:ind w:left="200"/>
              <w:spacing w:after="0"/>
              <w:rPr>
                <w:sz w:val="20"/>
                <w:szCs w:val="20"/>
                <w:color w:val="auto"/>
              </w:rPr>
            </w:pPr>
            <w:r>
              <w:rPr>
                <w:rFonts w:ascii="Arial" w:cs="Arial" w:eastAsia="Arial" w:hAnsi="Arial"/>
                <w:sz w:val="13"/>
                <w:szCs w:val="13"/>
                <w:color w:val="auto"/>
              </w:rPr>
              <w:t>Less: Tax effect on sale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20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Tax liability expenses from prior periods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201"/>
        </w:trPr>
        <w:tc>
          <w:tcPr>
            <w:tcW w:w="200" w:type="dxa"/>
            <w:vAlign w:val="bottom"/>
          </w:tcPr>
          <w:p>
            <w:pPr>
              <w:spacing w:after="0"/>
              <w:rPr>
                <w:sz w:val="17"/>
                <w:szCs w:val="17"/>
                <w:color w:val="auto"/>
              </w:rPr>
            </w:pPr>
          </w:p>
        </w:tc>
        <w:tc>
          <w:tcPr>
            <w:tcW w:w="4560" w:type="dxa"/>
            <w:vAlign w:val="bottom"/>
            <w:gridSpan w:val="2"/>
          </w:tcPr>
          <w:p>
            <w:pPr>
              <w:ind w:left="100"/>
              <w:spacing w:after="0"/>
              <w:rPr>
                <w:sz w:val="20"/>
                <w:szCs w:val="20"/>
                <w:color w:val="auto"/>
              </w:rPr>
            </w:pPr>
            <w:r>
              <w:rPr>
                <w:rFonts w:ascii="Arial" w:cs="Arial" w:eastAsia="Arial" w:hAnsi="Arial"/>
                <w:sz w:val="13"/>
                <w:szCs w:val="13"/>
                <w:color w:val="auto"/>
              </w:rPr>
              <w:t>Operating net income</w:t>
            </w: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32,482</w:t>
            </w:r>
          </w:p>
        </w:tc>
        <w:tc>
          <w:tcPr>
            <w:tcW w:w="20" w:type="dxa"/>
            <w:vAlign w:val="bottom"/>
          </w:tcPr>
          <w:p>
            <w:pPr>
              <w:spacing w:after="0"/>
              <w:rPr>
                <w:sz w:val="17"/>
                <w:szCs w:val="17"/>
                <w:color w:val="auto"/>
              </w:rPr>
            </w:pPr>
          </w:p>
        </w:tc>
        <w:tc>
          <w:tcPr>
            <w:tcW w:w="16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24,664</w:t>
            </w:r>
          </w:p>
        </w:tc>
        <w:tc>
          <w:tcPr>
            <w:tcW w:w="20" w:type="dxa"/>
            <w:vAlign w:val="bottom"/>
          </w:tcPr>
          <w:p>
            <w:pPr>
              <w:spacing w:after="0"/>
              <w:rPr>
                <w:sz w:val="17"/>
                <w:szCs w:val="17"/>
                <w:color w:val="auto"/>
              </w:rPr>
            </w:pPr>
          </w:p>
        </w:tc>
      </w:tr>
      <w:tr>
        <w:trPr>
          <w:trHeight w:val="143"/>
        </w:trPr>
        <w:tc>
          <w:tcPr>
            <w:tcW w:w="47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71"/>
        </w:trPr>
        <w:tc>
          <w:tcPr>
            <w:tcW w:w="4760" w:type="dxa"/>
            <w:vAlign w:val="bottom"/>
            <w:gridSpan w:val="3"/>
          </w:tcPr>
          <w:p>
            <w:pPr>
              <w:spacing w:after="0"/>
              <w:rPr>
                <w:sz w:val="20"/>
                <w:szCs w:val="20"/>
                <w:color w:val="auto"/>
              </w:rPr>
            </w:pPr>
            <w:r>
              <w:rPr>
                <w:rFonts w:ascii="Arial" w:cs="Arial" w:eastAsia="Arial" w:hAnsi="Arial"/>
                <w:sz w:val="13"/>
                <w:szCs w:val="13"/>
                <w:b w:val="1"/>
                <w:bCs w:val="1"/>
                <w:color w:val="auto"/>
              </w:rPr>
              <w:t>Operating revenue: (1)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interest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83,630</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69,936</w:t>
            </w: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3"/>
          </w:tcPr>
          <w:p>
            <w:pPr>
              <w:ind w:left="200"/>
              <w:spacing w:after="0"/>
              <w:rPr>
                <w:sz w:val="20"/>
                <w:szCs w:val="20"/>
                <w:color w:val="auto"/>
              </w:rPr>
            </w:pPr>
            <w:r>
              <w:rPr>
                <w:rFonts w:ascii="Arial" w:cs="Arial" w:eastAsia="Arial" w:hAnsi="Arial"/>
                <w:sz w:val="13"/>
                <w:szCs w:val="13"/>
                <w:color w:val="auto"/>
              </w:rPr>
              <w:t>Non-interest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12,740</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Net gain (losses) on sale of securities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(7,526)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shd w:val="clear" w:color="auto" w:fill="CCEEFF"/>
          </w:tcPr>
          <w:p>
            <w:pPr>
              <w:spacing w:after="0"/>
              <w:rPr>
                <w:sz w:val="14"/>
                <w:szCs w:val="14"/>
                <w:color w:val="auto"/>
              </w:rPr>
            </w:pPr>
          </w:p>
        </w:tc>
      </w:tr>
      <w:tr>
        <w:trPr>
          <w:trHeight w:val="221"/>
        </w:trPr>
        <w:tc>
          <w:tcPr>
            <w:tcW w:w="200" w:type="dxa"/>
            <w:vAlign w:val="bottom"/>
          </w:tcPr>
          <w:p>
            <w:pPr>
              <w:spacing w:after="0"/>
              <w:rPr>
                <w:sz w:val="19"/>
                <w:szCs w:val="19"/>
                <w:color w:val="auto"/>
              </w:rPr>
            </w:pPr>
          </w:p>
        </w:tc>
        <w:tc>
          <w:tcPr>
            <w:tcW w:w="4560" w:type="dxa"/>
            <w:vAlign w:val="bottom"/>
            <w:gridSpan w:val="2"/>
          </w:tcPr>
          <w:p>
            <w:pPr>
              <w:ind w:left="100"/>
              <w:spacing w:after="0"/>
              <w:rPr>
                <w:sz w:val="20"/>
                <w:szCs w:val="20"/>
                <w:color w:val="auto"/>
              </w:rPr>
            </w:pPr>
            <w:r>
              <w:rPr>
                <w:rFonts w:ascii="Arial" w:cs="Arial" w:eastAsia="Arial" w:hAnsi="Arial"/>
                <w:sz w:val="13"/>
                <w:szCs w:val="13"/>
                <w:color w:val="auto"/>
              </w:rPr>
              <w:t>Operating revenue</w:t>
            </w: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97,748</w:t>
            </w:r>
          </w:p>
        </w:tc>
        <w:tc>
          <w:tcPr>
            <w:tcW w:w="20" w:type="dxa"/>
            <w:vAlign w:val="bottom"/>
          </w:tcPr>
          <w:p>
            <w:pPr>
              <w:spacing w:after="0"/>
              <w:rPr>
                <w:sz w:val="19"/>
                <w:szCs w:val="19"/>
                <w:color w:val="auto"/>
              </w:rPr>
            </w:pPr>
          </w:p>
        </w:tc>
        <w:tc>
          <w:tcPr>
            <w:tcW w:w="16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82,662</w:t>
            </w:r>
          </w:p>
        </w:tc>
        <w:tc>
          <w:tcPr>
            <w:tcW w:w="20" w:type="dxa"/>
            <w:vAlign w:val="bottom"/>
          </w:tcPr>
          <w:p>
            <w:pPr>
              <w:spacing w:after="0"/>
              <w:rPr>
                <w:sz w:val="19"/>
                <w:szCs w:val="19"/>
                <w:color w:val="auto"/>
              </w:rPr>
            </w:pPr>
          </w:p>
        </w:tc>
      </w:tr>
      <w:tr>
        <w:trPr>
          <w:trHeight w:val="123"/>
        </w:trPr>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4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4760" w:type="dxa"/>
            <w:vAlign w:val="bottom"/>
            <w:gridSpan w:val="3"/>
          </w:tcPr>
          <w:p>
            <w:pPr>
              <w:spacing w:after="0"/>
              <w:rPr>
                <w:sz w:val="20"/>
                <w:szCs w:val="20"/>
                <w:color w:val="auto"/>
              </w:rPr>
            </w:pPr>
            <w:r>
              <w:rPr>
                <w:rFonts w:ascii="Arial" w:cs="Arial" w:eastAsia="Arial" w:hAnsi="Arial"/>
                <w:sz w:val="13"/>
                <w:szCs w:val="13"/>
                <w:b w:val="1"/>
                <w:bCs w:val="1"/>
                <w:color w:val="auto"/>
              </w:rPr>
              <w:t>Operating efficency ratio: (1)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52,009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47,042</w:t>
            </w: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3"/>
          </w:tcPr>
          <w:p>
            <w:pPr>
              <w:ind w:left="200"/>
              <w:spacing w:after="0"/>
              <w:rPr>
                <w:sz w:val="20"/>
                <w:szCs w:val="20"/>
                <w:color w:val="auto"/>
              </w:rPr>
            </w:pPr>
            <w:r>
              <w:rPr>
                <w:rFonts w:ascii="Arial" w:cs="Arial" w:eastAsia="Arial" w:hAnsi="Arial"/>
                <w:sz w:val="13"/>
                <w:szCs w:val="13"/>
                <w:color w:val="auto"/>
              </w:rPr>
              <w:t>Operating revenue</w:t>
            </w: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97,748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82,662</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Operating efficency ratio</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56.91%</w:t>
            </w:r>
          </w:p>
        </w:tc>
        <w:tc>
          <w:tcPr>
            <w:tcW w:w="20" w:type="dxa"/>
            <w:vAlign w:val="bottom"/>
            <w:shd w:val="clear" w:color="auto" w:fill="CCEEFF"/>
          </w:tcPr>
          <w:p>
            <w:pPr>
              <w:spacing w:after="0"/>
              <w:rPr>
                <w:sz w:val="14"/>
                <w:szCs w:val="14"/>
                <w:color w:val="auto"/>
              </w:rPr>
            </w:pPr>
          </w:p>
        </w:tc>
      </w:tr>
    </w:tbl>
    <w:p>
      <w:pPr>
        <w:spacing w:after="0" w:line="17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(1) The Company believes these non-GAAP measurements are key indicators of the ongoing earnings power of the Company.</w:t>
      </w:r>
    </w:p>
    <w:p>
      <w:pPr>
        <w:spacing w:after="0" w:line="18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5" w:name="page76"/>
    <w:bookmarkEnd w:id="7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1860" w:type="dxa"/>
            <w:vAlign w:val="bottom"/>
          </w:tcPr>
          <w:p>
            <w:pPr>
              <w:spacing w:after="0"/>
              <w:rPr>
                <w:sz w:val="16"/>
                <w:szCs w:val="16"/>
                <w:color w:val="auto"/>
              </w:rPr>
            </w:pPr>
          </w:p>
        </w:tc>
        <w:tc>
          <w:tcPr>
            <w:tcW w:w="4720" w:type="dxa"/>
            <w:vAlign w:val="bottom"/>
            <w:gridSpan w:val="9"/>
          </w:tcPr>
          <w:p>
            <w:pPr>
              <w:ind w:left="160"/>
              <w:spacing w:after="0"/>
              <w:rPr>
                <w:sz w:val="20"/>
                <w:szCs w:val="20"/>
                <w:color w:val="auto"/>
              </w:rPr>
            </w:pPr>
            <w:r>
              <w:rPr>
                <w:rFonts w:ascii="Arial" w:cs="Arial" w:eastAsia="Arial" w:hAnsi="Arial"/>
                <w:sz w:val="14"/>
                <w:szCs w:val="14"/>
                <w:b w:val="1"/>
                <w:bCs w:val="1"/>
                <w:color w:val="auto"/>
              </w:rPr>
              <w:t>INDEX TO CONSOLIDATED FINANCIAL STATEMENTS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9"/>
        </w:trPr>
        <w:tc>
          <w:tcPr>
            <w:tcW w:w="6580" w:type="dxa"/>
            <w:vAlign w:val="bottom"/>
            <w:gridSpan w:val="10"/>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(Crowe LLP, PCAOB ID: 173)</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0000FF"/>
              </w:rPr>
              <w:t>77</w:t>
            </w:r>
          </w:p>
        </w:tc>
      </w:tr>
      <w:tr>
        <w:trPr>
          <w:trHeight w:val="311"/>
        </w:trPr>
        <w:tc>
          <w:tcPr>
            <w:tcW w:w="362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rPr>
              <w:t>Consolidated Balance Sheets</w:t>
            </w:r>
          </w:p>
        </w:tc>
        <w:tc>
          <w:tcPr>
            <w:tcW w:w="29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89"/>
              </w:rPr>
              <w:t>78</w:t>
            </w:r>
          </w:p>
        </w:tc>
        <w:tc>
          <w:tcPr>
            <w:tcW w:w="20" w:type="dxa"/>
            <w:vAlign w:val="bottom"/>
          </w:tcPr>
          <w:p>
            <w:pPr>
              <w:spacing w:after="0"/>
              <w:rPr>
                <w:sz w:val="24"/>
                <w:szCs w:val="24"/>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480" w:type="dxa"/>
            <w:vAlign w:val="bottom"/>
            <w:tcBorders>
              <w:bottom w:val="single" w:sz="8" w:color="0000FF"/>
            </w:tcBorders>
            <w:gridSpan w:val="2"/>
          </w:tcPr>
          <w:p>
            <w:pPr>
              <w:spacing w:after="0" w:line="151" w:lineRule="exact"/>
              <w:rPr>
                <w:sz w:val="20"/>
                <w:szCs w:val="20"/>
                <w:color w:val="auto"/>
              </w:rPr>
            </w:pPr>
            <w:r>
              <w:rPr>
                <w:rFonts w:ascii="Arial" w:cs="Arial" w:eastAsia="Arial" w:hAnsi="Arial"/>
                <w:sz w:val="14"/>
                <w:szCs w:val="14"/>
                <w:color w:val="0000FF"/>
              </w:rPr>
              <w:t>Consolidated Statements of Operations</w:t>
            </w:r>
          </w:p>
        </w:tc>
        <w:tc>
          <w:tcPr>
            <w:tcW w:w="410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79</w:t>
            </w:r>
          </w:p>
        </w:tc>
        <w:tc>
          <w:tcPr>
            <w:tcW w:w="20" w:type="dxa"/>
            <w:vAlign w:val="bottom"/>
          </w:tcPr>
          <w:p>
            <w:pPr>
              <w:spacing w:after="0"/>
              <w:rPr>
                <w:sz w:val="13"/>
                <w:szCs w:val="13"/>
                <w:color w:val="auto"/>
              </w:rPr>
            </w:pP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Comprehensive Income</w:t>
            </w:r>
          </w:p>
        </w:tc>
        <w:tc>
          <w:tcPr>
            <w:tcW w:w="940" w:type="dxa"/>
            <w:vAlign w:val="bottom"/>
          </w:tcPr>
          <w:p>
            <w:pPr>
              <w:spacing w:after="0"/>
              <w:rPr>
                <w:sz w:val="12"/>
                <w:szCs w:val="12"/>
                <w:color w:val="auto"/>
              </w:rPr>
            </w:pPr>
          </w:p>
        </w:tc>
        <w:tc>
          <w:tcPr>
            <w:tcW w:w="160" w:type="dxa"/>
            <w:vAlign w:val="bottom"/>
          </w:tcPr>
          <w:p>
            <w:pPr>
              <w:jc w:val="right"/>
              <w:spacing w:after="0" w:line="140" w:lineRule="exact"/>
              <w:rPr>
                <w:sz w:val="20"/>
                <w:szCs w:val="20"/>
                <w:color w:val="auto"/>
              </w:rPr>
            </w:pPr>
            <w:r>
              <w:rPr>
                <w:rFonts w:ascii="Arial" w:cs="Arial" w:eastAsia="Arial" w:hAnsi="Arial"/>
                <w:sz w:val="14"/>
                <w:szCs w:val="14"/>
                <w:color w:val="0000FF"/>
                <w:w w:val="89"/>
              </w:rPr>
              <w:t>80</w:t>
            </w:r>
          </w:p>
        </w:tc>
        <w:tc>
          <w:tcPr>
            <w:tcW w:w="20" w:type="dxa"/>
            <w:vAlign w:val="bottom"/>
          </w:tcPr>
          <w:p>
            <w:pPr>
              <w:spacing w:after="0"/>
              <w:rPr>
                <w:sz w:val="12"/>
                <w:szCs w:val="12"/>
                <w:color w:val="auto"/>
              </w:rPr>
            </w:pPr>
          </w:p>
        </w:tc>
      </w:tr>
      <w:tr>
        <w:trPr>
          <w:trHeight w:val="140"/>
        </w:trPr>
        <w:tc>
          <w:tcPr>
            <w:tcW w:w="3280" w:type="dxa"/>
            <w:vAlign w:val="bottom"/>
            <w:tcBorders>
              <w:top w:val="single" w:sz="8" w:color="0000FF"/>
            </w:tcBorders>
            <w:gridSpan w:val="5"/>
          </w:tcPr>
          <w:p>
            <w:pPr>
              <w:spacing w:after="0" w:line="140" w:lineRule="exact"/>
              <w:rPr>
                <w:sz w:val="20"/>
                <w:szCs w:val="20"/>
                <w:color w:val="auto"/>
              </w:rPr>
            </w:pPr>
            <w:r>
              <w:rPr>
                <w:rFonts w:ascii="Arial" w:cs="Arial" w:eastAsia="Arial" w:hAnsi="Arial"/>
                <w:sz w:val="14"/>
                <w:szCs w:val="14"/>
                <w:color w:val="0000FF"/>
                <w:w w:val="97"/>
              </w:rPr>
              <w:t>Consolidated Statements of Changes in Stockholders’</w:t>
            </w:r>
          </w:p>
        </w:tc>
        <w:tc>
          <w:tcPr>
            <w:tcW w:w="140" w:type="dxa"/>
            <w:vAlign w:val="bottom"/>
          </w:tcPr>
          <w:p>
            <w:pPr>
              <w:spacing w:after="0"/>
              <w:rPr>
                <w:sz w:val="12"/>
                <w:szCs w:val="12"/>
                <w:color w:val="auto"/>
              </w:rPr>
            </w:pPr>
          </w:p>
        </w:tc>
        <w:tc>
          <w:tcPr>
            <w:tcW w:w="3160" w:type="dxa"/>
            <w:vAlign w:val="bottom"/>
            <w:gridSpan w:val="4"/>
          </w:tcPr>
          <w:p>
            <w:pPr>
              <w:ind w:left="20"/>
              <w:spacing w:after="0" w:line="140" w:lineRule="exact"/>
              <w:rPr>
                <w:sz w:val="20"/>
                <w:szCs w:val="20"/>
                <w:color w:val="auto"/>
              </w:rPr>
            </w:pPr>
            <w:r>
              <w:rPr>
                <w:rFonts w:ascii="Arial" w:cs="Arial" w:eastAsia="Arial" w:hAnsi="Arial"/>
                <w:sz w:val="14"/>
                <w:szCs w:val="14"/>
                <w:color w:val="0000FF"/>
              </w:rPr>
              <w:t>Equity</w:t>
            </w:r>
          </w:p>
        </w:tc>
        <w:tc>
          <w:tcPr>
            <w:tcW w:w="940" w:type="dxa"/>
            <w:vAlign w:val="bottom"/>
          </w:tcPr>
          <w:p>
            <w:pPr>
              <w:spacing w:after="0"/>
              <w:rPr>
                <w:sz w:val="12"/>
                <w:szCs w:val="12"/>
                <w:color w:val="auto"/>
              </w:rPr>
            </w:pPr>
          </w:p>
        </w:tc>
        <w:tc>
          <w:tcPr>
            <w:tcW w:w="160" w:type="dxa"/>
            <w:vAlign w:val="bottom"/>
            <w:tcBorders>
              <w:top w:val="single" w:sz="8" w:color="0000FF"/>
            </w:tcBorders>
          </w:tcPr>
          <w:p>
            <w:pPr>
              <w:jc w:val="right"/>
              <w:spacing w:after="0" w:line="140" w:lineRule="exact"/>
              <w:rPr>
                <w:sz w:val="20"/>
                <w:szCs w:val="20"/>
                <w:color w:val="auto"/>
              </w:rPr>
            </w:pPr>
            <w:r>
              <w:rPr>
                <w:rFonts w:ascii="Arial" w:cs="Arial" w:eastAsia="Arial" w:hAnsi="Arial"/>
                <w:sz w:val="14"/>
                <w:szCs w:val="14"/>
                <w:color w:val="0000FF"/>
                <w:w w:val="89"/>
              </w:rPr>
              <w:t>81</w:t>
            </w:r>
          </w:p>
        </w:tc>
        <w:tc>
          <w:tcPr>
            <w:tcW w:w="20" w:type="dxa"/>
            <w:vAlign w:val="bottom"/>
          </w:tcPr>
          <w:p>
            <w:pPr>
              <w:spacing w:after="0"/>
              <w:rPr>
                <w:sz w:val="12"/>
                <w:szCs w:val="12"/>
                <w:color w:val="auto"/>
              </w:rPr>
            </w:pPr>
          </w:p>
        </w:tc>
      </w:tr>
      <w:tr>
        <w:trPr>
          <w:trHeight w:val="140"/>
        </w:trPr>
        <w:tc>
          <w:tcPr>
            <w:tcW w:w="3420" w:type="dxa"/>
            <w:vAlign w:val="bottom"/>
            <w:tcBorders>
              <w:top w:val="single" w:sz="8" w:color="0000FF"/>
            </w:tcBorders>
            <w:gridSpan w:val="6"/>
          </w:tcPr>
          <w:p>
            <w:pPr>
              <w:spacing w:after="0" w:line="140" w:lineRule="exact"/>
              <w:rPr>
                <w:sz w:val="20"/>
                <w:szCs w:val="20"/>
                <w:color w:val="auto"/>
              </w:rPr>
            </w:pPr>
            <w:r>
              <w:rPr>
                <w:rFonts w:ascii="Arial" w:cs="Arial" w:eastAsia="Arial" w:hAnsi="Arial"/>
                <w:sz w:val="14"/>
                <w:szCs w:val="14"/>
                <w:color w:val="0000FF"/>
              </w:rPr>
              <w:t>Consolidated Statements of Cash Flows</w:t>
            </w:r>
          </w:p>
        </w:tc>
        <w:tc>
          <w:tcPr>
            <w:tcW w:w="20" w:type="dxa"/>
            <w:vAlign w:val="bottom"/>
          </w:tcPr>
          <w:p>
            <w:pPr>
              <w:spacing w:after="0"/>
              <w:rPr>
                <w:sz w:val="12"/>
                <w:szCs w:val="12"/>
                <w:color w:val="auto"/>
              </w:rPr>
            </w:pPr>
          </w:p>
        </w:tc>
        <w:tc>
          <w:tcPr>
            <w:tcW w:w="400" w:type="dxa"/>
            <w:vAlign w:val="bottom"/>
            <w:tcBorders>
              <w:top w:val="single" w:sz="8" w:color="0000FF"/>
            </w:tcBorders>
            <w:gridSpan w:val="2"/>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0000FF"/>
            </w:tcBorders>
          </w:tcPr>
          <w:p>
            <w:pPr>
              <w:jc w:val="right"/>
              <w:spacing w:after="0" w:line="140" w:lineRule="exact"/>
              <w:rPr>
                <w:sz w:val="20"/>
                <w:szCs w:val="20"/>
                <w:color w:val="auto"/>
              </w:rPr>
            </w:pPr>
            <w:r>
              <w:rPr>
                <w:rFonts w:ascii="Arial" w:cs="Arial" w:eastAsia="Arial" w:hAnsi="Arial"/>
                <w:sz w:val="14"/>
                <w:szCs w:val="14"/>
                <w:color w:val="0000FF"/>
                <w:w w:val="89"/>
              </w:rPr>
              <w:t>82</w:t>
            </w:r>
          </w:p>
        </w:tc>
        <w:tc>
          <w:tcPr>
            <w:tcW w:w="20" w:type="dxa"/>
            <w:vAlign w:val="bottom"/>
          </w:tcPr>
          <w:p>
            <w:pPr>
              <w:spacing w:after="0"/>
              <w:rPr>
                <w:sz w:val="12"/>
                <w:szCs w:val="12"/>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3000" w:type="dxa"/>
            <w:vAlign w:val="bottom"/>
            <w:tcBorders>
              <w:bottom w:val="single" w:sz="8" w:color="0000FF"/>
            </w:tcBorders>
            <w:gridSpan w:val="4"/>
          </w:tcPr>
          <w:p>
            <w:pPr>
              <w:spacing w:after="0" w:line="151" w:lineRule="exact"/>
              <w:rPr>
                <w:sz w:val="20"/>
                <w:szCs w:val="20"/>
                <w:color w:val="auto"/>
              </w:rPr>
            </w:pPr>
            <w:r>
              <w:rPr>
                <w:rFonts w:ascii="Arial" w:cs="Arial" w:eastAsia="Arial" w:hAnsi="Arial"/>
                <w:sz w:val="14"/>
                <w:szCs w:val="14"/>
                <w:color w:val="0000FF"/>
              </w:rPr>
              <w:t>Notes to the Consolidated Financial Statements</w:t>
            </w:r>
          </w:p>
        </w:tc>
        <w:tc>
          <w:tcPr>
            <w:tcW w:w="3580" w:type="dxa"/>
            <w:vAlign w:val="bottom"/>
            <w:gridSpan w:val="6"/>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84</w:t>
            </w: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6" w:name="page77"/>
    <w:bookmarkEnd w:id="76"/>
    <w:p>
      <w:pPr>
        <w:ind w:left="552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spacing w:after="0" w:line="10" w:lineRule="exact"/>
        <w:rPr>
          <w:sz w:val="20"/>
          <w:szCs w:val="20"/>
          <w:color w:val="auto"/>
        </w:rPr>
      </w:pPr>
    </w:p>
    <w:p>
      <w:pPr>
        <w:jc w:val="center"/>
        <w:ind w:left="3400"/>
        <w:spacing w:after="0"/>
        <w:rPr>
          <w:sz w:val="20"/>
          <w:szCs w:val="20"/>
          <w:color w:val="auto"/>
        </w:rPr>
      </w:pPr>
      <w:r>
        <w:rPr>
          <w:rFonts w:ascii="Arial" w:cs="Arial" w:eastAsia="Arial" w:hAnsi="Arial"/>
          <w:sz w:val="9"/>
          <w:szCs w:val="9"/>
          <w:color w:val="002D62"/>
        </w:rPr>
        <w:t>Independent Member Crowe Global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Stockholders and the Board of Directors of</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USCB Financial Holdings, Inc.</w:t>
      </w:r>
    </w:p>
    <w:p>
      <w:pPr>
        <w:ind w:left="1180"/>
        <w:spacing w:after="0"/>
        <w:rPr>
          <w:sz w:val="20"/>
          <w:szCs w:val="20"/>
          <w:color w:val="auto"/>
        </w:rPr>
      </w:pPr>
      <w:r>
        <w:rPr>
          <w:rFonts w:ascii="Arial" w:cs="Arial" w:eastAsia="Arial" w:hAnsi="Arial"/>
          <w:sz w:val="14"/>
          <w:szCs w:val="14"/>
          <w:color w:val="auto"/>
        </w:rPr>
        <w:t>Doral, Florida</w:t>
      </w:r>
    </w:p>
    <w:p>
      <w:pPr>
        <w:spacing w:after="0" w:line="3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Opinion on the Financial Statements</w:t>
      </w:r>
    </w:p>
    <w:p>
      <w:pPr>
        <w:spacing w:after="0" w:line="170" w:lineRule="exact"/>
        <w:rPr>
          <w:sz w:val="20"/>
          <w:szCs w:val="20"/>
          <w:color w:val="auto"/>
        </w:rPr>
      </w:pPr>
    </w:p>
    <w:p>
      <w:pPr>
        <w:ind w:left="1180" w:right="1179"/>
        <w:spacing w:after="0" w:line="250" w:lineRule="auto"/>
        <w:rPr>
          <w:sz w:val="20"/>
          <w:szCs w:val="20"/>
          <w:color w:val="auto"/>
        </w:rPr>
      </w:pPr>
      <w:r>
        <w:rPr>
          <w:rFonts w:ascii="Arial" w:cs="Arial" w:eastAsia="Arial" w:hAnsi="Arial"/>
          <w:sz w:val="14"/>
          <w:szCs w:val="14"/>
          <w:color w:val="auto"/>
        </w:rPr>
        <w:t>We have audited the accompanying consolidated balance sheets of USCB Financial Holdings, Inc. (the “Company”) as of December 31, 2025 and 2024, the related consolidated statements of operations, comprehensive income,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Basis for Opinion</w:t>
      </w:r>
    </w:p>
    <w:p>
      <w:pPr>
        <w:spacing w:after="0" w:line="159" w:lineRule="exact"/>
        <w:rPr>
          <w:sz w:val="20"/>
          <w:szCs w:val="20"/>
          <w:color w:val="auto"/>
        </w:rPr>
      </w:pPr>
    </w:p>
    <w:p>
      <w:pPr>
        <w:ind w:left="1180" w:right="1199"/>
        <w:spacing w:after="0" w:line="280"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left="1180" w:right="1239"/>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8" w:lineRule="exact"/>
        <w:rPr>
          <w:sz w:val="20"/>
          <w:szCs w:val="20"/>
          <w:color w:val="auto"/>
        </w:rPr>
      </w:pPr>
    </w:p>
    <w:p>
      <w:pPr>
        <w:ind w:left="1180" w:right="1199"/>
        <w:spacing w:after="0" w:line="249"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1" w:lineRule="exact"/>
        <w:rPr>
          <w:sz w:val="20"/>
          <w:szCs w:val="20"/>
          <w:color w:val="auto"/>
        </w:rPr>
      </w:pPr>
    </w:p>
    <w:p>
      <w:pPr>
        <w:jc w:val="right"/>
        <w:ind w:right="4119"/>
        <w:spacing w:after="0"/>
        <w:rPr>
          <w:sz w:val="20"/>
          <w:szCs w:val="20"/>
          <w:color w:val="auto"/>
        </w:rPr>
      </w:pPr>
      <w:r>
        <w:rPr>
          <w:rFonts w:ascii="Arial" w:cs="Arial" w:eastAsia="Arial" w:hAnsi="Arial"/>
          <w:sz w:val="14"/>
          <w:szCs w:val="14"/>
          <w:i w:val="1"/>
          <w:iCs w:val="1"/>
          <w:color w:val="auto"/>
        </w:rPr>
        <w:t>/s/ Crowe LLP</w:t>
      </w:r>
    </w:p>
    <w:p>
      <w:pPr>
        <w:spacing w:after="0" w:line="11" w:lineRule="exact"/>
        <w:rPr>
          <w:sz w:val="20"/>
          <w:szCs w:val="20"/>
          <w:color w:val="auto"/>
        </w:rPr>
      </w:pPr>
    </w:p>
    <w:p>
      <w:pPr>
        <w:jc w:val="right"/>
        <w:ind w:right="4159"/>
        <w:spacing w:after="0"/>
        <w:rPr>
          <w:sz w:val="20"/>
          <w:szCs w:val="20"/>
          <w:color w:val="auto"/>
        </w:rPr>
      </w:pPr>
      <w:r>
        <w:rPr>
          <w:rFonts w:ascii="Arial" w:cs="Arial" w:eastAsia="Arial" w:hAnsi="Arial"/>
          <w:sz w:val="14"/>
          <w:szCs w:val="14"/>
          <w:color w:val="auto"/>
        </w:rPr>
        <w:t>Crowe LLP</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We have served as the Company's auditor since 2017.</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Fort Lauderdale, Florida</w:t>
      </w:r>
    </w:p>
    <w:p>
      <w:pPr>
        <w:spacing w:after="0" w:line="1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758" w:right="1440" w:bottom="1440" w:gutter="0" w:footer="0" w:header="0"/>
        </w:sectPr>
      </w:pPr>
    </w:p>
    <w:bookmarkStart w:id="77" w:name="page78"/>
    <w:bookmarkEnd w:id="7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(Dollars in thousands, except share and per share data)</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1"/>
          <w:szCs w:val="11"/>
          <w:b w:val="1"/>
          <w:bCs w:val="1"/>
          <w:color w:val="auto"/>
        </w:rPr>
        <w:t>December 31,</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1"/>
                <w:szCs w:val="1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6,027</w:t>
            </w:r>
          </w:p>
        </w:tc>
        <w:tc>
          <w:tcPr>
            <w:tcW w:w="40" w:type="dxa"/>
            <w:vAlign w:val="bottom"/>
          </w:tcPr>
          <w:p>
            <w:pPr>
              <w:spacing w:after="0"/>
              <w:rPr>
                <w:sz w:val="13"/>
                <w:szCs w:val="13"/>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6,986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32,450</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70,049</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38,477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77,035</w:t>
            </w:r>
          </w:p>
        </w:tc>
        <w:tc>
          <w:tcPr>
            <w:tcW w:w="20" w:type="dxa"/>
            <w:vAlign w:val="bottom"/>
          </w:tcPr>
          <w:p>
            <w:pPr>
              <w:spacing w:after="0"/>
              <w:rPr>
                <w:sz w:val="13"/>
                <w:szCs w:val="13"/>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of $2 and $6, respectively (fair value $142,508</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and $145,540, respectively)</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153,941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164,694</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307,490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260,221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$25,500 and $24,070, respectively</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2,163,757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1,948,778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10,945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4,247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4,563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59,424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53,472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 net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18,046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29,646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8,451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19,655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14,032</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2,791,540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2,581,216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583,860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575,159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 deposits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1,186,422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1,180,809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46,989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50,648</w:t>
            </w:r>
          </w:p>
        </w:tc>
        <w:tc>
          <w:tcPr>
            <w:tcW w:w="20" w:type="dxa"/>
            <w:vAlign w:val="bottom"/>
            <w:shd w:val="clear" w:color="auto" w:fill="CCEEFF"/>
          </w:tcPr>
          <w:p>
            <w:pPr>
              <w:spacing w:after="0"/>
              <w:rPr>
                <w:sz w:val="13"/>
                <w:szCs w:val="13"/>
                <w:color w:val="auto"/>
              </w:rPr>
            </w:pPr>
          </w:p>
        </w:tc>
      </w:tr>
      <w:tr>
        <w:trPr>
          <w:trHeight w:val="149"/>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527,809</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367,388</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2,345,080</w:t>
            </w:r>
          </w:p>
        </w:tc>
        <w:tc>
          <w:tcPr>
            <w:tcW w:w="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2,174,004</w:t>
            </w:r>
          </w:p>
        </w:tc>
        <w:tc>
          <w:tcPr>
            <w:tcW w:w="20" w:type="dxa"/>
            <w:vAlign w:val="bottom"/>
            <w:shd w:val="clear" w:color="auto" w:fill="CCEEFF"/>
          </w:tcPr>
          <w:p>
            <w:pPr>
              <w:spacing w:after="0"/>
              <w:rPr>
                <w:sz w:val="11"/>
                <w:szCs w:val="11"/>
                <w:color w:val="auto"/>
              </w:rPr>
            </w:pPr>
          </w:p>
        </w:tc>
      </w:tr>
      <w:tr>
        <w:trPr>
          <w:trHeight w:val="151"/>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158,250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163,000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Subordinated notes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Lease liability</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5,519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8,451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and 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26,208</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20,373</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liabilities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2,574,357</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2,365,828</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Commitments and contingencies (See Notes 11 and 20)</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STOCKHOLDERS' EQUITY:</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issued and 0 outstanding as of December 31, 2025 and 2024</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issued and 0 outstanding as of December 31, 2025 and 2024</w:t>
            </w: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issued and 0 outstanding as of December 31, 2025 and 2024</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Common stock - Class A Voting; $1.00 par value; 45,000,000 shares authorized; 18,137,885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6"/>
        </w:trPr>
        <w:tc>
          <w:tcPr>
            <w:tcW w:w="5240" w:type="dxa"/>
            <w:vAlign w:val="bottom"/>
          </w:tcPr>
          <w:p>
            <w:pPr>
              <w:spacing w:after="0"/>
              <w:rPr>
                <w:sz w:val="20"/>
                <w:szCs w:val="20"/>
                <w:color w:val="auto"/>
              </w:rPr>
            </w:pPr>
            <w:r>
              <w:rPr>
                <w:rFonts w:ascii="Arial" w:cs="Arial" w:eastAsia="Arial" w:hAnsi="Arial"/>
                <w:sz w:val="11"/>
                <w:szCs w:val="11"/>
                <w:color w:val="auto"/>
              </w:rPr>
              <w:t>19,924,632 issued and outstanding as of December 31, 2025 and 2024</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18,138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19,925</w:t>
            </w:r>
          </w:p>
        </w:tc>
        <w:tc>
          <w:tcPr>
            <w:tcW w:w="20" w:type="dxa"/>
            <w:vAlign w:val="bottom"/>
          </w:tcPr>
          <w:p>
            <w:pPr>
              <w:spacing w:after="0"/>
              <w:rPr>
                <w:sz w:val="12"/>
                <w:szCs w:val="12"/>
                <w:color w:val="auto"/>
              </w:rPr>
            </w:pP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December 31, 2025 and 2024</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Additional paid-in capital on common stock</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278,852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307,810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(49,542)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(67,813)</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other comprehensive loss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(30,265)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(44,534)</w:t>
            </w:r>
          </w:p>
        </w:tc>
      </w:tr>
      <w:tr>
        <w:trPr>
          <w:trHeight w:val="15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217,183</w:t>
            </w:r>
          </w:p>
        </w:tc>
        <w:tc>
          <w:tcPr>
            <w:tcW w:w="40" w:type="dxa"/>
            <w:vAlign w:val="bottom"/>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215,388</w:t>
            </w:r>
          </w:p>
        </w:tc>
        <w:tc>
          <w:tcPr>
            <w:tcW w:w="20" w:type="dxa"/>
            <w:vAlign w:val="bottom"/>
            <w:shd w:val="clear" w:color="auto" w:fill="CCEEFF"/>
          </w:tcPr>
          <w:p>
            <w:pPr>
              <w:spacing w:after="0"/>
              <w:rPr>
                <w:sz w:val="13"/>
                <w:szCs w:val="13"/>
                <w:color w:val="auto"/>
              </w:rPr>
            </w:pPr>
          </w:p>
        </w:tc>
      </w:tr>
      <w:tr>
        <w:trPr>
          <w:trHeight w:val="161"/>
        </w:trPr>
        <w:tc>
          <w:tcPr>
            <w:tcW w:w="5240" w:type="dxa"/>
            <w:vAlign w:val="bottom"/>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2,791,540</w:t>
            </w:r>
          </w:p>
        </w:tc>
        <w:tc>
          <w:tcPr>
            <w:tcW w:w="40" w:type="dxa"/>
            <w:vAlign w:val="bottom"/>
          </w:tcPr>
          <w:p>
            <w:pPr>
              <w:spacing w:after="0"/>
              <w:rPr>
                <w:sz w:val="14"/>
                <w:szCs w:val="1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2,581,216</w:t>
            </w:r>
          </w:p>
        </w:tc>
        <w:tc>
          <w:tcPr>
            <w:tcW w:w="20" w:type="dxa"/>
            <w:vAlign w:val="bottom"/>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8" w:name="page79"/>
    <w:bookmarkEnd w:id="7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Operations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1"/>
                <w:szCs w:val="11"/>
                <w:b w:val="1"/>
                <w:bCs w:val="1"/>
                <w:color w:val="auto"/>
              </w:rPr>
              <w:t>Years Ended 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Loans, including fees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128,160</w:t>
            </w:r>
          </w:p>
        </w:tc>
        <w:tc>
          <w:tcPr>
            <w:tcW w:w="320" w:type="dxa"/>
            <w:vAlign w:val="bottom"/>
            <w:gridSpan w:val="3"/>
          </w:tcPr>
          <w:p>
            <w:pPr>
              <w:jc w:val="right"/>
              <w:ind w:right="149"/>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115,236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13,715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11,480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shd w:val="clear" w:color="auto" w:fill="CCEEFF"/>
          </w:tcPr>
          <w:p>
            <w:pPr>
              <w:spacing w:after="0"/>
              <w:rPr>
                <w:sz w:val="14"/>
                <w:szCs w:val="14"/>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interest income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145,487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131,233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spacing w:after="0"/>
              <w:rPr>
                <w:sz w:val="20"/>
                <w:szCs w:val="20"/>
                <w:color w:val="auto"/>
              </w:rPr>
            </w:pPr>
            <w:r>
              <w:rPr>
                <w:rFonts w:ascii="Arial" w:cs="Arial" w:eastAsia="Arial" w:hAnsi="Arial"/>
                <w:sz w:val="11"/>
                <w:szCs w:val="11"/>
                <w:b w:val="1"/>
                <w:bCs w:val="1"/>
                <w:color w:val="auto"/>
              </w:rPr>
              <w:t>Interest expense: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Interest-bearing checking deposits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Savings and money markets deposits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38,027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40,098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13,354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Federal Home Loan Bank advances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3,238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Subordinated notes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1,205</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5040" w:type="dxa"/>
            <w:vAlign w:val="bottom"/>
          </w:tcPr>
          <w:p>
            <w:pPr>
              <w:ind w:left="100"/>
              <w:spacing w:after="0"/>
              <w:rPr>
                <w:sz w:val="20"/>
                <w:szCs w:val="20"/>
                <w:color w:val="auto"/>
              </w:rPr>
            </w:pPr>
            <w:r>
              <w:rPr>
                <w:rFonts w:ascii="Arial" w:cs="Arial" w:eastAsia="Arial" w:hAnsi="Arial"/>
                <w:sz w:val="11"/>
                <w:szCs w:val="11"/>
                <w:color w:val="auto"/>
              </w:rPr>
              <w:t>Total interest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61,857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61,297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interest income before provision for credit losses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83,630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69,936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Provision for credit losses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2,297</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0" w:type="dxa"/>
            <w:vAlign w:val="bottom"/>
            <w:shd w:val="clear" w:color="auto" w:fill="CCEEFF"/>
          </w:tcPr>
          <w:p>
            <w:pPr>
              <w:spacing w:after="0"/>
              <w:rPr>
                <w:sz w:val="12"/>
                <w:szCs w:val="12"/>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interest income after provision for credit losses</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81,333</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66,779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40" w:type="dxa"/>
            <w:vAlign w:val="bottom"/>
            <w:gridSpan w:val="2"/>
          </w:tcPr>
          <w:p>
            <w:pPr>
              <w:spacing w:after="0"/>
              <w:rPr>
                <w:sz w:val="20"/>
                <w:szCs w:val="20"/>
                <w:color w:val="auto"/>
              </w:rPr>
            </w:pPr>
            <w:r>
              <w:rPr>
                <w:rFonts w:ascii="Arial" w:cs="Arial" w:eastAsia="Arial" w:hAnsi="Arial"/>
                <w:sz w:val="11"/>
                <w:szCs w:val="11"/>
                <w:b w:val="1"/>
                <w:bCs w:val="1"/>
                <w:color w:val="auto"/>
              </w:rPr>
              <w:t>Non-interest income: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Service fees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(Loss) gain on sale of securities available for sale,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(7,526)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Other non-interest income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3,514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shd w:val="clear" w:color="auto" w:fill="CCEEFF"/>
          </w:tcPr>
          <w:p>
            <w:pPr>
              <w:spacing w:after="0"/>
              <w:rPr>
                <w:sz w:val="14"/>
                <w:szCs w:val="14"/>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non-interest income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spacing w:after="0"/>
              <w:rPr>
                <w:sz w:val="20"/>
                <w:szCs w:val="20"/>
                <w:color w:val="auto"/>
              </w:rPr>
            </w:pPr>
            <w:r>
              <w:rPr>
                <w:rFonts w:ascii="Arial" w:cs="Arial" w:eastAsia="Arial" w:hAnsi="Arial"/>
                <w:sz w:val="11"/>
                <w:szCs w:val="11"/>
                <w:b w:val="1"/>
                <w:bCs w:val="1"/>
                <w:color w:val="auto"/>
              </w:rPr>
              <w:t>Non-interest expense: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32,167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28,793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Occupancy</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5,330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100"/>
              <w:spacing w:after="0"/>
              <w:rPr>
                <w:sz w:val="20"/>
                <w:szCs w:val="20"/>
                <w:color w:val="auto"/>
              </w:rPr>
            </w:pPr>
            <w:r>
              <w:rPr>
                <w:rFonts w:ascii="Arial" w:cs="Arial" w:eastAsia="Arial" w:hAnsi="Arial"/>
                <w:sz w:val="11"/>
                <w:szCs w:val="11"/>
                <w:color w:val="auto"/>
              </w:rPr>
              <w:t>Consulting and legal fees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Other operating expense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8,610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non-interest expense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52,009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47,042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040" w:type="dxa"/>
            <w:vAlign w:val="bottom"/>
          </w:tcPr>
          <w:p>
            <w:pPr>
              <w:ind w:left="100"/>
              <w:spacing w:after="0"/>
              <w:rPr>
                <w:sz w:val="20"/>
                <w:szCs w:val="20"/>
                <w:color w:val="auto"/>
              </w:rPr>
            </w:pPr>
            <w:r>
              <w:rPr>
                <w:rFonts w:ascii="Arial" w:cs="Arial" w:eastAsia="Arial" w:hAnsi="Arial"/>
                <w:sz w:val="11"/>
                <w:szCs w:val="11"/>
                <w:color w:val="auto"/>
              </w:rPr>
              <w:t>Net income before income tax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35,916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32,477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9,816</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7,803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tcBorders>
              <w:bottom w:val="single" w:sz="8" w:color="CCEEFF"/>
            </w:tcBorders>
          </w:tcPr>
          <w:p>
            <w:pPr>
              <w:spacing w:after="0"/>
              <w:rPr>
                <w:sz w:val="14"/>
                <w:szCs w:val="14"/>
                <w:color w:val="auto"/>
              </w:rPr>
            </w:pPr>
          </w:p>
        </w:tc>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Net income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26,100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shd w:val="clear" w:color="auto" w:fill="CCEEFF"/>
          </w:tcPr>
          <w:p>
            <w:pPr>
              <w:spacing w:after="0"/>
              <w:rPr>
                <w:sz w:val="14"/>
                <w:szCs w:val="14"/>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available to common stockholders</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26,100</w:t>
            </w:r>
          </w:p>
        </w:tc>
        <w:tc>
          <w:tcPr>
            <w:tcW w:w="60" w:type="dxa"/>
            <w:vAlign w:val="bottom"/>
            <w:gridSpan w:val="2"/>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24,674</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 share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Earnings per share, basic</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60" w:type="dxa"/>
            <w:vAlign w:val="bottom"/>
            <w:gridSpan w:val="2"/>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Earnings per share, diluted</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1.33</w:t>
            </w:r>
          </w:p>
        </w:tc>
        <w:tc>
          <w:tcPr>
            <w:tcW w:w="320" w:type="dxa"/>
            <w:vAlign w:val="bottom"/>
            <w:gridSpan w:val="3"/>
          </w:tcPr>
          <w:p>
            <w:pPr>
              <w:jc w:val="right"/>
              <w:ind w:right="149"/>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Weighted average shares outstanding:</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tcPr>
          <w:p>
            <w:pPr>
              <w:ind w:left="200"/>
              <w:spacing w:after="0"/>
              <w:rPr>
                <w:sz w:val="20"/>
                <w:szCs w:val="20"/>
                <w:color w:val="auto"/>
              </w:rPr>
            </w:pPr>
            <w:r>
              <w:rPr>
                <w:rFonts w:ascii="Arial" w:cs="Arial" w:eastAsia="Arial" w:hAnsi="Arial"/>
                <w:sz w:val="11"/>
                <w:szCs w:val="11"/>
                <w:color w:val="auto"/>
              </w:rPr>
              <w:t>Common shares, basic</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19,425,746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19,675,444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Common shares, diluted</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19,650,814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19,831,421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auto"/>
            </w:tcBorders>
          </w:tcPr>
          <w:p>
            <w:pPr>
              <w:spacing w:after="0"/>
              <w:rPr>
                <w:sz w:val="13"/>
                <w:szCs w:val="13"/>
                <w:color w:val="auto"/>
              </w:rPr>
            </w:pPr>
          </w:p>
        </w:tc>
        <w:tc>
          <w:tcPr>
            <w:tcW w:w="50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79" w:name="page80"/>
    <w:bookmarkEnd w:id="7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6"/>
          </w:tcPr>
          <w:p>
            <w:pPr>
              <w:jc w:val="right"/>
              <w:ind w:right="300"/>
              <w:spacing w:after="0"/>
              <w:rPr>
                <w:sz w:val="20"/>
                <w:szCs w:val="20"/>
                <w:color w:val="auto"/>
              </w:rPr>
            </w:pPr>
            <w:r>
              <w:rPr>
                <w:rFonts w:ascii="Arial" w:cs="Arial" w:eastAsia="Arial" w:hAnsi="Arial"/>
                <w:sz w:val="11"/>
                <w:szCs w:val="11"/>
                <w:b w:val="1"/>
                <w:bCs w:val="1"/>
                <w:color w:val="auto"/>
              </w:rPr>
              <w:t>Years Ended December 31,</w:t>
            </w:r>
          </w:p>
        </w:tc>
      </w:tr>
      <w:tr>
        <w:trPr>
          <w:trHeight w:val="131"/>
        </w:trPr>
        <w:tc>
          <w:tcPr>
            <w:tcW w:w="100" w:type="dxa"/>
            <w:vAlign w:val="bottom"/>
            <w:tcBorders>
              <w:bottom w:val="single" w:sz="8" w:color="CCEEFF"/>
            </w:tcBorders>
          </w:tcPr>
          <w:p>
            <w:pPr>
              <w:spacing w:after="0"/>
              <w:rPr>
                <w:sz w:val="11"/>
                <w:szCs w:val="11"/>
                <w:color w:val="auto"/>
              </w:rPr>
            </w:pPr>
          </w:p>
        </w:tc>
        <w:tc>
          <w:tcPr>
            <w:tcW w:w="55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1"/>
                <w:szCs w:val="11"/>
                <w:color w:val="auto"/>
              </w:rPr>
            </w:pPr>
          </w:p>
        </w:tc>
      </w:tr>
      <w:tr>
        <w:trPr>
          <w:trHeight w:val="128"/>
        </w:trPr>
        <w:tc>
          <w:tcPr>
            <w:tcW w:w="5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26,100</w:t>
            </w:r>
          </w:p>
        </w:tc>
        <w:tc>
          <w:tcPr>
            <w:tcW w:w="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24,674</w:t>
            </w:r>
          </w:p>
        </w:tc>
        <w:tc>
          <w:tcPr>
            <w:tcW w:w="20" w:type="dxa"/>
            <w:vAlign w:val="bottom"/>
            <w:shd w:val="clear" w:color="auto" w:fill="CCEEFF"/>
          </w:tcPr>
          <w:p>
            <w:pPr>
              <w:spacing w:after="0"/>
              <w:rPr>
                <w:sz w:val="11"/>
                <w:szCs w:val="11"/>
                <w:color w:val="auto"/>
              </w:rPr>
            </w:pPr>
          </w:p>
        </w:tc>
      </w:tr>
      <w:tr>
        <w:trPr>
          <w:trHeight w:val="149"/>
        </w:trPr>
        <w:tc>
          <w:tcPr>
            <w:tcW w:w="5680" w:type="dxa"/>
            <w:vAlign w:val="bottom"/>
            <w:gridSpan w:val="2"/>
          </w:tcPr>
          <w:p>
            <w:pPr>
              <w:spacing w:after="0"/>
              <w:rPr>
                <w:sz w:val="20"/>
                <w:szCs w:val="20"/>
                <w:color w:val="auto"/>
              </w:rPr>
            </w:pPr>
            <w:r>
              <w:rPr>
                <w:rFonts w:ascii="Arial" w:cs="Arial" w:eastAsia="Arial" w:hAnsi="Arial"/>
                <w:sz w:val="11"/>
                <w:szCs w:val="11"/>
                <w:color w:val="auto"/>
              </w:rPr>
              <w:t>Other comprehensive income (loss):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0" w:type="dxa"/>
            <w:vAlign w:val="bottom"/>
            <w:shd w:val="clear" w:color="auto" w:fill="CCEEFF"/>
          </w:tcPr>
          <w:p>
            <w:pPr>
              <w:spacing w:after="0"/>
              <w:rPr>
                <w:sz w:val="12"/>
                <w:szCs w:val="12"/>
                <w:color w:val="auto"/>
              </w:rPr>
            </w:pP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Unrealized gain (loss) on investment securities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11,661</w:t>
            </w: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(592)</w:t>
            </w:r>
          </w:p>
        </w:tc>
      </w:tr>
      <w:tr>
        <w:trPr>
          <w:trHeight w:val="139"/>
        </w:trPr>
        <w:tc>
          <w:tcPr>
            <w:tcW w:w="5680" w:type="dxa"/>
            <w:vAlign w:val="bottom"/>
            <w:gridSpan w:val="2"/>
          </w:tcPr>
          <w:p>
            <w:pPr>
              <w:ind w:left="100"/>
              <w:spacing w:after="0"/>
              <w:rPr>
                <w:sz w:val="20"/>
                <w:szCs w:val="20"/>
                <w:color w:val="auto"/>
              </w:rPr>
            </w:pPr>
            <w:r>
              <w:rPr>
                <w:rFonts w:ascii="Arial" w:cs="Arial" w:eastAsia="Arial" w:hAnsi="Arial"/>
                <w:sz w:val="11"/>
                <w:szCs w:val="11"/>
                <w:color w:val="auto"/>
              </w:rPr>
              <w:t>Amortization of net unrealized losses on securities transferred from available-for-sale to held-to-maturity</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267</w:t>
            </w:r>
          </w:p>
        </w:tc>
        <w:tc>
          <w:tcPr>
            <w:tcW w:w="20" w:type="dxa"/>
            <w:vAlign w:val="bottom"/>
          </w:tcPr>
          <w:p>
            <w:pPr>
              <w:spacing w:after="0"/>
              <w:rPr>
                <w:sz w:val="12"/>
                <w:szCs w:val="12"/>
                <w:color w:val="auto"/>
              </w:rPr>
            </w:pPr>
          </w:p>
        </w:tc>
      </w:tr>
      <w:tr>
        <w:trPr>
          <w:trHeight w:val="139"/>
        </w:trPr>
        <w:tc>
          <w:tcPr>
            <w:tcW w:w="100" w:type="dxa"/>
            <w:vAlign w:val="bottom"/>
            <w:shd w:val="clear" w:color="auto" w:fill="CCEEFF"/>
          </w:tcPr>
          <w:p>
            <w:pPr>
              <w:spacing w:after="0"/>
              <w:rPr>
                <w:sz w:val="12"/>
                <w:szCs w:val="12"/>
                <w:color w:val="auto"/>
              </w:rPr>
            </w:pPr>
          </w:p>
        </w:tc>
        <w:tc>
          <w:tcPr>
            <w:tcW w:w="5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Reclassification adjustment on sale of available for sale securities for (income) loss included in net income</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7,526</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w:t>
            </w:r>
          </w:p>
        </w:tc>
      </w:tr>
      <w:tr>
        <w:trPr>
          <w:trHeight w:val="129"/>
        </w:trPr>
        <w:tc>
          <w:tcPr>
            <w:tcW w:w="5680" w:type="dxa"/>
            <w:vAlign w:val="bottom"/>
            <w:gridSpan w:val="2"/>
          </w:tcPr>
          <w:p>
            <w:pPr>
              <w:ind w:left="100"/>
              <w:spacing w:after="0"/>
              <w:rPr>
                <w:sz w:val="20"/>
                <w:szCs w:val="20"/>
                <w:color w:val="auto"/>
              </w:rPr>
            </w:pPr>
            <w:r>
              <w:rPr>
                <w:rFonts w:ascii="Arial" w:cs="Arial" w:eastAsia="Arial" w:hAnsi="Arial"/>
                <w:sz w:val="11"/>
                <w:szCs w:val="11"/>
                <w:color w:val="auto"/>
              </w:rPr>
              <w:t>Unrealized loss on cash flow hedge</w:t>
            </w:r>
          </w:p>
        </w:tc>
        <w:tc>
          <w:tcPr>
            <w:tcW w:w="16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(340)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(13)</w:t>
            </w:r>
          </w:p>
        </w:tc>
      </w:tr>
      <w:tr>
        <w:trPr>
          <w:trHeight w:val="139"/>
        </w:trPr>
        <w:tc>
          <w:tcPr>
            <w:tcW w:w="100" w:type="dxa"/>
            <w:vAlign w:val="bottom"/>
            <w:shd w:val="clear" w:color="auto" w:fill="CCEEFF"/>
          </w:tcPr>
          <w:p>
            <w:pPr>
              <w:spacing w:after="0"/>
              <w:rPr>
                <w:sz w:val="12"/>
                <w:szCs w:val="12"/>
                <w:color w:val="auto"/>
              </w:rPr>
            </w:pPr>
          </w:p>
        </w:tc>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Tax (expense) benefit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(4,844)</w:t>
            </w:r>
          </w:p>
        </w:tc>
        <w:tc>
          <w:tcPr>
            <w:tcW w:w="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20" w:type="dxa"/>
            <w:vAlign w:val="bottom"/>
            <w:shd w:val="clear" w:color="auto" w:fill="CCEEFF"/>
          </w:tcPr>
          <w:p>
            <w:pPr>
              <w:spacing w:after="0"/>
              <w:rPr>
                <w:sz w:val="12"/>
                <w:szCs w:val="12"/>
                <w:color w:val="auto"/>
              </w:rPr>
            </w:pPr>
          </w:p>
        </w:tc>
      </w:tr>
      <w:tr>
        <w:trPr>
          <w:trHeight w:val="20"/>
        </w:trPr>
        <w:tc>
          <w:tcPr>
            <w:tcW w:w="568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color w:val="auto"/>
              </w:rPr>
              <w:t>Total other comprehensive income (loss), net of tax</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14,269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(263)</w:t>
            </w:r>
          </w:p>
        </w:tc>
      </w:tr>
      <w:tr>
        <w:trPr>
          <w:trHeight w:val="140"/>
        </w:trPr>
        <w:tc>
          <w:tcPr>
            <w:tcW w:w="56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comprehensive income</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40,369</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24,411</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900" w:type="dxa"/>
            <w:vAlign w:val="bottom"/>
          </w:tcPr>
          <w:p>
            <w:pPr>
              <w:spacing w:after="0"/>
              <w:rPr>
                <w:sz w:val="11"/>
                <w:szCs w:val="11"/>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Additional Paid-in</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1"/>
                <w:szCs w:val="11"/>
                <w:color w:val="auto"/>
              </w:rPr>
            </w:pPr>
          </w:p>
        </w:tc>
        <w:tc>
          <w:tcPr>
            <w:tcW w:w="920" w:type="dxa"/>
            <w:vAlign w:val="bottom"/>
          </w:tcPr>
          <w:p>
            <w:pPr>
              <w:jc w:val="center"/>
              <w:ind w:right="4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Capital on</w:t>
            </w:r>
          </w:p>
        </w:tc>
        <w:tc>
          <w:tcPr>
            <w:tcW w:w="100" w:type="dxa"/>
            <w:vAlign w:val="bottom"/>
          </w:tcPr>
          <w:p>
            <w:pPr>
              <w:spacing w:after="0"/>
              <w:rPr>
                <w:sz w:val="11"/>
                <w:szCs w:val="11"/>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11"/>
                <w:szCs w:val="11"/>
                <w:color w:val="auto"/>
              </w:rPr>
            </w:pPr>
          </w:p>
        </w:tc>
        <w:tc>
          <w:tcPr>
            <w:tcW w:w="920" w:type="dxa"/>
            <w:vAlign w:val="bottom"/>
          </w:tcPr>
          <w:p>
            <w:pPr>
              <w:jc w:val="center"/>
              <w:ind w:right="63"/>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Par Value</w:t>
            </w: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920" w:type="dxa"/>
            <w:vAlign w:val="bottom"/>
          </w:tcPr>
          <w:p>
            <w:pPr>
              <w:jc w:val="right"/>
              <w:ind w:right="283"/>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Loss</w:t>
            </w:r>
          </w:p>
        </w:tc>
        <w:tc>
          <w:tcPr>
            <w:tcW w:w="100" w:type="dxa"/>
            <w:vAlign w:val="bottom"/>
          </w:tcPr>
          <w:p>
            <w:pPr>
              <w:spacing w:after="0"/>
              <w:rPr>
                <w:sz w:val="11"/>
                <w:szCs w:val="11"/>
                <w:color w:val="auto"/>
              </w:rPr>
            </w:pPr>
          </w:p>
        </w:tc>
        <w:tc>
          <w:tcPr>
            <w:tcW w:w="920" w:type="dxa"/>
            <w:vAlign w:val="bottom"/>
          </w:tcPr>
          <w:p>
            <w:pPr>
              <w:jc w:val="center"/>
              <w:ind w:right="4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00" w:type="dxa"/>
            <w:vAlign w:val="bottom"/>
            <w:shd w:val="clear" w:color="auto" w:fill="CCEEFF"/>
          </w:tcPr>
          <w:p>
            <w:pPr>
              <w:spacing w:after="0"/>
              <w:rPr>
                <w:sz w:val="20"/>
                <w:szCs w:val="20"/>
                <w:color w:val="auto"/>
              </w:rPr>
            </w:pPr>
            <w:r>
              <w:rPr>
                <w:rFonts w:ascii="Arial" w:cs="Arial" w:eastAsia="Arial" w:hAnsi="Arial"/>
                <w:sz w:val="11"/>
                <w:szCs w:val="11"/>
                <w:color w:val="auto"/>
              </w:rPr>
              <w:t>Balance at January 1, 2025</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19,924,632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center"/>
              <w:ind w:right="4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19,925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307,810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215,388</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26,100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26,100</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14,269</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Repurchase of Class A common stock</w:t>
            </w:r>
          </w:p>
        </w:tc>
        <w:tc>
          <w:tcPr>
            <w:tcW w:w="900" w:type="dxa"/>
            <w:vAlign w:val="bottom"/>
          </w:tcPr>
          <w:p>
            <w:pPr>
              <w:jc w:val="right"/>
              <w:spacing w:after="0"/>
              <w:rPr>
                <w:sz w:val="20"/>
                <w:szCs w:val="20"/>
                <w:color w:val="auto"/>
              </w:rPr>
            </w:pPr>
            <w:r>
              <w:rPr>
                <w:rFonts w:ascii="Arial" w:cs="Arial" w:eastAsia="Arial" w:hAnsi="Arial"/>
                <w:sz w:val="11"/>
                <w:szCs w:val="11"/>
                <w:color w:val="auto"/>
              </w:rPr>
              <w:t>(2,009,671)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(2,010)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(32,544)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(34,554)</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124,424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1"/>
                <w:szCs w:val="11"/>
                <w:color w:val="auto"/>
              </w:rPr>
              <w:t>98,500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99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804</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 payment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(7,829)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(7,829)</w:t>
            </w:r>
          </w:p>
        </w:tc>
        <w:tc>
          <w:tcPr>
            <w:tcW w:w="0" w:type="dxa"/>
            <w:vAlign w:val="bottom"/>
          </w:tcPr>
          <w:p>
            <w:pPr>
              <w:spacing w:after="0"/>
              <w:rPr>
                <w:sz w:val="1"/>
                <w:szCs w:val="1"/>
                <w:color w:val="auto"/>
              </w:rPr>
            </w:pPr>
          </w:p>
        </w:tc>
      </w:tr>
      <w:tr>
        <w:trPr>
          <w:trHeight w:val="160"/>
        </w:trPr>
        <w:tc>
          <w:tcPr>
            <w:tcW w:w="39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3,005</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3,005</w:t>
            </w:r>
          </w:p>
        </w:tc>
        <w:tc>
          <w:tcPr>
            <w:tcW w:w="0" w:type="dxa"/>
            <w:vAlign w:val="bottom"/>
          </w:tcPr>
          <w:p>
            <w:pPr>
              <w:spacing w:after="0"/>
              <w:rPr>
                <w:sz w:val="1"/>
                <w:szCs w:val="1"/>
                <w:color w:val="auto"/>
              </w:rPr>
            </w:pPr>
          </w:p>
        </w:tc>
      </w:tr>
      <w:tr>
        <w:trPr>
          <w:trHeight w:val="161"/>
        </w:trPr>
        <w:tc>
          <w:tcPr>
            <w:tcW w:w="3900" w:type="dxa"/>
            <w:vAlign w:val="bottom"/>
            <w:shd w:val="clear" w:color="auto" w:fill="CCEEFF"/>
          </w:tcPr>
          <w:p>
            <w:pPr>
              <w:spacing w:after="0"/>
              <w:rPr>
                <w:sz w:val="20"/>
                <w:szCs w:val="20"/>
                <w:color w:val="auto"/>
              </w:rPr>
            </w:pPr>
            <w:r>
              <w:rPr>
                <w:rFonts w:ascii="Arial" w:cs="Arial" w:eastAsia="Arial" w:hAnsi="Arial"/>
                <w:sz w:val="11"/>
                <w:szCs w:val="11"/>
                <w:color w:val="auto"/>
              </w:rPr>
              <w:t>Balance at December 31,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18,137,885</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center"/>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18,138</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278,852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(49,542)</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(30,265)</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217,183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rPr>
                <w:sz w:val="20"/>
                <w:szCs w:val="20"/>
                <w:color w:val="auto"/>
              </w:rPr>
            </w:pPr>
            <w:r>
              <w:rPr>
                <w:rFonts w:ascii="Arial" w:cs="Arial" w:eastAsia="Arial" w:hAnsi="Arial"/>
                <w:sz w:val="11"/>
                <w:szCs w:val="11"/>
                <w:color w:val="auto"/>
              </w:rPr>
              <w:t>Balance at January 1, 2024</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19,575,435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center"/>
              <w:ind w:right="4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19,575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(88,548)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191,968</w:t>
            </w:r>
          </w:p>
        </w:tc>
        <w:tc>
          <w:tcPr>
            <w:tcW w:w="0" w:type="dxa"/>
            <w:vAlign w:val="bottom"/>
          </w:tcPr>
          <w:p>
            <w:pPr>
              <w:spacing w:after="0"/>
              <w:rPr>
                <w:sz w:val="1"/>
                <w:szCs w:val="1"/>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24,674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24,674</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(263)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1"/>
                <w:szCs w:val="11"/>
                <w:color w:val="auto"/>
              </w:rPr>
              <w:t>Repurchase of Class A common stock</w:t>
            </w:r>
          </w:p>
        </w:tc>
        <w:tc>
          <w:tcPr>
            <w:tcW w:w="900" w:type="dxa"/>
            <w:vAlign w:val="bottom"/>
          </w:tcPr>
          <w:p>
            <w:pPr>
              <w:jc w:val="right"/>
              <w:spacing w:after="0"/>
              <w:rPr>
                <w:sz w:val="20"/>
                <w:szCs w:val="20"/>
                <w:color w:val="auto"/>
              </w:rPr>
            </w:pPr>
            <w:r>
              <w:rPr>
                <w:rFonts w:ascii="Arial" w:cs="Arial" w:eastAsia="Arial" w:hAnsi="Arial"/>
                <w:sz w:val="11"/>
                <w:szCs w:val="11"/>
                <w:color w:val="auto"/>
              </w:rPr>
              <w:t>(42,100)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(501)</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277,922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(278)</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Restricted stock forfeiture</w:t>
            </w:r>
          </w:p>
        </w:tc>
        <w:tc>
          <w:tcPr>
            <w:tcW w:w="900" w:type="dxa"/>
            <w:vAlign w:val="bottom"/>
          </w:tcPr>
          <w:p>
            <w:pPr>
              <w:jc w:val="right"/>
              <w:spacing w:after="0"/>
              <w:rPr>
                <w:sz w:val="20"/>
                <w:szCs w:val="20"/>
                <w:color w:val="auto"/>
              </w:rPr>
            </w:pPr>
            <w:r>
              <w:rPr>
                <w:rFonts w:ascii="Arial" w:cs="Arial" w:eastAsia="Arial" w:hAnsi="Arial"/>
                <w:sz w:val="11"/>
                <w:szCs w:val="11"/>
                <w:color w:val="auto"/>
              </w:rPr>
              <w:t>(8,625)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122,000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1,319</w:t>
            </w:r>
          </w:p>
        </w:tc>
        <w:tc>
          <w:tcPr>
            <w:tcW w:w="0" w:type="dxa"/>
            <w:vAlign w:val="bottom"/>
          </w:tcPr>
          <w:p>
            <w:pPr>
              <w:spacing w:after="0"/>
              <w:rPr>
                <w:sz w:val="1"/>
                <w:szCs w:val="1"/>
                <w:color w:val="auto"/>
              </w:rPr>
            </w:pPr>
          </w:p>
        </w:tc>
      </w:tr>
      <w:tr>
        <w:trPr>
          <w:trHeight w:val="160"/>
        </w:trPr>
        <w:tc>
          <w:tcPr>
            <w:tcW w:w="3900" w:type="dxa"/>
            <w:vAlign w:val="bottom"/>
          </w:tcPr>
          <w:p>
            <w:pPr>
              <w:ind w:left="100"/>
              <w:spacing w:after="0"/>
              <w:rPr>
                <w:sz w:val="20"/>
                <w:szCs w:val="20"/>
                <w:color w:val="auto"/>
              </w:rPr>
            </w:pPr>
            <w:r>
              <w:rPr>
                <w:rFonts w:ascii="Arial" w:cs="Arial" w:eastAsia="Arial" w:hAnsi="Arial"/>
                <w:sz w:val="11"/>
                <w:szCs w:val="11"/>
                <w:color w:val="auto"/>
              </w:rPr>
              <w:t>Dividend payment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(3,939)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(3,939)</w:t>
            </w:r>
          </w:p>
        </w:tc>
        <w:tc>
          <w:tcPr>
            <w:tcW w:w="0" w:type="dxa"/>
            <w:vAlign w:val="bottom"/>
          </w:tcPr>
          <w:p>
            <w:pPr>
              <w:spacing w:after="0"/>
              <w:rPr>
                <w:sz w:val="1"/>
                <w:szCs w:val="1"/>
                <w:color w:val="auto"/>
              </w:rPr>
            </w:pPr>
          </w:p>
        </w:tc>
      </w:tr>
      <w:tr>
        <w:trPr>
          <w:trHeight w:val="160"/>
        </w:trPr>
        <w:tc>
          <w:tcPr>
            <w:tcW w:w="3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2,130</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2,130</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20"/>
                <w:szCs w:val="20"/>
                <w:color w:val="auto"/>
              </w:rPr>
            </w:pPr>
            <w:r>
              <w:rPr>
                <w:rFonts w:ascii="Arial" w:cs="Arial" w:eastAsia="Arial" w:hAnsi="Arial"/>
                <w:sz w:val="11"/>
                <w:szCs w:val="11"/>
                <w:color w:val="auto"/>
              </w:rPr>
              <w:t>Balance at December 31, 2024</w:t>
            </w:r>
          </w:p>
        </w:tc>
        <w:tc>
          <w:tcPr>
            <w:tcW w:w="900" w:type="dxa"/>
            <w:vAlign w:val="bottom"/>
          </w:tcPr>
          <w:p>
            <w:pPr>
              <w:jc w:val="right"/>
              <w:spacing w:after="0"/>
              <w:rPr>
                <w:sz w:val="20"/>
                <w:szCs w:val="20"/>
                <w:color w:val="auto"/>
              </w:rPr>
            </w:pPr>
            <w:r>
              <w:rPr>
                <w:rFonts w:ascii="Arial" w:cs="Arial" w:eastAsia="Arial" w:hAnsi="Arial"/>
                <w:sz w:val="11"/>
                <w:szCs w:val="11"/>
                <w:color w:val="auto"/>
              </w:rPr>
              <w:t>19,924,632</w:t>
            </w:r>
          </w:p>
        </w:tc>
        <w:tc>
          <w:tcPr>
            <w:tcW w:w="22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19,925</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307,810</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(67,813)</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(44,534)</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215,388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10240"/>
          </w:cols>
          <w:pgMar w:left="900" w:top="477" w:right="759" w:bottom="1440" w:gutter="0" w:footer="0" w:header="0"/>
        </w:sectPr>
      </w:pPr>
    </w:p>
    <w:bookmarkStart w:id="81" w:name="page82"/>
    <w:bookmarkEnd w:id="8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Years Ended December 31,</w:t>
            </w:r>
          </w:p>
        </w:tc>
      </w:tr>
      <w:tr>
        <w:trPr>
          <w:trHeight w:val="140"/>
        </w:trPr>
        <w:tc>
          <w:tcPr>
            <w:tcW w:w="5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26,100</w:t>
            </w:r>
          </w:p>
        </w:tc>
        <w:tc>
          <w:tcPr>
            <w:tcW w:w="4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24,674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2,297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3,157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Accretion of premiums on securities, net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(1,540)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(521)</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Amortization of deferred loan fees, net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3,005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2,130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Loss (gain) on sale of available for sale securities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7,526</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Gain on sale of loans held for sale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(1,001)</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(747)</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the sale of loans held for sale</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13,810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9,137</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Origination of loans held for sale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(12,809)</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(8,390)</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Increase in cash surrender value of bank owned life insurance</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(1,952)</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(1,691)</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Decrease in deferred tax asset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6,756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7,725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change in operating assets and liabilities: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Accrued interest receivable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(716)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(257)</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assets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(5,930)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(6,223)</w:t>
            </w:r>
          </w:p>
        </w:tc>
      </w:tr>
      <w:tr>
        <w:trPr>
          <w:trHeight w:val="160"/>
        </w:trPr>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Accrued interest and other liabilities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5,620</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4,610</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Net cash provided by operating activities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42,805</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34,837</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 securities held to maturity</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10,935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10,461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investment securities available for sale</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(139,841)</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(85,673)</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 securities available for sale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23,364</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20,045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sales of investment securities available for sale</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82,497</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34,753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increase in loans held for investment</w:t>
            </w:r>
          </w:p>
        </w:tc>
        <w:tc>
          <w:tcPr>
            <w:tcW w:w="12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1"/>
                <w:szCs w:val="11"/>
                <w:color w:val="auto"/>
              </w:rPr>
              <w:t>(136,726)</w:t>
            </w:r>
          </w:p>
        </w:tc>
        <w:tc>
          <w:tcPr>
            <w:tcW w:w="2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(126,049)</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loans held for investment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(81,392)</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(66,605)</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Additions to premises and equipment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(303)</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(314)</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the redemption of Federal Home Loan Bank stock</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16,221</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11,733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Federal Home Loan Bank stock</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(16,165)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(10,959)</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bank owned life insurance, net</w:t>
            </w:r>
          </w:p>
        </w:tc>
        <w:tc>
          <w:tcPr>
            <w:tcW w:w="12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(4,000)</w:t>
            </w:r>
          </w:p>
        </w:tc>
        <w:tc>
          <w:tcPr>
            <w:tcW w:w="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5"/>
        </w:trPr>
        <w:tc>
          <w:tcPr>
            <w:tcW w:w="5240" w:type="dxa"/>
            <w:vAlign w:val="bottom"/>
          </w:tcPr>
          <w:p>
            <w:pPr>
              <w:ind w:left="300"/>
              <w:spacing w:after="0"/>
              <w:rPr>
                <w:sz w:val="20"/>
                <w:szCs w:val="20"/>
                <w:color w:val="auto"/>
              </w:rPr>
            </w:pPr>
            <w:r>
              <w:rPr>
                <w:rFonts w:ascii="Arial" w:cs="Arial" w:eastAsia="Arial" w:hAnsi="Arial"/>
                <w:sz w:val="11"/>
                <w:szCs w:val="11"/>
                <w:color w:val="auto"/>
              </w:rPr>
              <w:t>Net cash used in investment activities</w:t>
            </w:r>
          </w:p>
        </w:tc>
        <w:tc>
          <w:tcPr>
            <w:tcW w:w="12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1"/>
                <w:szCs w:val="11"/>
                <w:color w:val="auto"/>
              </w:rPr>
              <w:t>(245,410)</w:t>
            </w:r>
          </w:p>
        </w:tc>
        <w:tc>
          <w:tcPr>
            <w:tcW w:w="2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(212,608)</w:t>
            </w:r>
          </w:p>
        </w:tc>
      </w:tr>
      <w:tr>
        <w:trPr>
          <w:trHeight w:val="159"/>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(Continued)</w:t>
            </w:r>
          </w:p>
        </w:tc>
      </w:tr>
    </w:tbl>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2" w:name="page83"/>
    <w:bookmarkEnd w:id="8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Cash Flows (Continued)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1"/>
                <w:szCs w:val="11"/>
                <w:b w:val="1"/>
                <w:bCs w:val="1"/>
                <w:color w:val="auto"/>
              </w:rPr>
              <w:t>Years Ended December 31,</w:t>
            </w:r>
          </w:p>
        </w:tc>
        <w:tc>
          <w:tcPr>
            <w:tcW w:w="20" w:type="dxa"/>
            <w:vAlign w:val="bottom"/>
          </w:tcPr>
          <w:p>
            <w:pPr>
              <w:spacing w:after="0"/>
              <w:rPr>
                <w:sz w:val="11"/>
                <w:szCs w:val="11"/>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exercise of Class A common stock options, net</w:t>
            </w:r>
          </w:p>
        </w:tc>
        <w:tc>
          <w:tcPr>
            <w:tcW w:w="1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804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1,319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Cash dividends paid</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Repurchase of Class A common stock</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(34,554)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increase in deposits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171,076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236,865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40"/>
              <w:spacing w:after="0"/>
              <w:rPr>
                <w:sz w:val="20"/>
                <w:szCs w:val="20"/>
                <w:color w:val="auto"/>
              </w:rPr>
            </w:pPr>
            <w:r>
              <w:rPr>
                <w:rFonts w:ascii="Arial" w:cs="Arial" w:eastAsia="Arial" w:hAnsi="Arial"/>
                <w:sz w:val="11"/>
                <w:szCs w:val="11"/>
                <w:color w:val="auto"/>
              </w:rPr>
              <w:t>Proceeds from subordinated notes, net</w:t>
            </w:r>
          </w:p>
        </w:tc>
        <w:tc>
          <w:tcPr>
            <w:tcW w:w="1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39,300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Federal Home Loan Bank advances and other borrowings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336,750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227,000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Repayments on Federal Home Loan Bank advances and other borrowings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(341,500)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(247,000)</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cash provided by financing activities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164,047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213,744</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Net increase (decrease) in cash and cash equivalents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35,973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Cash and cash equivalents at beginning of period</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77,035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41,062</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38,477</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77,035</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40"/>
              <w:spacing w:after="0"/>
              <w:rPr>
                <w:sz w:val="20"/>
                <w:szCs w:val="20"/>
                <w:color w:val="auto"/>
              </w:rPr>
            </w:pPr>
            <w:r>
              <w:rPr>
                <w:rFonts w:ascii="Arial" w:cs="Arial" w:eastAsia="Arial" w:hAnsi="Arial"/>
                <w:sz w:val="11"/>
                <w:szCs w:val="11"/>
                <w:color w:val="auto"/>
              </w:rPr>
              <w:t>Interest paid</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59,998</w:t>
            </w: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60,544</w:t>
            </w:r>
          </w:p>
        </w:tc>
        <w:tc>
          <w:tcPr>
            <w:tcW w:w="20" w:type="dxa"/>
            <w:vAlign w:val="bottom"/>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3" w:name="page84"/>
    <w:bookmarkEnd w:id="8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040" w:hanging="377"/>
        <w:spacing w:after="0"/>
        <w:tabs>
          <w:tab w:leader="none" w:pos="104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24" w:lineRule="exact"/>
        <w:rPr>
          <w:sz w:val="20"/>
          <w:szCs w:val="20"/>
          <w:color w:val="auto"/>
        </w:rPr>
      </w:pPr>
    </w:p>
    <w:p>
      <w:pPr>
        <w:jc w:val="both"/>
        <w:ind w:left="660" w:right="699" w:firstLine="256"/>
        <w:spacing w:after="0" w:line="282" w:lineRule="auto"/>
        <w:rPr>
          <w:sz w:val="20"/>
          <w:szCs w:val="20"/>
          <w:color w:val="auto"/>
        </w:rPr>
      </w:pPr>
      <w:r>
        <w:rPr>
          <w:rFonts w:ascii="Arial" w:cs="Arial" w:eastAsia="Arial" w:hAnsi="Arial"/>
          <w:sz w:val="13"/>
          <w:szCs w:val="13"/>
          <w:color w:val="auto"/>
        </w:rPr>
        <w:t>In December 2021, USCB Financial Holdings, Inc. acquired all issued and outstanding shares of the Class A common stock of the Bank in connection with the reorganization of the Bank into a holding company structure. Each of the outstanding shares of the Bank’s class A common stock, par value $1.00 per share, formerly held by its stockholders were converted into and exchanged for one newly issued share of the Company’s Class A common stock, par value $1.00 per share.</w:t>
      </w:r>
    </w:p>
    <w:p>
      <w:pPr>
        <w:spacing w:after="0" w:line="11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tittle LLC began operations in 2021.</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Intercompany transactions and balances are eliminated in consolidation. The consolidated financial statements have been prepared in accordance with GAAP.</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 has established policies and control procedures that are intended to ensure valuation methods are controlled and applied consistently from period to period. These estimates and assumptions, which may materially affect the reported amounts of certain assets, liabilities, revenues and expenses, are based on information available as of the date of the financial statements, and changes in this information over time and the use of revised estimates and assumptions could materially affect amounts reported in subsequent financial statements.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and Cash Equivalents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Cash</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may be required to maintain funds at other banks to satisfy the terms of a loan participation agreement. The Company reports restricted cash within cash and cash equivalents. At both December 31, 2025 and 2024, the Company had $0 in restricted cash.</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Interest-Bearing Deposits in Banks</w:t>
      </w:r>
    </w:p>
    <w:p>
      <w:pPr>
        <w:spacing w:after="0" w:line="170" w:lineRule="exact"/>
        <w:rPr>
          <w:sz w:val="20"/>
          <w:szCs w:val="20"/>
          <w:color w:val="auto"/>
        </w:rPr>
      </w:pPr>
    </w:p>
    <w:p>
      <w:pPr>
        <w:ind w:left="660" w:right="639" w:firstLine="256"/>
        <w:spacing w:after="0" w:line="276" w:lineRule="auto"/>
        <w:rPr>
          <w:sz w:val="20"/>
          <w:szCs w:val="20"/>
          <w:color w:val="auto"/>
        </w:rPr>
      </w:pPr>
      <w:r>
        <w:rPr>
          <w:rFonts w:ascii="Arial" w:cs="Arial" w:eastAsia="Arial" w:hAnsi="Arial"/>
          <w:sz w:val="14"/>
          <w:szCs w:val="14"/>
          <w:color w:val="auto"/>
        </w:rPr>
        <w:t>Interest-bearing deposits in other financial institutions consist of accounts at the Federal Reserve Bank of Atlanta, Federal Home Loan Bank of Atlanta and other accounts.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Investment Securities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Debt securities are recorded at fair value except for those securities which the Company has the positive intent and ability to hold to maturity. Management generally determines the appropriate classification of its securities at the time of purchase and accounts for them on a trade date basis.</w:t>
      </w:r>
    </w:p>
    <w:p>
      <w:pPr>
        <w:spacing w:after="0" w:line="134"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w:t>
      </w:r>
    </w:p>
    <w:p>
      <w:pPr>
        <w:spacing w:after="0" w:line="3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4" w:name="page85"/>
    <w:bookmarkEnd w:id="8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4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For available-for-sale debt securities in an unrealized loss position, the Company first assesses whether it intends to sell, or it is more likely than not that it will be required to sell, the security before recovery of its amortized cost basis. If the Company has the intent to sell, or is required to sell, the difference between fair value and amortized cost is considered impaired and is recognized in the provision for credit losses. For available-for-sale debt securities that do not meet the aforementioned criteria, the Company evaluates whether the decline in fair value has resulted from credit factors or other market conditions. The Company monitors the credit quality of debt securities through the use of credit ratings. Credit ratings are monitored by the Company on at least a quarterly basis.</w:t>
      </w:r>
    </w:p>
    <w:p>
      <w:pPr>
        <w:spacing w:after="0" w:line="138"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and/or implicit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Federal Home Loan Bank (FHLB) Stock</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2025 and 2024, FHLB stock amounted to $ 9.3 million and $9.4 million, respectively, with no impairment deemed necessary. Both cash and stock dividends are reported as interest income.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Loans Held for Investment and Allowance for Credit Losses (“ACL”)</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Loans held for investment (“loans”) are reported at their outstanding principal balance net of charge-offs, deferred loan cost,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124"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3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has determined that the entire balance of a loan is contractually delinquent for all loan categories if the minimum payment is not received by the specified due date on the borrower's statement. Interest and fees continue to accrue on past due loans until the date the loan goes into nonaccrual status.</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provides for loan losses through a provision for credit losses charged to earnings. When management believes that a loan or a portion of the loan balance is uncollectible, that amount is charged against the ACL. Subsequent recoveries, if any, are credited to the ACL.</w:t>
      </w: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5" w:name="page86"/>
    <w:bookmarkEnd w:id="8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ACL reflects management's judgment of expected loan losses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35" w:lineRule="exact"/>
        <w:rPr>
          <w:sz w:val="20"/>
          <w:szCs w:val="20"/>
          <w:color w:val="auto"/>
        </w:rPr>
      </w:pP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Residential real estate</w:t>
      </w:r>
    </w:p>
    <w:p>
      <w:pPr>
        <w:spacing w:after="0" w:line="13" w:lineRule="exact"/>
        <w:rPr>
          <w:rFonts w:ascii="Arial" w:cs="Arial" w:eastAsia="Arial" w:hAnsi="Arial"/>
          <w:sz w:val="14"/>
          <w:szCs w:val="14"/>
          <w:color w:val="auto"/>
        </w:rPr>
      </w:pP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Commercial real estate</w:t>
      </w: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Commercial and industrial</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Correspondent banks</w:t>
      </w:r>
    </w:p>
    <w:p>
      <w:pPr>
        <w:ind w:left="1180" w:hanging="261"/>
        <w:spacing w:after="0"/>
        <w:tabs>
          <w:tab w:leader="none" w:pos="11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loans (secured and unsecured consumer loans)</w:t>
      </w:r>
    </w:p>
    <w:p>
      <w:pPr>
        <w:spacing w:after="0" w:line="156" w:lineRule="exact"/>
        <w:rPr>
          <w:sz w:val="20"/>
          <w:szCs w:val="20"/>
          <w:color w:val="auto"/>
        </w:rPr>
      </w:pPr>
    </w:p>
    <w:p>
      <w:pPr>
        <w:jc w:val="both"/>
        <w:ind w:left="660" w:right="619" w:firstLine="256"/>
        <w:spacing w:after="0" w:line="251" w:lineRule="auto"/>
        <w:rPr>
          <w:sz w:val="20"/>
          <w:szCs w:val="20"/>
          <w:color w:val="auto"/>
        </w:rPr>
      </w:pPr>
      <w:r>
        <w:rPr>
          <w:rFonts w:ascii="Arial" w:cs="Arial" w:eastAsia="Arial" w:hAnsi="Arial"/>
          <w:sz w:val="14"/>
          <w:szCs w:val="14"/>
          <w:color w:val="auto"/>
        </w:rPr>
        <w:t>Residential real estate loans are underwritten following the policies of the Company which include a review of the borrower’s credit, capacity and the collateral securing the loan. The borrower’s ability to repay involves an analysis of factors including: current income, employment status, monthly payment of the loan, current debt obligations, monthly debt to income ratio and credit history. The Company relies on appraisals in determining the value of the property. Risk is mitigated by this analysis and the diversity of the residential portfolio.</w:t>
      </w:r>
    </w:p>
    <w:p>
      <w:pPr>
        <w:spacing w:after="0" w:line="14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Commercial real estate loans are secured by liens on commercial properties, land, construction and multifamily housing. Underwriting of commercial real estate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loan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128"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Commercial and industrial loans are secured by the business assets of the borrower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portfolio through industry diversification.</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Correspondent bank loans are short-term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where the borrower is located and a review by the authorized signer within the Company. The risk is mitigated as these loans are short term, have limited exposure, and are geographically dispersed.</w:t>
      </w:r>
    </w:p>
    <w:p>
      <w:pPr>
        <w:spacing w:after="0" w:line="14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Other loans are secured and unsecured consumer loans including yacht loans, personal loans, home equity lines of credit,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135"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Under CECL, the Company estimates the ACL using relevant available information, from both internal and external sources, relating to past events, current conditions, and reasonable and supportable forecasts. Historical credit losses provide the basis for estimation of expected credit losses. Qualitative adjustments are applied to the 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40"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37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6" w:name="page87"/>
    <w:bookmarkEnd w:id="8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Management elected the Remaining Life (WARM) methodology for correspondent bank loans and secured and unsecured consumer loan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solution that uses an attrition-based calculation that performs quarterly, cohort-based attrition measurements based on the loan portfolio.</w:t>
      </w:r>
    </w:p>
    <w:p>
      <w:pPr>
        <w:spacing w:after="0" w:line="14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the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HPI projections published by Fannie Mae’s Economic and Strategic Research Group are utilized for the forecast. Forecasts are applied to the first four quarters of the credit loss estimate and revert on a straight-line basis to the lookback period's historical mean for the economic indicator over the expected life of loans.</w:t>
      </w:r>
    </w:p>
    <w:p>
      <w:pPr>
        <w:spacing w:after="0" w:line="13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70" w:lineRule="exact"/>
        <w:rPr>
          <w:sz w:val="20"/>
          <w:szCs w:val="20"/>
          <w:color w:val="auto"/>
        </w:rPr>
      </w:pP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13" w:lineRule="exact"/>
        <w:rPr>
          <w:rFonts w:ascii="Arial" w:cs="Arial" w:eastAsia="Arial" w:hAnsi="Arial"/>
          <w:sz w:val="14"/>
          <w:szCs w:val="14"/>
          <w:color w:val="auto"/>
        </w:rPr>
      </w:pP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conditions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nature and volume of portfolio</w:t>
      </w: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Concentration risk</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ind w:left="1000" w:hanging="81"/>
        <w:spacing w:after="0"/>
        <w:tabs>
          <w:tab w:leader="none" w:pos="1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15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 to be required.</w:t>
      </w:r>
    </w:p>
    <w:p>
      <w:pPr>
        <w:spacing w:after="0" w:line="140"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The Company estimates a reserve for unfunded commitments, which is reported separately from the ACL within accrued interest and other liabilities. The reserve is based upon the same quantitative and qualitative factors applied to the collectively evaluated loan portfolio.</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Concentration of Credit Risks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39"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 the South Florida real estate industry or the South Florida economy, in general, could adversely impact the Company's loan portfolio.</w:t>
      </w:r>
    </w:p>
    <w:p>
      <w:pPr>
        <w:spacing w:after="0" w:line="200" w:lineRule="exact"/>
        <w:rPr>
          <w:sz w:val="20"/>
          <w:szCs w:val="20"/>
          <w:color w:val="auto"/>
        </w:rPr>
      </w:pPr>
    </w:p>
    <w:p>
      <w:pPr>
        <w:spacing w:after="0" w:line="3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7" w:name="page88"/>
    <w:bookmarkEnd w:id="8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 xml:space="preserve">At December 31, 2025 and 2024, the Company had a concentration of risk with loans outstanding to the Company’s top ten lending relationships totaling $224.9 million and $236.2 million, respectively. At December 31, 2025 and 2024, this concentration represented 10.3% and 12.0% of net loans outstanding, respectively. At December 31, 2025 and December 31, 2024, the largest loan relationship outside Florida was a commercial real estate loan with an outstanding balance of $19.0 million and $19.8 million, at such dates respectively, collateralized by a 1 </w:t>
      </w:r>
      <w:r>
        <w:rPr>
          <w:rFonts w:ascii="Arial" w:cs="Arial" w:eastAsia="Arial" w:hAnsi="Arial"/>
          <w:sz w:val="9"/>
          <w:szCs w:val="9"/>
          <w:color w:val="auto"/>
        </w:rPr>
        <w:t>st</w:t>
      </w:r>
      <w:r>
        <w:rPr>
          <w:rFonts w:ascii="Arial" w:cs="Arial" w:eastAsia="Arial" w:hAnsi="Arial"/>
          <w:sz w:val="14"/>
          <w:szCs w:val="14"/>
          <w:color w:val="auto"/>
        </w:rPr>
        <w:t xml:space="preserve"> lien on a commercial property located in New York State.</w:t>
      </w:r>
    </w:p>
    <w:p>
      <w:pPr>
        <w:spacing w:after="0" w:line="12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At December 31, 2025, the Company had a concentration of risk with loans outstanding totaling $128.0 million to correspondent banks located in Ecuador, Guatemala, Dominican Republic, Honduras, Panama, and El Salvador. At December 31, 2024, the Company also had a concentration of risk with loans outstanding totaling $ 82.4 million to correspondent banks located in Ecuador, Dominican Republic, Honduras, and El Salvador. These banks maintained deposits with right of offset totaling $ 57.1 million and $62.6 million at December 31, 2025 and 2024, respectively.</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various times during the year, the Company has maintained deposits with other financial institutions. The exposure to the Company from these transactions is solely dependent upon daily balances and the financial strength of the respective institutions.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Premises and Equipment, net</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Land is carried at cost. Premises and equipment are stated at cost less accumulated depreciation and amortization. Depreciation is computed on the straight-line method over the estimated useful life of the asset. Leasehold improvements are amortized over the remaining term of the applicable leases or their useful lives, whichever is shorter. Estimated useful lives of these assets were as follows:</w:t>
      </w:r>
    </w:p>
    <w:p>
      <w:pPr>
        <w:sectPr>
          <w:pgSz w:w="11900" w:h="16838" w:orient="portrait"/>
          <w:cols w:equalWidth="0" w:num="1">
            <w:col w:w="9019"/>
          </w:cols>
          <w:pgMar w:left="1440" w:top="477" w:right="1440" w:bottom="1440" w:gutter="0" w:footer="0" w:header="0"/>
        </w:sectPr>
      </w:pPr>
    </w:p>
    <w:p>
      <w:pPr>
        <w:spacing w:after="0" w:line="124"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Building 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40 years</w:t>
      </w:r>
    </w:p>
    <w:p>
      <w:pPr>
        <w:spacing w:after="0" w:line="23" w:lineRule="exact"/>
        <w:rPr>
          <w:sz w:val="20"/>
          <w:szCs w:val="20"/>
          <w:color w:val="auto"/>
        </w:rPr>
      </w:pPr>
    </w:p>
    <w:p>
      <w:pPr>
        <w:sectPr>
          <w:pgSz w:w="11900" w:h="16838" w:orient="portrait"/>
          <w:cols w:equalWidth="0" w:num="2">
            <w:col w:w="4040" w:space="720"/>
            <w:col w:w="4259"/>
          </w:cols>
          <w:pgMar w:left="1440" w:top="477" w:right="1440" w:bottom="1440" w:gutter="0" w:footer="0" w:header="0"/>
          <w:type w:val="continuous"/>
        </w:sectPr>
      </w:pPr>
    </w:p>
    <w:p>
      <w:pPr>
        <w:ind w:left="1680"/>
        <w:spacing w:after="0"/>
        <w:rPr>
          <w:sz w:val="20"/>
          <w:szCs w:val="20"/>
          <w:color w:val="auto"/>
        </w:rPr>
      </w:pPr>
      <w:r>
        <w:rPr>
          <w:rFonts w:ascii="Arial" w:cs="Arial" w:eastAsia="Arial" w:hAnsi="Arial"/>
          <w:sz w:val="14"/>
          <w:szCs w:val="14"/>
          <w:color w:val="auto"/>
        </w:rPr>
        <w:t>Furniture, fixtures and equipment</w:t>
      </w:r>
    </w:p>
    <w:p>
      <w:pPr>
        <w:ind w:left="1680"/>
        <w:spacing w:after="0"/>
        <w:rPr>
          <w:sz w:val="20"/>
          <w:szCs w:val="20"/>
          <w:color w:val="auto"/>
        </w:rPr>
      </w:pPr>
      <w:r>
        <w:rPr>
          <w:rFonts w:ascii="Arial" w:cs="Arial" w:eastAsia="Arial" w:hAnsi="Arial"/>
          <w:sz w:val="14"/>
          <w:szCs w:val="14"/>
          <w:color w:val="auto"/>
        </w:rPr>
        <w:t>Computer hardware and software</w:t>
      </w:r>
    </w:p>
    <w:p>
      <w:pPr>
        <w:ind w:left="168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 to 25 years</w:t>
      </w:r>
    </w:p>
    <w:p>
      <w:pPr>
        <w:spacing w:after="0"/>
        <w:rPr>
          <w:sz w:val="20"/>
          <w:szCs w:val="20"/>
          <w:color w:val="auto"/>
        </w:rPr>
      </w:pPr>
      <w:r>
        <w:rPr>
          <w:rFonts w:ascii="Arial" w:cs="Arial" w:eastAsia="Arial" w:hAnsi="Arial"/>
          <w:sz w:val="14"/>
          <w:szCs w:val="14"/>
          <w:color w:val="auto"/>
        </w:rPr>
        <w:t>3 to 5 years</w:t>
      </w:r>
    </w:p>
    <w:p>
      <w:pPr>
        <w:spacing w:after="0"/>
        <w:rPr>
          <w:sz w:val="20"/>
          <w:szCs w:val="20"/>
          <w:color w:val="auto"/>
        </w:rPr>
      </w:pPr>
      <w:r>
        <w:rPr>
          <w:rFonts w:ascii="Arial" w:cs="Arial" w:eastAsia="Arial" w:hAnsi="Arial"/>
          <w:sz w:val="14"/>
          <w:szCs w:val="14"/>
          <w:color w:val="auto"/>
        </w:rPr>
        <w:t>Shorter of life or term of lease</w:t>
      </w:r>
    </w:p>
    <w:p>
      <w:pPr>
        <w:spacing w:after="0" w:line="156" w:lineRule="exact"/>
        <w:rPr>
          <w:sz w:val="20"/>
          <w:szCs w:val="20"/>
          <w:color w:val="auto"/>
        </w:rPr>
      </w:pPr>
    </w:p>
    <w:p>
      <w:pPr>
        <w:sectPr>
          <w:pgSz w:w="11900" w:h="16838" w:orient="portrait"/>
          <w:cols w:equalWidth="0" w:num="2">
            <w:col w:w="4040" w:space="720"/>
            <w:col w:w="4259"/>
          </w:cols>
          <w:pgMar w:left="1440" w:top="477" w:right="1440" w:bottom="1440" w:gutter="0" w:footer="0" w:header="0"/>
          <w:type w:val="continuous"/>
        </w:sectPr>
      </w:pPr>
    </w:p>
    <w:p>
      <w:pPr>
        <w:jc w:val="both"/>
        <w:ind w:left="660" w:right="699" w:firstLine="256"/>
        <w:spacing w:after="0" w:line="265" w:lineRule="auto"/>
        <w:rPr>
          <w:sz w:val="20"/>
          <w:szCs w:val="20"/>
          <w:color w:val="auto"/>
        </w:rPr>
      </w:pPr>
      <w:r>
        <w:rPr>
          <w:rFonts w:ascii="Arial" w:cs="Arial" w:eastAsia="Arial" w:hAnsi="Arial"/>
          <w:sz w:val="14"/>
          <w:szCs w:val="14"/>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Real Estate Owned</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OREO consists of real estate properties acquired through, or in lieu of, foreclosure that are held for sale and are initially recorded at the fair value of the property less estimated selling costs as of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OREO expenses in the accompanying Consolidated Statements of Operation. Gains or losses on sale of OREO are recognized when consideration has been exchanged, all closing conditions have been met and permanent financing has been arranged.</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 Owned Life Insurance</w:t>
      </w:r>
    </w:p>
    <w:p>
      <w:pPr>
        <w:spacing w:after="0" w:line="170"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Bank Owned Life Insurance (“BOLI”) is carried at the amount that could be realized under the contract at the balance sheet date, which is typically the cash surrender value. Changes in cash surrender value are recorded in non-interest income. At December 31, 2025, the Company maintained BOLI policies with five insurance carriers with a combined cash surrender value of $59.4 million. At December 31, 2024, the Company maintained BOLI policies with five insurance carriers with a combined cash surrender value of $ 53.5 million. These policies cover certain present and former executives and officers; the Company is the beneficiary of these policies.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401(k) Plan</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Company has an 401(k) plan covering substantially all eligible employees. Employee 401(k) plan expense is the amount of matching contributions.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type w:val="continuous"/>
        </w:sectPr>
      </w:pPr>
    </w:p>
    <w:bookmarkStart w:id="88" w:name="page89"/>
    <w:bookmarkEnd w:id="8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Income Taxes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Impairment of Long-Lived Assets</w:t>
      </w:r>
    </w:p>
    <w:p>
      <w:pPr>
        <w:spacing w:after="0" w:line="17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Transfer of Financial Assets</w:t>
      </w:r>
    </w:p>
    <w:p>
      <w:pPr>
        <w:spacing w:after="0" w:line="170"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Comprehensive Income</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are components of comprehensive loss. Additionally, any unrealized gains or losses on transfers of investment securities from available-for-sale to held-to-maturity are recorded to accumulated other comprehensive income (loss)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28"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change in fair value on the interest rate swaps is recorded in other assets or accrued interest and other liabilities with a corresponding recognition in other comprehensive income (loss) and subsequently reclassified to earnings when gains or losses are realized. See Note 12. “Derivatives” for further discussion.</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Advertising Costs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Advertising costs are expensed as incurred.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89" w:name="page90"/>
    <w:bookmarkEnd w:id="8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Earnings per Common Share</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Basic earnings per common share is net income available to common stockholders divided by the weighted average number of common shares outstanding during the period. Diluted earnings per common share include the effect of additional potential common shares issuable under vested stock options and unvested shares of restricted stock. Basic and diluted earnings per share are updated to reflect the effect of stock splits as occurred. See Note 15 “Earnings Per Share” for additional information on earnings per common share.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Interest Income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income is recognized as earned, based upon the principal amount outstanding, on an accrual basis.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Operating Segments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Stock-Based Compensation</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Stock-based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awards, performance-based awards, share appreciation rights, and employee share purchase plans.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stock-based compensation accounting guidance requires that compensation cost for all stock awards be calculated and recognized over the employees' service period, generally defined as the vesting period. For awards with graded vesting, compensation cost is recognized on a straight-line basis over the requisite service period for the entire award. A Black-Scholes model is used to estimate the fair value of stock options.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Loss Contingencies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Loss contingencies, including claims and legal actions arising in the normal course of business, are recorded as liabilities when the likelihood of loss is probable, and an amount or range of loss can be reasonably estimated. In the opinion of management, none of these actions, either individually or in the aggregate, is expected to have a material adverse effect on the Company’s Consolidated Financial Statements. See Note 20 “Loss Contingencies” for further details.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 Restrictions</w:t>
      </w:r>
    </w:p>
    <w:p>
      <w:pPr>
        <w:spacing w:after="0" w:line="170" w:lineRule="exact"/>
        <w:rPr>
          <w:sz w:val="20"/>
          <w:szCs w:val="20"/>
          <w:color w:val="auto"/>
        </w:rPr>
      </w:pPr>
    </w:p>
    <w:p>
      <w:pPr>
        <w:ind w:left="660" w:right="639" w:firstLine="256"/>
        <w:spacing w:after="0" w:line="276" w:lineRule="auto"/>
        <w:rPr>
          <w:sz w:val="20"/>
          <w:szCs w:val="20"/>
          <w:color w:val="auto"/>
        </w:rPr>
      </w:pPr>
      <w:r>
        <w:rPr>
          <w:rFonts w:ascii="Arial" w:cs="Arial" w:eastAsia="Arial" w:hAnsi="Arial"/>
          <w:sz w:val="14"/>
          <w:szCs w:val="14"/>
          <w:color w:val="auto"/>
        </w:rPr>
        <w:t>Banking regulations require maintaining certain capital levels and may limit the dividends paid by the Bank to the Company or by the Company to the stockholders.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Measurements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Fair values of financial instruments are estimated using relevant market information and other assumptions, as more fully disclosed in Note 13 “Fair Value Measurements”. Fair value estimates involve uncertainties and matters of significant judgment. Changes in assumptions or in market conditions could significantly affect the estimates.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Derivative Instruments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Rate Swaps Designated as Cash Flow Hedges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0" w:name="page91"/>
    <w:bookmarkEnd w:id="9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changes in fair value on the interest rate swap is recorded in other assets or accrued interest and other liabilities with a corresponding recognition in other comprehensive income (loss) and subsequently reclassified to earnings when gains or losses are realized. As of December 31, 2025, the cash flow hedge was effective.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changes in fair value on these interest rate swaps are recorded in other assets or accrued interest and other liabilities with a corresponding recognition in the assets being hedged.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Company enters into interest rate swaps agreements to provide commercial loan clients the ability to swap from a variable interest rate to a fixed rate. The Company enters into a floating-rate loan with a customer with a separately issued swap agreement allowing the customer to convert floating payments on the loan into a fixed interest rate. To mitigate risk, the Company enters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13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Interest rate swap agreements are used by the Company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Revenue from Contracts with Customers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is not material.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Flow Statement</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Company reports the net activity rather than gross activity in the Consolidated Statements of Cash Flows. The net cash flows are reported for loans held for investment, accrued interest receivable, deferred tax assets, other assets, customer deposits, accrued interest payable, accrued interest and other liabilities, exercise of options, and proceeds from the issuance of Class A common shares and subordinated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Issued and Adopted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Improvements to Income Tax Disclosures</w:t>
      </w:r>
    </w:p>
    <w:p>
      <w:pPr>
        <w:spacing w:after="0" w:line="168"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December 2023, the FASB issued Accounting Standards Update (ASU) 2023-09, Income Taxes (Topic 740): Improvements to Income Tax Disclosures. This ASU pertains to disclosures regarding effective tax rates and cash income taxes paid with the goal of providing stakeholders with more transparent and relevant information. This ASU is effective for public business entities for annual periods beginning after December 15, 2024. The Company adopted this ASU 2023-09 effective January 1, 2025; the adoption of this ASU did not have a material impact on the Company’s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1" w:name="page92"/>
    <w:bookmarkEnd w:id="9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040" w:hanging="377"/>
        <w:spacing w:after="0"/>
        <w:tabs>
          <w:tab w:leader="none" w:pos="104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02"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99"/>
              </w:rPr>
              <w:t>December 31, 2025</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94"/>
        </w:trPr>
        <w:tc>
          <w:tcPr>
            <w:tcW w:w="3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36"/>
              <w:spacing w:after="0"/>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6"/>
                <w:szCs w:val="16"/>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6"/>
                <w:szCs w:val="16"/>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16"/>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2"/>
                <w:szCs w:val="12"/>
                <w:color w:val="auto"/>
              </w:rPr>
            </w:pPr>
          </w:p>
        </w:tc>
        <w:tc>
          <w:tcPr>
            <w:tcW w:w="880" w:type="dxa"/>
            <w:vAlign w:val="bottom"/>
          </w:tcPr>
          <w:p>
            <w:pPr>
              <w:jc w:val="right"/>
              <w:ind w:right="276"/>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61"/>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15,169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18</w:t>
            </w: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14,144</w:t>
            </w: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92,871</w:t>
            </w: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(17,043)</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75,828</w:t>
            </w: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35,865</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29,917</w:t>
            </w: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174,622</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(6,861)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168,108</w:t>
            </w: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5,196</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(933)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w:t>
            </w: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15,284</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(243)</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15,230</w:t>
            </w:r>
          </w:p>
        </w:tc>
      </w:tr>
      <w:tr>
        <w:trPr>
          <w:trHeight w:val="20"/>
        </w:trPr>
        <w:tc>
          <w:tcPr>
            <w:tcW w:w="30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61"/>
        </w:trPr>
        <w:tc>
          <w:tcPr>
            <w:tcW w:w="30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339,007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689</w:t>
            </w:r>
          </w:p>
        </w:tc>
        <w:tc>
          <w:tcPr>
            <w:tcW w:w="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(32,206)</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307,490</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3"/>
                <w:szCs w:val="13"/>
                <w:b w:val="1"/>
                <w:bCs w:val="1"/>
                <w:color w:val="auto"/>
                <w:w w:val="99"/>
              </w:rPr>
              <w:t>December 31, 2025</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8"/>
                <w:szCs w:val="18"/>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7"/>
              </w:rPr>
              <w:t>Unrecognized</w:t>
            </w:r>
          </w:p>
        </w:tc>
        <w:tc>
          <w:tcPr>
            <w:tcW w:w="9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9"/>
              </w:rPr>
              <w:t>Unrecognized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14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Gains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61"/>
        </w:trPr>
        <w:tc>
          <w:tcPr>
            <w:tcW w:w="38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41,158</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(3,279)</w:t>
            </w: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37,970</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51,431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(5,499)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46,786</w:t>
            </w:r>
          </w:p>
        </w:tc>
        <w:tc>
          <w:tcPr>
            <w:tcW w:w="0" w:type="dxa"/>
            <w:vAlign w:val="bottom"/>
          </w:tcPr>
          <w:p>
            <w:pPr>
              <w:spacing w:after="0"/>
              <w:rPr>
                <w:sz w:val="1"/>
                <w:szCs w:val="1"/>
                <w:color w:val="auto"/>
              </w:rPr>
            </w:pPr>
          </w:p>
        </w:tc>
      </w:tr>
      <w:tr>
        <w:trPr>
          <w:trHeight w:val="171"/>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(3,263)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34,718</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15,088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(1,037)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14,051</w:t>
            </w:r>
          </w:p>
        </w:tc>
        <w:tc>
          <w:tcPr>
            <w:tcW w:w="0" w:type="dxa"/>
            <w:vAlign w:val="bottom"/>
          </w:tcPr>
          <w:p>
            <w:pPr>
              <w:spacing w:after="0"/>
              <w:rPr>
                <w:sz w:val="1"/>
                <w:szCs w:val="1"/>
                <w:color w:val="auto"/>
              </w:rPr>
            </w:pPr>
          </w:p>
        </w:tc>
      </w:tr>
      <w:tr>
        <w:trPr>
          <w:trHeight w:val="171"/>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153,943</w:t>
            </w:r>
          </w:p>
        </w:tc>
        <w:tc>
          <w:tcPr>
            <w:tcW w:w="40" w:type="dxa"/>
            <w:vAlign w:val="bottom"/>
          </w:tcPr>
          <w:p>
            <w:pPr>
              <w:spacing w:after="0"/>
              <w:rPr>
                <w:sz w:val="16"/>
                <w:szCs w:val="16"/>
                <w:color w:val="auto"/>
              </w:rPr>
            </w:pPr>
          </w:p>
        </w:tc>
        <w:tc>
          <w:tcPr>
            <w:tcW w:w="200" w:type="dxa"/>
            <w:vAlign w:val="bottom"/>
            <w:gridSpan w:val="2"/>
          </w:tcPr>
          <w:p>
            <w:pPr>
              <w:jc w:val="right"/>
              <w:ind w:right="64"/>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1,705</w:t>
            </w:r>
          </w:p>
        </w:tc>
        <w:tc>
          <w:tcPr>
            <w:tcW w:w="6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(13,140)</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142,508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Allowance for credit losses - securities held-to-maturity</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2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20" w:type="dxa"/>
            <w:vAlign w:val="bottom"/>
            <w:vMerge w:val="continue"/>
          </w:tcPr>
          <w:p>
            <w:pPr>
              <w:spacing w:after="0"/>
              <w:rPr>
                <w:sz w:val="14"/>
                <w:szCs w:val="14"/>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153,941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gridSpan w:val="9"/>
          </w:tcPr>
          <w:p>
            <w:pPr>
              <w:ind w:left="330"/>
              <w:spacing w:after="0"/>
              <w:rPr>
                <w:sz w:val="20"/>
                <w:szCs w:val="20"/>
                <w:color w:val="auto"/>
              </w:rPr>
            </w:pPr>
            <w:r>
              <w:rPr>
                <w:rFonts w:ascii="Arial" w:cs="Arial" w:eastAsia="Arial" w:hAnsi="Arial"/>
                <w:sz w:val="13"/>
                <w:szCs w:val="13"/>
                <w:b w:val="1"/>
                <w:bCs w:val="1"/>
                <w:color w:val="auto"/>
              </w:rPr>
              <w:t>December 31, 2024</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90" w:type="dxa"/>
            <w:vAlign w:val="bottom"/>
            <w:gridSpan w:val="3"/>
          </w:tcPr>
          <w:p>
            <w:pPr>
              <w:jc w:val="center"/>
              <w:ind w:right="170"/>
              <w:spacing w:after="0"/>
              <w:rPr>
                <w:sz w:val="20"/>
                <w:szCs w:val="20"/>
                <w:color w:val="auto"/>
              </w:rPr>
            </w:pPr>
            <w:r>
              <w:rPr>
                <w:rFonts w:ascii="Arial" w:cs="Arial" w:eastAsia="Arial" w:hAnsi="Arial"/>
                <w:sz w:val="13"/>
                <w:szCs w:val="13"/>
                <w:b w:val="1"/>
                <w:bCs w:val="1"/>
                <w:color w:val="auto"/>
              </w:rPr>
              <w:t>Unrealized</w:t>
            </w:r>
          </w:p>
        </w:tc>
        <w:tc>
          <w:tcPr>
            <w:tcW w:w="90" w:type="dxa"/>
            <w:vAlign w:val="bottom"/>
          </w:tcPr>
          <w:p>
            <w:pPr>
              <w:spacing w:after="0"/>
              <w:rPr>
                <w:sz w:val="16"/>
                <w:szCs w:val="16"/>
                <w:color w:val="auto"/>
              </w:rPr>
            </w:pPr>
          </w:p>
        </w:tc>
        <w:tc>
          <w:tcPr>
            <w:tcW w:w="890" w:type="dxa"/>
            <w:vAlign w:val="bottom"/>
            <w:gridSpan w:val="5"/>
          </w:tcPr>
          <w:p>
            <w:pPr>
              <w:jc w:val="center"/>
              <w:ind w:right="17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9"/>
        </w:trPr>
        <w:tc>
          <w:tcPr>
            <w:tcW w:w="3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Available-for-sale:</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gridSpan w:val="3"/>
          </w:tcPr>
          <w:p>
            <w:pPr>
              <w:jc w:val="center"/>
              <w:ind w:right="190"/>
              <w:spacing w:after="0"/>
              <w:rPr>
                <w:sz w:val="20"/>
                <w:szCs w:val="20"/>
                <w:color w:val="auto"/>
              </w:rPr>
            </w:pPr>
            <w:r>
              <w:rPr>
                <w:rFonts w:ascii="Arial" w:cs="Arial" w:eastAsia="Arial" w:hAnsi="Arial"/>
                <w:sz w:val="13"/>
                <w:szCs w:val="13"/>
                <w:b w:val="1"/>
                <w:bCs w:val="1"/>
                <w:color w:val="auto"/>
                <w:w w:val="99"/>
              </w:rPr>
              <w:t>Gains</w:t>
            </w:r>
          </w:p>
        </w:tc>
        <w:tc>
          <w:tcPr>
            <w:tcW w:w="90" w:type="dxa"/>
            <w:vAlign w:val="bottom"/>
          </w:tcPr>
          <w:p>
            <w:pPr>
              <w:spacing w:after="0"/>
              <w:rPr>
                <w:sz w:val="12"/>
                <w:szCs w:val="12"/>
                <w:color w:val="auto"/>
              </w:rPr>
            </w:pPr>
          </w:p>
        </w:tc>
        <w:tc>
          <w:tcPr>
            <w:tcW w:w="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8"/>
              </w:rPr>
              <w:t>Losses</w:t>
            </w:r>
          </w:p>
        </w:tc>
        <w:tc>
          <w:tcPr>
            <w:tcW w:w="14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41"/>
        </w:trPr>
        <w:tc>
          <w:tcPr>
            <w:tcW w:w="3780" w:type="dxa"/>
            <w:vAlign w:val="bottom"/>
            <w:tcBorders>
              <w:top w:val="single" w:sz="8" w:color="CCEEFF"/>
              <w:bottom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U.S. Government Agency</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14,279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1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1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9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3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(1,668)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780" w:type="dxa"/>
            <w:vAlign w:val="bottom"/>
            <w:tcBorders>
              <w:top w:val="single" w:sz="8" w:color="auto"/>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12,625</w:t>
            </w:r>
          </w:p>
        </w:tc>
      </w:tr>
      <w:tr>
        <w:trPr>
          <w:trHeight w:val="171"/>
        </w:trPr>
        <w:tc>
          <w:tcPr>
            <w:tcW w:w="382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101,808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810" w:type="dxa"/>
            <w:vAlign w:val="bottom"/>
            <w:gridSpan w:val="3"/>
          </w:tcPr>
          <w:p>
            <w:pPr>
              <w:jc w:val="right"/>
              <w:spacing w:after="0"/>
              <w:rPr>
                <w:sz w:val="20"/>
                <w:szCs w:val="20"/>
                <w:color w:val="auto"/>
              </w:rPr>
            </w:pPr>
            <w:r>
              <w:rPr>
                <w:rFonts w:ascii="Arial" w:cs="Arial" w:eastAsia="Arial" w:hAnsi="Arial"/>
                <w:sz w:val="13"/>
                <w:szCs w:val="13"/>
                <w:color w:val="auto"/>
              </w:rPr>
              <w:t>(22,918)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78,905</w:t>
            </w: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3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(12,063)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46,933</w:t>
            </w:r>
          </w:p>
        </w:tc>
      </w:tr>
      <w:tr>
        <w:trPr>
          <w:trHeight w:val="171"/>
        </w:trPr>
        <w:tc>
          <w:tcPr>
            <w:tcW w:w="3820" w:type="dxa"/>
            <w:vAlign w:val="bottom"/>
            <w:gridSpan w:val="2"/>
          </w:tcPr>
          <w:p>
            <w:pPr>
              <w:ind w:left="40"/>
              <w:spacing w:after="0"/>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86,604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810" w:type="dxa"/>
            <w:vAlign w:val="bottom"/>
            <w:gridSpan w:val="3"/>
          </w:tcPr>
          <w:p>
            <w:pPr>
              <w:jc w:val="right"/>
              <w:spacing w:after="0"/>
              <w:rPr>
                <w:sz w:val="20"/>
                <w:szCs w:val="20"/>
                <w:color w:val="auto"/>
              </w:rPr>
            </w:pPr>
            <w:r>
              <w:rPr>
                <w:rFonts w:ascii="Arial" w:cs="Arial" w:eastAsia="Arial" w:hAnsi="Arial"/>
                <w:sz w:val="13"/>
                <w:szCs w:val="13"/>
                <w:color w:val="auto"/>
              </w:rPr>
              <w:t>(7,905)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78,739</w:t>
            </w: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spacing w:after="0"/>
              <w:rPr>
                <w:sz w:val="14"/>
                <w:szCs w:val="14"/>
                <w:color w:val="auto"/>
              </w:rPr>
            </w:pPr>
          </w:p>
        </w:tc>
        <w:tc>
          <w:tcPr>
            <w:tcW w:w="3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19,311</w:t>
            </w:r>
          </w:p>
        </w:tc>
      </w:tr>
      <w:tr>
        <w:trPr>
          <w:trHeight w:val="171"/>
        </w:trPr>
        <w:tc>
          <w:tcPr>
            <w:tcW w:w="3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24,314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81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(1,044)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23,708</w:t>
            </w:r>
          </w:p>
        </w:tc>
      </w:tr>
      <w:tr>
        <w:trPr>
          <w:trHeight w:val="161"/>
        </w:trPr>
        <w:tc>
          <w:tcPr>
            <w:tcW w:w="3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310,925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3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(51,212)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260,221</w:t>
            </w: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Borders>
              <w:bottom w:val="single" w:sz="8" w:color="auto"/>
            </w:tcBorders>
          </w:tcPr>
          <w:p>
            <w:pPr>
              <w:spacing w:after="0"/>
              <w:rPr>
                <w:sz w:val="12"/>
                <w:szCs w:val="12"/>
                <w:color w:val="auto"/>
              </w:rPr>
            </w:pPr>
          </w:p>
        </w:tc>
        <w:tc>
          <w:tcPr>
            <w:tcW w:w="79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Borders>
              <w:bottom w:val="single" w:sz="8" w:color="auto"/>
            </w:tcBorders>
          </w:tcPr>
          <w:p>
            <w:pPr>
              <w:spacing w:after="0"/>
              <w:rPr>
                <w:sz w:val="12"/>
                <w:szCs w:val="12"/>
                <w:color w:val="auto"/>
              </w:rPr>
            </w:pPr>
          </w:p>
        </w:tc>
        <w:tc>
          <w:tcPr>
            <w:tcW w:w="1850" w:type="dxa"/>
            <w:vAlign w:val="bottom"/>
            <w:tcBorders>
              <w:bottom w:val="single" w:sz="8" w:color="auto"/>
            </w:tcBorders>
            <w:gridSpan w:val="8"/>
          </w:tcPr>
          <w:p>
            <w:pPr>
              <w:ind w:left="310"/>
              <w:spacing w:after="0"/>
              <w:rPr>
                <w:sz w:val="20"/>
                <w:szCs w:val="20"/>
                <w:color w:val="auto"/>
              </w:rPr>
            </w:pPr>
            <w:r>
              <w:rPr>
                <w:rFonts w:ascii="Arial" w:cs="Arial" w:eastAsia="Arial" w:hAnsi="Arial"/>
                <w:sz w:val="13"/>
                <w:szCs w:val="13"/>
                <w:b w:val="1"/>
                <w:bCs w:val="1"/>
                <w:color w:val="auto"/>
              </w:rPr>
              <w:t>December 31, 2024</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79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4"/>
          </w:tcPr>
          <w:p>
            <w:pPr>
              <w:ind w:left="40"/>
              <w:spacing w:after="0"/>
              <w:rPr>
                <w:sz w:val="20"/>
                <w:szCs w:val="20"/>
                <w:color w:val="auto"/>
              </w:rPr>
            </w:pPr>
            <w:r>
              <w:rPr>
                <w:rFonts w:ascii="Arial" w:cs="Arial" w:eastAsia="Arial" w:hAnsi="Arial"/>
                <w:sz w:val="13"/>
                <w:szCs w:val="13"/>
                <w:b w:val="1"/>
                <w:bCs w:val="1"/>
                <w:color w:val="auto"/>
              </w:rPr>
              <w:t>Unrecognized</w:t>
            </w:r>
          </w:p>
        </w:tc>
        <w:tc>
          <w:tcPr>
            <w:tcW w:w="980" w:type="dxa"/>
            <w:vAlign w:val="bottom"/>
            <w:gridSpan w:val="5"/>
          </w:tcPr>
          <w:p>
            <w:pPr>
              <w:ind w:left="20"/>
              <w:spacing w:after="0"/>
              <w:rPr>
                <w:sz w:val="20"/>
                <w:szCs w:val="20"/>
                <w:color w:val="auto"/>
              </w:rPr>
            </w:pPr>
            <w:r>
              <w:rPr>
                <w:rFonts w:ascii="Arial" w:cs="Arial" w:eastAsia="Arial" w:hAnsi="Arial"/>
                <w:sz w:val="13"/>
                <w:szCs w:val="13"/>
                <w:b w:val="1"/>
                <w:bCs w:val="1"/>
                <w:color w:val="auto"/>
              </w:rPr>
              <w:t>Unrecognized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ind w:left="40"/>
              <w:spacing w:after="0"/>
              <w:rPr>
                <w:sz w:val="20"/>
                <w:szCs w:val="20"/>
                <w:color w:val="auto"/>
              </w:rPr>
            </w:pPr>
            <w:r>
              <w:rPr>
                <w:rFonts w:ascii="Arial" w:cs="Arial" w:eastAsia="Arial" w:hAnsi="Arial"/>
                <w:sz w:val="13"/>
                <w:szCs w:val="13"/>
                <w:b w:val="1"/>
                <w:bCs w:val="1"/>
                <w:color w:val="auto"/>
              </w:rPr>
              <w:t>Held-to-maturity:</w:t>
            </w:r>
          </w:p>
        </w:tc>
        <w:tc>
          <w:tcPr>
            <w:tcW w:w="130" w:type="dxa"/>
            <w:vAlign w:val="bottom"/>
          </w:tcPr>
          <w:p>
            <w:pPr>
              <w:spacing w:after="0"/>
              <w:rPr>
                <w:sz w:val="12"/>
                <w:szCs w:val="12"/>
                <w:color w:val="auto"/>
              </w:rPr>
            </w:pPr>
          </w:p>
        </w:tc>
        <w:tc>
          <w:tcPr>
            <w:tcW w:w="79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70" w:type="dxa"/>
            <w:vAlign w:val="bottom"/>
            <w:gridSpan w:val="3"/>
          </w:tcPr>
          <w:p>
            <w:pPr>
              <w:ind w:left="150"/>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1"/>
        </w:trPr>
        <w:tc>
          <w:tcPr>
            <w:tcW w:w="3780" w:type="dxa"/>
            <w:vAlign w:val="bottom"/>
            <w:tcBorders>
              <w:top w:val="single" w:sz="8" w:color="CCEEFF"/>
              <w:bottom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U.S. Government Agency</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3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79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42,538</w:t>
            </w: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0" w:type="dxa"/>
            <w:vAlign w:val="bottom"/>
            <w:tcBorders>
              <w:top w:val="single" w:sz="8" w:color="auto"/>
              <w:bottom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color w:val="auto"/>
                <w:shd w:val="clear" w:color="auto" w:fill="CCEEFF"/>
              </w:rPr>
              <w:t>$</w:t>
            </w:r>
          </w:p>
        </w:tc>
        <w:tc>
          <w:tcPr>
            <w:tcW w:w="79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shd w:val="clear" w:color="auto" w:fill="CCEEFF"/>
              </w:rPr>
              <w:t>$</w:t>
            </w:r>
          </w:p>
        </w:tc>
        <w:tc>
          <w:tcPr>
            <w:tcW w:w="780" w:type="dxa"/>
            <w:vAlign w:val="bottom"/>
            <w:tcBorders>
              <w:top w:val="single" w:sz="8" w:color="auto"/>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(5,094)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780" w:type="dxa"/>
            <w:vAlign w:val="bottom"/>
            <w:tcBorders>
              <w:top w:val="single" w:sz="8" w:color="auto"/>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37,444</w:t>
            </w:r>
          </w:p>
        </w:tc>
        <w:tc>
          <w:tcPr>
            <w:tcW w:w="0" w:type="dxa"/>
            <w:vAlign w:val="bottom"/>
          </w:tcPr>
          <w:p>
            <w:pPr>
              <w:spacing w:after="0"/>
              <w:rPr>
                <w:sz w:val="1"/>
                <w:szCs w:val="1"/>
                <w:color w:val="auto"/>
              </w:rPr>
            </w:pPr>
          </w:p>
        </w:tc>
      </w:tr>
      <w:tr>
        <w:trPr>
          <w:trHeight w:val="171"/>
        </w:trPr>
        <w:tc>
          <w:tcPr>
            <w:tcW w:w="382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56,987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(7,785)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49,259</w:t>
            </w:r>
          </w:p>
        </w:tc>
        <w:tc>
          <w:tcPr>
            <w:tcW w:w="0" w:type="dxa"/>
            <w:vAlign w:val="bottom"/>
          </w:tcPr>
          <w:p>
            <w:pPr>
              <w:spacing w:after="0"/>
              <w:rPr>
                <w:sz w:val="1"/>
                <w:szCs w:val="1"/>
                <w:color w:val="auto"/>
              </w:rPr>
            </w:pPr>
          </w:p>
        </w:tc>
      </w:tr>
      <w:tr>
        <w:trPr>
          <w:trHeight w:val="15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40,681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(4,613)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36,121</w:t>
            </w:r>
          </w:p>
        </w:tc>
        <w:tc>
          <w:tcPr>
            <w:tcW w:w="0" w:type="dxa"/>
            <w:vAlign w:val="bottom"/>
          </w:tcPr>
          <w:p>
            <w:pPr>
              <w:spacing w:after="0"/>
              <w:rPr>
                <w:sz w:val="1"/>
                <w:szCs w:val="1"/>
                <w:color w:val="auto"/>
              </w:rPr>
            </w:pPr>
          </w:p>
        </w:tc>
      </w:tr>
      <w:tr>
        <w:trPr>
          <w:trHeight w:val="171"/>
        </w:trPr>
        <w:tc>
          <w:tcPr>
            <w:tcW w:w="3820" w:type="dxa"/>
            <w:vAlign w:val="bottom"/>
            <w:gridSpan w:val="2"/>
          </w:tcPr>
          <w:p>
            <w:pPr>
              <w:ind w:left="40"/>
              <w:spacing w:after="0"/>
              <w:rPr>
                <w:sz w:val="20"/>
                <w:szCs w:val="20"/>
                <w:color w:val="auto"/>
              </w:rPr>
            </w:pPr>
            <w:r>
              <w:rPr>
                <w:rFonts w:ascii="Arial" w:cs="Arial" w:eastAsia="Arial" w:hAnsi="Arial"/>
                <w:sz w:val="13"/>
                <w:szCs w:val="13"/>
                <w:color w:val="auto"/>
              </w:rPr>
              <w:t>Mortgage-backed securities - commercial</w:t>
            </w: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15,272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(1,385)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13,887</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bonds</w:t>
            </w:r>
          </w:p>
        </w:tc>
        <w:tc>
          <w:tcPr>
            <w:tcW w:w="4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9,222</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8,829</w:t>
            </w:r>
          </w:p>
        </w:tc>
        <w:tc>
          <w:tcPr>
            <w:tcW w:w="0" w:type="dxa"/>
            <w:vAlign w:val="bottom"/>
          </w:tcPr>
          <w:p>
            <w:pPr>
              <w:spacing w:after="0"/>
              <w:rPr>
                <w:sz w:val="1"/>
                <w:szCs w:val="1"/>
                <w:color w:val="auto"/>
              </w:rPr>
            </w:pPr>
          </w:p>
        </w:tc>
      </w:tr>
      <w:tr>
        <w:trPr>
          <w:trHeight w:val="201"/>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 w:type="dxa"/>
            <w:vAlign w:val="bottom"/>
            <w:tcBorders>
              <w:top w:val="single" w:sz="8" w:color="auto"/>
            </w:tcBorders>
          </w:tcPr>
          <w:p>
            <w:pPr>
              <w:spacing w:after="0"/>
              <w:rPr>
                <w:sz w:val="17"/>
                <w:szCs w:val="17"/>
                <w:color w:val="auto"/>
              </w:rPr>
            </w:pPr>
          </w:p>
        </w:tc>
        <w:tc>
          <w:tcPr>
            <w:tcW w:w="79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164,700</w:t>
            </w:r>
          </w:p>
        </w:tc>
        <w:tc>
          <w:tcPr>
            <w:tcW w:w="60" w:type="dxa"/>
            <w:vAlign w:val="bottom"/>
            <w:gridSpan w:val="2"/>
          </w:tcPr>
          <w:p>
            <w:pPr>
              <w:spacing w:after="0"/>
              <w:rPr>
                <w:sz w:val="17"/>
                <w:szCs w:val="17"/>
                <w:color w:val="auto"/>
              </w:rPr>
            </w:pPr>
          </w:p>
        </w:tc>
        <w:tc>
          <w:tcPr>
            <w:tcW w:w="13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9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110</w:t>
            </w: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(19,270)</w:t>
            </w: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145,540</w:t>
            </w:r>
          </w:p>
        </w:tc>
        <w:tc>
          <w:tcPr>
            <w:tcW w:w="0" w:type="dxa"/>
            <w:vAlign w:val="bottom"/>
          </w:tcPr>
          <w:p>
            <w:pPr>
              <w:spacing w:after="0"/>
              <w:rPr>
                <w:sz w:val="1"/>
                <w:szCs w:val="1"/>
                <w:color w:val="auto"/>
              </w:rPr>
            </w:pPr>
          </w:p>
        </w:tc>
      </w:tr>
      <w:tr>
        <w:trPr>
          <w:trHeight w:val="16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Allowance for credit losses - securities held-to-maturity</w:t>
            </w:r>
          </w:p>
        </w:tc>
        <w:tc>
          <w:tcPr>
            <w:tcW w:w="40" w:type="dxa"/>
            <w:vAlign w:val="bottom"/>
            <w:tcBorders>
              <w:top w:val="single" w:sz="8" w:color="CCEEFF"/>
            </w:tcBorders>
            <w:shd w:val="clear" w:color="auto" w:fill="CCEEFF"/>
          </w:tcPr>
          <w:p>
            <w:pPr>
              <w:spacing w:after="0"/>
              <w:rPr>
                <w:sz w:val="14"/>
                <w:szCs w:val="14"/>
                <w:color w:val="auto"/>
              </w:rPr>
            </w:pPr>
          </w:p>
        </w:tc>
        <w:tc>
          <w:tcPr>
            <w:tcW w:w="130" w:type="dxa"/>
            <w:vAlign w:val="bottom"/>
            <w:tcBorders>
              <w:top w:val="single" w:sz="8" w:color="auto"/>
              <w:bottom w:val="single" w:sz="8" w:color="auto"/>
            </w:tcBorders>
            <w:shd w:val="clear" w:color="auto" w:fill="CCEEFF"/>
          </w:tcPr>
          <w:p>
            <w:pPr>
              <w:spacing w:after="0"/>
              <w:rPr>
                <w:sz w:val="14"/>
                <w:szCs w:val="14"/>
                <w:color w:val="auto"/>
              </w:rPr>
            </w:pPr>
          </w:p>
        </w:tc>
        <w:tc>
          <w:tcPr>
            <w:tcW w:w="79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30" w:type="dxa"/>
            <w:vAlign w:val="bottom"/>
            <w:tcBorders>
              <w:top w:val="single" w:sz="8" w:color="auto"/>
            </w:tcBorders>
            <w:shd w:val="clear" w:color="auto" w:fill="CCEEFF"/>
          </w:tcPr>
          <w:p>
            <w:pPr>
              <w:spacing w:after="0"/>
              <w:rPr>
                <w:sz w:val="14"/>
                <w:szCs w:val="14"/>
                <w:color w:val="auto"/>
              </w:rPr>
            </w:pPr>
          </w:p>
        </w:tc>
        <w:tc>
          <w:tcPr>
            <w:tcW w:w="79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0"/>
              <w:spacing w:after="0"/>
              <w:rPr>
                <w:sz w:val="20"/>
                <w:szCs w:val="20"/>
                <w:color w:val="auto"/>
              </w:rPr>
            </w:pPr>
            <w:r>
              <w:rPr>
                <w:rFonts w:ascii="Arial" w:cs="Arial" w:eastAsia="Arial" w:hAnsi="Arial"/>
                <w:sz w:val="13"/>
                <w:szCs w:val="13"/>
                <w:color w:val="auto"/>
              </w:rPr>
              <w:t>Securities held-to maturity, net of allowance for credit losses</w:t>
            </w:r>
          </w:p>
        </w:tc>
        <w:tc>
          <w:tcPr>
            <w:tcW w:w="13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20" w:type="dxa"/>
            <w:vAlign w:val="bottom"/>
            <w:gridSpan w:val="2"/>
            <w:vMerge w:val="continue"/>
          </w:tcPr>
          <w:p>
            <w:pPr>
              <w:spacing w:after="0"/>
              <w:rPr>
                <w:sz w:val="14"/>
                <w:szCs w:val="14"/>
                <w:color w:val="auto"/>
              </w:rPr>
            </w:pPr>
          </w:p>
        </w:tc>
        <w:tc>
          <w:tcPr>
            <w:tcW w:w="1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9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164,694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2" w:name="page93"/>
    <w:bookmarkEnd w:id="9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Transfers of debt securities into the HTM category from the available for sale (“AFS”) category are made at fair value as of the date of transfer. The unrealized gain or loss at the date of transfer is retained in accumulated other comprehensive loss (“AOCL”) and in the carrying value of the HTM securities and there is no impact to net income. Such amounts are amortized over the remaining life of the securities. The Company made two transfers from AFS to HTM portfolios in 2022.</w:t>
      </w:r>
    </w:p>
    <w:p>
      <w:pPr>
        <w:spacing w:after="0" w:line="135"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There were no investment securities that were transferred from AFS to HTM for the years ended December 31, 2025, and 2024.</w:t>
      </w:r>
    </w:p>
    <w:p>
      <w:pPr>
        <w:spacing w:after="0" w:line="12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For the years ended December 31, 2025 and 2024, total amortization out of AOCL for the net unrealized losses on securities transferred from AFS to HTM in 2022 was $266 thousand and $267 thousand, respectively. The remaining balance of the net unrealized losses retained in AOCL was $9.0 million at December 31, 2025 and $9.3 million at December 31, 2024. The fair value of the transferred securities was $99.6 million at December 31, 2025 and $101.2 million at December 31, 2024.</w:t>
      </w:r>
    </w:p>
    <w:p>
      <w:pPr>
        <w:spacing w:after="0" w:line="140"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years ended December 31, 2025 and 2024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2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2024</w:t>
            </w:r>
          </w:p>
        </w:tc>
      </w:tr>
      <w:tr>
        <w:trPr>
          <w:trHeight w:val="161"/>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sales and call of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82,497</w:t>
            </w:r>
          </w:p>
        </w:tc>
        <w:tc>
          <w:tcPr>
            <w:tcW w:w="60" w:type="dxa"/>
            <w:vAlign w:val="bottom"/>
            <w:gridSpan w:val="2"/>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34,753</w:t>
            </w:r>
          </w:p>
        </w:tc>
      </w:t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Gross gains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60" w:type="dxa"/>
            <w:vAlign w:val="bottom"/>
            <w:gridSpan w:val="2"/>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171"/>
        </w:trPr>
        <w:tc>
          <w:tcPr>
            <w:tcW w:w="52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Gross losses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w:t>
            </w:r>
          </w:p>
        </w:tc>
      </w:tr>
      <w:tr>
        <w:trPr>
          <w:trHeight w:val="172"/>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realized (losses) gains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(7,526)</w:t>
            </w:r>
          </w:p>
        </w:tc>
        <w:tc>
          <w:tcPr>
            <w:tcW w:w="3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3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54"/>
        </w:trPr>
        <w:tc>
          <w:tcPr>
            <w:tcW w:w="3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December 31, 2025:</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r>
      <w:tr>
        <w:trPr>
          <w:trHeight w:val="151"/>
        </w:trPr>
        <w:tc>
          <w:tcPr>
            <w:tcW w:w="3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Due within one year</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9,045</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8,983</w:t>
            </w: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4,473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16,007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15,169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37,970</w:t>
            </w: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92,871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75,828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51,431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46,786</w:t>
            </w:r>
          </w:p>
        </w:tc>
      </w:tr>
      <w:tr>
        <w:trPr>
          <w:trHeight w:val="17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35,865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34,718</w:t>
            </w:r>
          </w:p>
        </w:tc>
      </w:tr>
      <w:tr>
        <w:trPr>
          <w:trHeight w:val="171"/>
        </w:trPr>
        <w:tc>
          <w:tcPr>
            <w:tcW w:w="39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174,622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168,108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15,088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14,051</w:t>
            </w:r>
          </w:p>
        </w:tc>
      </w:tr>
      <w:tr>
        <w:trPr>
          <w:trHeight w:val="172"/>
        </w:trPr>
        <w:tc>
          <w:tcPr>
            <w:tcW w:w="3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339,007</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307,490</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153,943</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142,508</w:t>
            </w:r>
          </w:p>
        </w:tc>
      </w:tr>
      <w:tr>
        <w:trPr>
          <w:trHeight w:val="20"/>
        </w:trPr>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At December 31, 2025 and 2024, there were no securities to any one issuer in an amount greater than 10% of total stockholders’ equity other than the U.S. Government and U.S. Government Agencies. All the collateralized mortgage obligations and mortgage-backed securities are issued by U.S. government sponsored entities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3" w:name="page94"/>
    <w:bookmarkEnd w:id="9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11"/>
          </w:tcPr>
          <w:p>
            <w:pPr>
              <w:jc w:val="right"/>
              <w:ind w:right="220"/>
              <w:spacing w:after="0"/>
              <w:rPr>
                <w:sz w:val="20"/>
                <w:szCs w:val="20"/>
                <w:color w:val="auto"/>
              </w:rPr>
            </w:pPr>
            <w:r>
              <w:rPr>
                <w:rFonts w:ascii="Arial" w:cs="Arial" w:eastAsia="Arial" w:hAnsi="Arial"/>
                <w:sz w:val="13"/>
                <w:szCs w:val="13"/>
                <w:b w:val="1"/>
                <w:bCs w:val="1"/>
                <w:color w:val="auto"/>
                <w:w w:val="97"/>
              </w:rPr>
              <w:t>Less than 12 months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Pr>
          <w:p>
            <w:pPr>
              <w:spacing w:after="0"/>
              <w:rPr>
                <w:sz w:val="13"/>
                <w:szCs w:val="13"/>
                <w:color w:val="auto"/>
              </w:rPr>
            </w:pPr>
          </w:p>
        </w:tc>
        <w:tc>
          <w:tcPr>
            <w:tcW w:w="82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Fair Value</w:t>
            </w:r>
          </w:p>
        </w:tc>
        <w:tc>
          <w:tcPr>
            <w:tcW w:w="960" w:type="dxa"/>
            <w:vAlign w:val="bottom"/>
            <w:gridSpan w:val="7"/>
          </w:tcPr>
          <w:p>
            <w:pPr>
              <w:ind w:left="40"/>
              <w:spacing w:after="0"/>
              <w:rPr>
                <w:sz w:val="20"/>
                <w:szCs w:val="20"/>
                <w:color w:val="auto"/>
              </w:rPr>
            </w:pPr>
            <w:r>
              <w:rPr>
                <w:rFonts w:ascii="Arial" w:cs="Arial" w:eastAsia="Arial" w:hAnsi="Arial"/>
                <w:sz w:val="13"/>
                <w:szCs w:val="13"/>
                <w:b w:val="1"/>
                <w:bCs w:val="1"/>
                <w:color w:val="auto"/>
              </w:rPr>
              <w:t>Unrealized</w:t>
            </w:r>
          </w:p>
        </w:tc>
        <w:tc>
          <w:tcPr>
            <w:tcW w:w="7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3"/>
                <w:szCs w:val="13"/>
                <w:color w:val="auto"/>
              </w:rPr>
            </w:pPr>
          </w:p>
        </w:tc>
        <w:tc>
          <w:tcPr>
            <w:tcW w:w="900" w:type="dxa"/>
            <w:vAlign w:val="bottom"/>
            <w:gridSpan w:val="5"/>
          </w:tcPr>
          <w:p>
            <w:pPr>
              <w:spacing w:after="0"/>
              <w:rPr>
                <w:sz w:val="20"/>
                <w:szCs w:val="20"/>
                <w:color w:val="auto"/>
              </w:rPr>
            </w:pPr>
            <w:r>
              <w:rPr>
                <w:rFonts w:ascii="Arial" w:cs="Arial" w:eastAsia="Arial" w:hAnsi="Arial"/>
                <w:sz w:val="13"/>
                <w:szCs w:val="13"/>
                <w:b w:val="1"/>
                <w:bCs w:val="1"/>
                <w:color w:val="auto"/>
              </w:rPr>
              <w:t>Unrealized</w:t>
            </w:r>
          </w:p>
        </w:tc>
        <w:tc>
          <w:tcPr>
            <w:tcW w:w="720" w:type="dxa"/>
            <w:vAlign w:val="bottom"/>
            <w:gridSpan w:val="4"/>
            <w:vMerge w:val="restart"/>
          </w:tcPr>
          <w:p>
            <w:pPr>
              <w:jc w:val="right"/>
              <w:ind w:right="16"/>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720" w:type="dxa"/>
            <w:vAlign w:val="bottom"/>
            <w:gridSpan w:val="4"/>
          </w:tcPr>
          <w:p>
            <w:pPr>
              <w:ind w:left="4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2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w w:val="98"/>
              </w:rPr>
              <w:t>Losses</w:t>
            </w:r>
          </w:p>
        </w:tc>
        <w:tc>
          <w:tcPr>
            <w:tcW w:w="7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w w:val="98"/>
              </w:rPr>
              <w:t>Losses</w:t>
            </w:r>
          </w:p>
        </w:tc>
        <w:tc>
          <w:tcPr>
            <w:tcW w:w="72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8"/>
              </w:rPr>
              <w:t>Losses</w:t>
            </w:r>
          </w:p>
        </w:tc>
        <w:tc>
          <w:tcPr>
            <w:tcW w:w="0" w:type="dxa"/>
            <w:vAlign w:val="bottom"/>
          </w:tcPr>
          <w:p>
            <w:pPr>
              <w:spacing w:after="0"/>
              <w:rPr>
                <w:sz w:val="1"/>
                <w:szCs w:val="1"/>
                <w:color w:val="auto"/>
              </w:rPr>
            </w:pPr>
          </w:p>
        </w:tc>
      </w:tr>
      <w:tr>
        <w:trPr>
          <w:trHeight w:val="152"/>
        </w:trPr>
        <w:tc>
          <w:tcPr>
            <w:tcW w:w="2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U.S. Government Agency</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 w:type="dxa"/>
            <w:vAlign w:val="bottom"/>
            <w:tcBorders>
              <w:top w:val="single" w:sz="8" w:color="auto"/>
              <w:left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5,937</w:t>
            </w:r>
          </w:p>
        </w:tc>
        <w:tc>
          <w:tcPr>
            <w:tcW w:w="140" w:type="dxa"/>
            <w:vAlign w:val="bottom"/>
            <w:tcBorders>
              <w:top w:val="single" w:sz="8" w:color="auto"/>
              <w:bottom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w:t>
            </w:r>
          </w:p>
        </w:tc>
        <w:tc>
          <w:tcPr>
            <w:tcW w:w="2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5,649</w:t>
            </w:r>
          </w:p>
        </w:tc>
        <w:tc>
          <w:tcPr>
            <w:tcW w:w="100" w:type="dxa"/>
            <w:vAlign w:val="bottom"/>
            <w:tcBorders>
              <w:top w:val="single" w:sz="8" w:color="auto"/>
              <w:bottom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60" w:type="dxa"/>
            <w:vAlign w:val="bottom"/>
            <w:tcBorders>
              <w:top w:val="single" w:sz="8" w:color="auto"/>
              <w:bottom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11,586</w:t>
            </w:r>
          </w:p>
        </w:tc>
        <w:tc>
          <w:tcPr>
            <w:tcW w:w="100" w:type="dxa"/>
            <w:vAlign w:val="bottom"/>
            <w:tcBorders>
              <w:top w:val="single" w:sz="8" w:color="auto"/>
              <w:bottom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4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3"/>
                <w:szCs w:val="13"/>
                <w:color w:val="auto"/>
              </w:rPr>
              <w:t>8,929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3"/>
                <w:szCs w:val="13"/>
                <w:color w:val="auto"/>
              </w:rPr>
              <w:t>(93)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3"/>
                <w:szCs w:val="13"/>
                <w:color w:val="auto"/>
              </w:rPr>
              <w:t>66,899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(16,950)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36"/>
              <w:spacing w:after="0"/>
              <w:rPr>
                <w:sz w:val="20"/>
                <w:szCs w:val="20"/>
                <w:color w:val="auto"/>
              </w:rPr>
            </w:pPr>
            <w:r>
              <w:rPr>
                <w:rFonts w:ascii="Arial" w:cs="Arial" w:eastAsia="Arial" w:hAnsi="Arial"/>
                <w:sz w:val="13"/>
                <w:szCs w:val="13"/>
                <w:color w:val="auto"/>
              </w:rPr>
              <w:t>75,828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(17,043)</w:t>
            </w: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Mortgage-backed securities - residential</w:t>
            </w: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22,695</w:t>
            </w: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6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22,695</w:t>
            </w: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tcPr>
          <w:p>
            <w:pPr>
              <w:ind w:left="40"/>
              <w:spacing w:after="0" w:line="139" w:lineRule="exact"/>
              <w:rPr>
                <w:sz w:val="20"/>
                <w:szCs w:val="20"/>
                <w:color w:val="auto"/>
              </w:rPr>
            </w:pPr>
            <w:r>
              <w:rPr>
                <w:rFonts w:ascii="Arial" w:cs="Arial" w:eastAsia="Arial" w:hAnsi="Arial"/>
                <w:sz w:val="13"/>
                <w:szCs w:val="13"/>
                <w:color w:val="auto"/>
              </w:rPr>
              <w:t>Mortgage-backed securities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ind w:left="40"/>
              <w:spacing w:after="0"/>
              <w:rPr>
                <w:sz w:val="20"/>
                <w:szCs w:val="20"/>
                <w:color w:val="auto"/>
              </w:rPr>
            </w:pPr>
            <w:r>
              <w:rPr>
                <w:rFonts w:ascii="Arial" w:cs="Arial" w:eastAsia="Arial" w:hAnsi="Arial"/>
                <w:sz w:val="13"/>
                <w:szCs w:val="13"/>
                <w:color w:val="auto"/>
              </w:rPr>
              <w:t>commercial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3"/>
                <w:szCs w:val="13"/>
                <w:color w:val="auto"/>
              </w:rPr>
              <w:t>59,655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3"/>
                <w:szCs w:val="13"/>
                <w:color w:val="auto"/>
              </w:rPr>
              <w:t>(477)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ind w:left="100"/>
              <w:spacing w:after="0"/>
              <w:rPr>
                <w:sz w:val="20"/>
                <w:szCs w:val="20"/>
                <w:color w:val="auto"/>
              </w:rPr>
            </w:pPr>
            <w:r>
              <w:rPr>
                <w:rFonts w:ascii="Arial" w:cs="Arial" w:eastAsia="Arial" w:hAnsi="Arial"/>
                <w:sz w:val="13"/>
                <w:szCs w:val="13"/>
                <w:color w:val="auto"/>
              </w:rPr>
              <w:t>56,852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3"/>
                <w:szCs w:val="13"/>
                <w:color w:val="auto"/>
              </w:rPr>
              <w:t>(6,384)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116,507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(6,861)</w:t>
            </w: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6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color w:val="auto"/>
              </w:rPr>
              <w:t>2,020</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(4)</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7,234</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(239)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color w:val="auto"/>
              </w:rPr>
              <w:t>9,254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61"/>
        </w:trPr>
        <w:tc>
          <w:tcPr>
            <w:tcW w:w="2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 w:type="dxa"/>
            <w:vAlign w:val="bottom"/>
            <w:tcBorders>
              <w:left w:val="single" w:sz="8" w:color="CCEEFF"/>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color w:val="auto"/>
              </w:rPr>
              <w:t>76,541</w:t>
            </w:r>
          </w:p>
        </w:tc>
        <w:tc>
          <w:tcPr>
            <w:tcW w:w="140" w:type="dxa"/>
            <w:vAlign w:val="bottom"/>
            <w:tcBorders>
              <w:bottom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(633)</w:t>
            </w: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163,592</w:t>
            </w:r>
          </w:p>
        </w:tc>
        <w:tc>
          <w:tcPr>
            <w:tcW w:w="100" w:type="dxa"/>
            <w:vAlign w:val="bottom"/>
            <w:tcBorders>
              <w:bottom w:val="single" w:sz="8" w:color="auto"/>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(31,573)</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240,133</w:t>
            </w:r>
          </w:p>
        </w:tc>
        <w:tc>
          <w:tcPr>
            <w:tcW w:w="100" w:type="dxa"/>
            <w:vAlign w:val="bottom"/>
            <w:tcBorders>
              <w:bottom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(32,206)</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120"/>
              <w:spacing w:after="0"/>
              <w:rPr>
                <w:sz w:val="20"/>
                <w:szCs w:val="20"/>
                <w:color w:val="auto"/>
              </w:rPr>
            </w:pPr>
            <w:r>
              <w:rPr>
                <w:rFonts w:ascii="Arial" w:cs="Arial" w:eastAsia="Arial" w:hAnsi="Arial"/>
                <w:sz w:val="13"/>
                <w:szCs w:val="13"/>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24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Fair Value</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w w:val="98"/>
              </w:rPr>
              <w:t>Losses</w:t>
            </w:r>
          </w:p>
        </w:tc>
        <w:tc>
          <w:tcPr>
            <w:tcW w:w="0" w:type="dxa"/>
            <w:vAlign w:val="bottom"/>
          </w:tcPr>
          <w:p>
            <w:pPr>
              <w:spacing w:after="0"/>
              <w:rPr>
                <w:sz w:val="1"/>
                <w:szCs w:val="1"/>
                <w:color w:val="auto"/>
              </w:rPr>
            </w:pPr>
          </w:p>
        </w:tc>
      </w:tr>
      <w:tr>
        <w:trPr>
          <w:trHeight w:val="151"/>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2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4,468</w:t>
            </w:r>
          </w:p>
        </w:tc>
        <w:tc>
          <w:tcPr>
            <w:tcW w:w="1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7,451</w:t>
            </w: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(1,592)</w:t>
            </w: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11,919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(1,668)</w:t>
            </w:r>
          </w:p>
        </w:tc>
        <w:tc>
          <w:tcPr>
            <w:tcW w:w="0" w:type="dxa"/>
            <w:vAlign w:val="bottom"/>
          </w:tcPr>
          <w:p>
            <w:pPr>
              <w:spacing w:after="0"/>
              <w:rPr>
                <w:sz w:val="1"/>
                <w:szCs w:val="1"/>
                <w:color w:val="auto"/>
              </w:rPr>
            </w:pPr>
          </w:p>
        </w:tc>
      </w:tr>
      <w:tr>
        <w:trPr>
          <w:trHeight w:val="171"/>
        </w:trPr>
        <w:tc>
          <w:tcPr>
            <w:tcW w:w="24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3"/>
                <w:szCs w:val="13"/>
                <w:color w:val="auto"/>
              </w:rPr>
              <w:t>3,101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60"/>
              <w:spacing w:after="0"/>
              <w:rPr>
                <w:sz w:val="20"/>
                <w:szCs w:val="20"/>
                <w:color w:val="auto"/>
              </w:rPr>
            </w:pPr>
            <w:r>
              <w:rPr>
                <w:rFonts w:ascii="Arial" w:cs="Arial" w:eastAsia="Arial" w:hAnsi="Arial"/>
                <w:sz w:val="13"/>
                <w:szCs w:val="13"/>
                <w:color w:val="auto"/>
                <w:w w:val="95"/>
              </w:rPr>
              <w:t>72,952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3"/>
                <w:szCs w:val="13"/>
                <w:color w:val="auto"/>
              </w:rPr>
              <w:t>(22,895)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76,053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(22,918)</w:t>
            </w:r>
          </w:p>
        </w:tc>
        <w:tc>
          <w:tcPr>
            <w:tcW w:w="0" w:type="dxa"/>
            <w:vAlign w:val="bottom"/>
          </w:tcPr>
          <w:p>
            <w:pPr>
              <w:spacing w:after="0"/>
              <w:rPr>
                <w:sz w:val="1"/>
                <w:szCs w:val="1"/>
                <w:color w:val="auto"/>
              </w:rPr>
            </w:pPr>
          </w:p>
        </w:tc>
      </w:tr>
      <w:tr>
        <w:trPr>
          <w:trHeight w:val="171"/>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972</w:t>
            </w: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w w:val="95"/>
              </w:rPr>
              <w:t>44,600</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(12,052)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45,572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(12,063)</w:t>
            </w:r>
          </w:p>
        </w:tc>
        <w:tc>
          <w:tcPr>
            <w:tcW w:w="0" w:type="dxa"/>
            <w:vAlign w:val="bottom"/>
          </w:tcPr>
          <w:p>
            <w:pPr>
              <w:spacing w:after="0"/>
              <w:rPr>
                <w:sz w:val="1"/>
                <w:szCs w:val="1"/>
                <w:color w:val="auto"/>
              </w:rPr>
            </w:pPr>
          </w:p>
        </w:tc>
      </w:tr>
      <w:tr>
        <w:trPr>
          <w:trHeight w:val="171"/>
        </w:trPr>
        <w:tc>
          <w:tcPr>
            <w:tcW w:w="240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5"/>
          </w:tcPr>
          <w:p>
            <w:pPr>
              <w:jc w:val="right"/>
              <w:ind w:right="40"/>
              <w:spacing w:after="0"/>
              <w:rPr>
                <w:sz w:val="20"/>
                <w:szCs w:val="20"/>
                <w:color w:val="auto"/>
              </w:rPr>
            </w:pPr>
            <w:r>
              <w:rPr>
                <w:rFonts w:ascii="Arial" w:cs="Arial" w:eastAsia="Arial" w:hAnsi="Arial"/>
                <w:sz w:val="13"/>
                <w:szCs w:val="13"/>
                <w:color w:val="auto"/>
              </w:rPr>
              <w:t>44,410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3"/>
                <w:szCs w:val="13"/>
                <w:color w:val="auto"/>
              </w:rPr>
              <w:t>(1,266)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60"/>
              <w:spacing w:after="0"/>
              <w:rPr>
                <w:sz w:val="20"/>
                <w:szCs w:val="20"/>
                <w:color w:val="auto"/>
              </w:rPr>
            </w:pPr>
            <w:r>
              <w:rPr>
                <w:rFonts w:ascii="Arial" w:cs="Arial" w:eastAsia="Arial" w:hAnsi="Arial"/>
                <w:sz w:val="13"/>
                <w:szCs w:val="13"/>
                <w:color w:val="auto"/>
                <w:w w:val="95"/>
              </w:rPr>
              <w:t>27,875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3"/>
                <w:szCs w:val="13"/>
                <w:color w:val="auto"/>
              </w:rPr>
              <w:t>(6,639)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72,285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(7,905)</w:t>
            </w:r>
          </w:p>
        </w:tc>
        <w:tc>
          <w:tcPr>
            <w:tcW w:w="0" w:type="dxa"/>
            <w:vAlign w:val="bottom"/>
          </w:tcPr>
          <w:p>
            <w:pPr>
              <w:spacing w:after="0"/>
              <w:rPr>
                <w:sz w:val="1"/>
                <w:szCs w:val="1"/>
                <w:color w:val="auto"/>
              </w:rPr>
            </w:pPr>
          </w:p>
        </w:tc>
      </w:tr>
      <w:tr>
        <w:trPr>
          <w:trHeight w:val="171"/>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w w:val="95"/>
              </w:rPr>
              <w:t>19,311</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(5,614)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19,311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0" w:type="dxa"/>
            <w:vAlign w:val="bottom"/>
          </w:tcPr>
          <w:p>
            <w:pPr>
              <w:spacing w:after="0"/>
              <w:rPr>
                <w:sz w:val="1"/>
                <w:szCs w:val="1"/>
                <w:color w:val="auto"/>
              </w:rPr>
            </w:pPr>
          </w:p>
        </w:tc>
      </w:tr>
      <w:tr>
        <w:trPr>
          <w:trHeight w:val="171"/>
        </w:trPr>
        <w:tc>
          <w:tcPr>
            <w:tcW w:w="240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5"/>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60"/>
              <w:spacing w:after="0"/>
              <w:rPr>
                <w:sz w:val="20"/>
                <w:szCs w:val="20"/>
                <w:color w:val="auto"/>
              </w:rPr>
            </w:pPr>
            <w:r>
              <w:rPr>
                <w:rFonts w:ascii="Arial" w:cs="Arial" w:eastAsia="Arial" w:hAnsi="Arial"/>
                <w:sz w:val="13"/>
                <w:szCs w:val="13"/>
                <w:color w:val="auto"/>
                <w:w w:val="95"/>
              </w:rPr>
              <w:t>14,352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3"/>
                <w:szCs w:val="13"/>
                <w:color w:val="auto"/>
              </w:rPr>
              <w:t>(1,044)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14,352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2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52,951</w:t>
            </w: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3"/>
                <w:szCs w:val="13"/>
                <w:color w:val="auto"/>
                <w:shd w:val="clear" w:color="auto" w:fill="CCEEFF"/>
              </w:rPr>
              <w:t>(1,376)</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shd w:val="clear" w:color="auto" w:fill="CCEEFF"/>
              </w:rPr>
              <w:t>186,541</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3"/>
                <w:szCs w:val="13"/>
                <w:color w:val="auto"/>
                <w:shd w:val="clear" w:color="auto" w:fill="CCEEFF"/>
              </w:rPr>
              <w:t>(49,836)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239,492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(51,212)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At December 31, 2025, the Company had $32.2 million of unrealized losses in its AFS securities portfolio, which had a fair value of $240.1 million with respect to the securities with unrealized losses. Mortgage-backed securities and collateralized mortgage obligations issued by U.S. government-sponsored entities accounted for $31.0 million of the unrealized losses and had a fair value of $ 226.6 million. These unrealized losses were primarily attributable to changes in interest rates since the time of purchase. The contractual cash flows for these securities are guaranteed by U.S. Government Agencies and U.S. government-sponsored entities. Municipal bonds had unrealized losses of $ 933 thousand and a fair value of $ 4.3 million. These securities are of high credit quality, and the decline in fair value was not attributable to credit deterioration. Bank subordinated debt securities had unrealized losses of $243 thousand and a fair value of $9.3 million, primarily due to changes in interest rate market conditions since purchase. Based on the assessment of these mitigating factors, management believes that the unrealized losses on these debt security holdings are a function of changes in investment spreads and interest rate movements and not changes in credit quality.</w:t>
      </w:r>
    </w:p>
    <w:p>
      <w:pPr>
        <w:spacing w:after="0" w:line="141"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measurement of expected credit losses under the CECL methodology is applicable to financial assets measured at amortized cost, including loan receivables and HTM debt securities.</w:t>
      </w:r>
    </w:p>
    <w:p>
      <w:pPr>
        <w:spacing w:after="0" w:line="12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Moody’s model, this is determined using historical default data, adjusted for the current economic environment. LGD projects the expected loss if a borrower were to default.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4" w:name="page95"/>
    <w:bookmarkEnd w:id="9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99"/>
        <w:spacing w:after="0" w:line="265" w:lineRule="auto"/>
        <w:rPr>
          <w:sz w:val="20"/>
          <w:szCs w:val="20"/>
          <w:color w:val="auto"/>
        </w:rPr>
      </w:pPr>
      <w:r>
        <w:rPr>
          <w:rFonts w:ascii="Arial" w:cs="Arial" w:eastAsia="Arial" w:hAnsi="Arial"/>
          <w:sz w:val="14"/>
          <w:szCs w:val="14"/>
          <w:color w:val="auto"/>
        </w:rPr>
        <w:t>The Company monitors the credit quality of HTM securities through the use of credit ratings. Credit ratings are monitored by the Company on at least a quarterly basis. As of December 31, 2025 and December 31, 2024, all HTM securities held by the Company were rated investment grade.</w:t>
      </w:r>
    </w:p>
    <w:p>
      <w:pPr>
        <w:spacing w:after="0" w:line="11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December 31, 2025, HTM securities included $144.9 million of U.S. Government and U.S. Agency issued bonds and mortgage-backed securities. Because of the explicit and/or implicit guarantee on these bonds, the Company holds no reserves on these holdings. The remaining portion of the HTM portfolio is made up of $ 9.0 million in investment grade corporate bonds. The required reserve for these holdings is determined each quarter using the model described above. For the portion of the HTM exposed to non-government credit risk, the Company utilized the PD/LGD methodology to estimate a $2 thousand ACL as of December 31, 2025. The book value for debt securities classified as HTM represents amortized cost less ACL.</w:t>
      </w:r>
    </w:p>
    <w:p>
      <w:pPr>
        <w:spacing w:after="0" w:line="13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Company determined that an ACL on its debt securities available for sale as was not required as of December 31, 2025 and December 31, 2024.</w:t>
      </w:r>
    </w:p>
    <w:p>
      <w:pPr>
        <w:spacing w:after="0" w:line="12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2018, the Company became a Qualified Public Depository (“QPD”) with the State of Florida. As a QPD, the Company has the authority to legally maintain public deposits from cities, municipalities, and the State of Florida. These public deposits are secured by securities pledged to the State of Florida at a ratio of 25% and 50% of the average outstanding amount of uninsured deposits at December 31, 2025 and December 31, 2024, respectively. The Company must also maintain a minimum amount of pledged securities to be in the program related to these deposits.</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2025, the Company had fifteen securities with an aggregate fair value of $43.5 million pledged to the State of Florida under the public funds program. The Company held a total of $167.7 million in public funds at December 31, 2025.</w:t>
      </w:r>
    </w:p>
    <w:p>
      <w:pPr>
        <w:spacing w:after="0" w:line="11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At December 31, 2024, the Company had twenty-one securities with an aggregate fair value of $ 66.1 million pledged to the State of Florida under the public funds program. The Company held a total of $110.5 million in public funds at December 31, 2024.</w:t>
      </w:r>
    </w:p>
    <w:p>
      <w:pPr>
        <w:spacing w:after="0" w:line="128" w:lineRule="exact"/>
        <w:rPr>
          <w:sz w:val="20"/>
          <w:szCs w:val="20"/>
          <w:color w:val="auto"/>
        </w:rPr>
      </w:pPr>
    </w:p>
    <w:p>
      <w:pPr>
        <w:ind w:left="1040" w:hanging="377"/>
        <w:spacing w:after="0"/>
        <w:tabs>
          <w:tab w:leader="none" w:pos="104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5"/>
          </w:tcPr>
          <w:p>
            <w:pPr>
              <w:jc w:val="right"/>
              <w:ind w:right="236"/>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rPr>
              <w:t>December 31, 2024</w:t>
            </w:r>
          </w:p>
        </w:tc>
        <w:tc>
          <w:tcPr>
            <w:tcW w:w="200" w:type="dxa"/>
            <w:vAlign w:val="bottom"/>
          </w:tcPr>
          <w:p>
            <w:pPr>
              <w:spacing w:after="0"/>
              <w:rPr>
                <w:sz w:val="13"/>
                <w:szCs w:val="13"/>
                <w:color w:val="auto"/>
              </w:rPr>
            </w:pPr>
          </w:p>
        </w:tc>
      </w:tr>
      <w:tr>
        <w:trPr>
          <w:trHeight w:val="183"/>
        </w:trPr>
        <w:tc>
          <w:tcPr>
            <w:tcW w:w="36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Percent of</w:t>
            </w:r>
          </w:p>
        </w:tc>
        <w:tc>
          <w:tcPr>
            <w:tcW w:w="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Percent of</w:t>
            </w:r>
          </w:p>
        </w:tc>
        <w:tc>
          <w:tcPr>
            <w:tcW w:w="200" w:type="dxa"/>
            <w:vAlign w:val="bottom"/>
            <w:tcBorders>
              <w:top w:val="single" w:sz="8" w:color="auto"/>
            </w:tcBorders>
          </w:tcPr>
          <w:p>
            <w:pPr>
              <w:spacing w:after="0"/>
              <w:rPr>
                <w:sz w:val="15"/>
                <w:szCs w:val="15"/>
                <w:color w:val="auto"/>
              </w:rPr>
            </w:pPr>
          </w:p>
        </w:tc>
      </w:tr>
      <w:tr>
        <w:trPr>
          <w:trHeight w:val="160"/>
        </w:trPr>
        <w:tc>
          <w:tcPr>
            <w:tcW w:w="36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3"/>
                <w:szCs w:val="13"/>
                <w:color w:val="auto"/>
              </w:rPr>
            </w:pPr>
          </w:p>
        </w:tc>
      </w:tr>
      <w:tr>
        <w:trPr>
          <w:trHeight w:val="151"/>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4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66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1,244,835</w:t>
            </w:r>
          </w:p>
        </w:tc>
        <w:tc>
          <w:tcPr>
            <w:tcW w:w="4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57.0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1,136,417</w:t>
            </w:r>
          </w:p>
        </w:tc>
        <w:tc>
          <w:tcPr>
            <w:tcW w:w="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57.8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4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660" w:type="dxa"/>
            <w:vAlign w:val="bottom"/>
          </w:tcPr>
          <w:p>
            <w:pPr>
              <w:spacing w:after="0"/>
              <w:rPr>
                <w:sz w:val="20"/>
                <w:szCs w:val="20"/>
                <w:color w:val="auto"/>
              </w:rPr>
            </w:pPr>
            <w:r>
              <w:rPr>
                <w:rFonts w:ascii="Arial" w:cs="Arial" w:eastAsia="Arial" w:hAnsi="Arial"/>
                <w:sz w:val="13"/>
                <w:szCs w:val="13"/>
                <w:color w:val="auto"/>
              </w:rPr>
              <w:t>Correspondent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5.9 %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82,438</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4.2 %</w:t>
            </w:r>
          </w:p>
        </w:tc>
      </w:tr>
      <w:tr>
        <w:trPr>
          <w:trHeight w:val="171"/>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2"/>
        </w:trPr>
        <w:tc>
          <w:tcPr>
            <w:tcW w:w="366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2,183,258</w:t>
            </w:r>
          </w:p>
        </w:tc>
        <w:tc>
          <w:tcPr>
            <w:tcW w:w="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1,965,218</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100.0 %</w:t>
            </w:r>
          </w:p>
        </w:tc>
      </w:tr>
      <w:tr>
        <w:trPr>
          <w:trHeight w:val="153"/>
        </w:trPr>
        <w:tc>
          <w:tcPr>
            <w:tcW w:w="36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Plus: Deferred costs/fees</w:t>
            </w:r>
          </w:p>
        </w:tc>
        <w:tc>
          <w:tcPr>
            <w:tcW w:w="220" w:type="dxa"/>
            <w:vAlign w:val="bottom"/>
            <w:tcBorders>
              <w:top w:val="single" w:sz="8" w:color="CCEEFF"/>
              <w:bottom w:val="single" w:sz="8" w:color="auto"/>
            </w:tcBorders>
            <w:shd w:val="clear" w:color="auto" w:fill="CCEEFF"/>
          </w:tcPr>
          <w:p>
            <w:pPr>
              <w:spacing w:after="0"/>
              <w:rPr>
                <w:sz w:val="13"/>
                <w:szCs w:val="13"/>
                <w:color w:val="auto"/>
              </w:rPr>
            </w:pP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5,999</w:t>
            </w: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auto"/>
            </w:tcBorders>
            <w:shd w:val="clear" w:color="auto" w:fill="CCEEFF"/>
          </w:tcPr>
          <w:p>
            <w:pPr>
              <w:spacing w:after="0"/>
              <w:rPr>
                <w:sz w:val="13"/>
                <w:szCs w:val="13"/>
                <w:color w:val="auto"/>
              </w:rPr>
            </w:pP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7,630</w:t>
            </w: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r>
      <w:tr>
        <w:trPr>
          <w:trHeight w:val="161"/>
        </w:trPr>
        <w:tc>
          <w:tcPr>
            <w:tcW w:w="3660" w:type="dxa"/>
            <w:vAlign w:val="bottom"/>
          </w:tcPr>
          <w:p>
            <w:pPr>
              <w:ind w:left="100"/>
              <w:spacing w:after="0"/>
              <w:rPr>
                <w:sz w:val="20"/>
                <w:szCs w:val="20"/>
                <w:color w:val="auto"/>
              </w:rPr>
            </w:pPr>
            <w:r>
              <w:rPr>
                <w:rFonts w:ascii="Arial" w:cs="Arial" w:eastAsia="Arial" w:hAnsi="Arial"/>
                <w:sz w:val="13"/>
                <w:szCs w:val="13"/>
                <w:color w:val="auto"/>
              </w:rPr>
              <w:t>Total loans held for investment, net of deferred costs/fees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2,189,257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1,972,848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25,500</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1"/>
        </w:trPr>
        <w:tc>
          <w:tcPr>
            <w:tcW w:w="3660" w:type="dxa"/>
            <w:vAlign w:val="bottom"/>
          </w:tcPr>
          <w:p>
            <w:pPr>
              <w:ind w:left="100"/>
              <w:spacing w:after="0"/>
              <w:rPr>
                <w:sz w:val="20"/>
                <w:szCs w:val="20"/>
                <w:color w:val="auto"/>
              </w:rPr>
            </w:pPr>
            <w:r>
              <w:rPr>
                <w:rFonts w:ascii="Arial" w:cs="Arial" w:eastAsia="Arial" w:hAnsi="Arial"/>
                <w:sz w:val="13"/>
                <w:szCs w:val="13"/>
                <w:color w:val="auto"/>
              </w:rPr>
              <w:t>Total loans held for investment, net of allowance</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2,163,757</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1,948,778</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2025 and 2024, the Company had $561.4 million and $518.8 million, respectively, of commercial real estate and residential mortgage loans pledged as collateral on lines of credit with the FHLB and the Federal Reserve Bank of Atlanta. At December 31, 2025 and 2024, the Company had no real estate loans in the process of foreclosure.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5" w:name="page96"/>
    <w:bookmarkEnd w:id="9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Changes in the ACL for the years ended December 31, 2025 and 2024 are as follows (in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Residential</w:t>
            </w:r>
          </w:p>
        </w:tc>
        <w:tc>
          <w:tcPr>
            <w:tcW w:w="8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Commercial</w:t>
            </w:r>
          </w:p>
        </w:tc>
        <w:tc>
          <w:tcPr>
            <w:tcW w:w="80" w:type="dxa"/>
            <w:vAlign w:val="bottom"/>
          </w:tcPr>
          <w:p>
            <w:pPr>
              <w:spacing w:after="0"/>
              <w:rPr>
                <w:sz w:val="13"/>
                <w:szCs w:val="1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Correspondent</w:t>
            </w: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Consumer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6"/>
              </w:rPr>
              <w:t>Real Estate</w:t>
            </w:r>
          </w:p>
        </w:tc>
        <w:tc>
          <w:tcPr>
            <w:tcW w:w="8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Real Estate</w:t>
            </w:r>
          </w:p>
        </w:tc>
        <w:tc>
          <w:tcPr>
            <w:tcW w:w="9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and Industrial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Banks</w:t>
            </w: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18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auto"/>
              <w:right w:val="single" w:sz="8" w:color="CCEEFF"/>
            </w:tcBorders>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rPr>
                <w:sz w:val="13"/>
                <w:szCs w:val="13"/>
                <w:color w:val="auto"/>
              </w:rPr>
            </w:pPr>
          </w:p>
        </w:tc>
      </w:tr>
      <w:tr>
        <w:trPr>
          <w:trHeight w:val="151"/>
        </w:trPr>
        <w:tc>
          <w:tcPr>
            <w:tcW w:w="2120" w:type="dxa"/>
            <w:vAlign w:val="bottom"/>
          </w:tcPr>
          <w:p>
            <w:pPr>
              <w:spacing w:after="0" w:line="148" w:lineRule="exact"/>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5,121</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8,788</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4,633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654</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4,874</w:t>
            </w:r>
          </w:p>
        </w:tc>
        <w:tc>
          <w:tcPr>
            <w:tcW w:w="4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24,070</w:t>
            </w: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60" w:type="dxa"/>
            <w:vAlign w:val="bottom"/>
            <w:tcBorders>
              <w:right w:val="single" w:sz="8" w:color="CCEEFF"/>
            </w:tcBorders>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w:t>
            </w: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Recoveries</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7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r>
      <w:tr>
        <w:trPr>
          <w:trHeight w:val="221"/>
        </w:trPr>
        <w:tc>
          <w:tcPr>
            <w:tcW w:w="212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5,908</w:t>
            </w: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9,476</w:t>
            </w: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4,814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1,015</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4,287</w:t>
            </w:r>
          </w:p>
        </w:tc>
        <w:tc>
          <w:tcPr>
            <w:tcW w:w="40" w:type="dxa"/>
            <w:vAlign w:val="bottom"/>
          </w:tcPr>
          <w:p>
            <w:pPr>
              <w:spacing w:after="0"/>
              <w:rPr>
                <w:sz w:val="19"/>
                <w:szCs w:val="19"/>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25,500</w:t>
            </w:r>
          </w:p>
        </w:tc>
      </w:tr>
      <w:tr>
        <w:trPr>
          <w:trHeight w:val="133"/>
        </w:trPr>
        <w:tc>
          <w:tcPr>
            <w:tcW w:w="2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right w:val="single" w:sz="8" w:color="CCEEFF"/>
            </w:tcBorders>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3"/>
                <w:szCs w:val="13"/>
                <w:b w:val="1"/>
                <w:bCs w:val="1"/>
                <w:color w:val="auto"/>
              </w:rPr>
              <w:t>December 31, 2024: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6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3,974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21,084</w:t>
            </w:r>
          </w:p>
        </w:tc>
      </w:tr>
      <w:tr>
        <w:trPr>
          <w:trHeight w:val="192"/>
        </w:trPr>
        <w:tc>
          <w:tcPr>
            <w:tcW w:w="2120" w:type="dxa"/>
            <w:vAlign w:val="bottom"/>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2,403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640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1,752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2,960</w:t>
            </w: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6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2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Charge-offs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72"/>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5,121</w:t>
            </w:r>
          </w:p>
        </w:tc>
        <w:tc>
          <w:tcPr>
            <w:tcW w:w="6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4,633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4,874</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24,070</w:t>
            </w:r>
          </w:p>
        </w:tc>
      </w:tr>
      <w:tr>
        <w:trPr>
          <w:trHeight w:val="20"/>
        </w:trPr>
        <w:tc>
          <w:tcPr>
            <w:tcW w:w="2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ind w:left="660" w:right="979" w:firstLine="3"/>
        <w:spacing w:after="0" w:line="273" w:lineRule="auto"/>
        <w:tabs>
          <w:tab w:leader="none" w:pos="831" w:val="left"/>
        </w:tabs>
        <w:numPr>
          <w:ilvl w:val="0"/>
          <w:numId w:val="35"/>
        </w:numPr>
        <w:rPr>
          <w:rFonts w:ascii="Arial" w:cs="Arial" w:eastAsia="Arial" w:hAnsi="Arial"/>
          <w:sz w:val="11"/>
          <w:szCs w:val="11"/>
          <w:color w:val="auto"/>
        </w:rPr>
      </w:pPr>
      <w:r>
        <w:rPr>
          <w:rFonts w:ascii="Arial" w:cs="Arial" w:eastAsia="Arial" w:hAnsi="Arial"/>
          <w:sz w:val="11"/>
          <w:szCs w:val="11"/>
          <w:color w:val="auto"/>
        </w:rPr>
        <w:t>Provision for credit losses excludes $182 thousand provision for unfunded commitments included in accrued interest and other liabilities and $4 thousand release for investment securities held to maturity.</w:t>
      </w:r>
    </w:p>
    <w:p>
      <w:pPr>
        <w:spacing w:after="0" w:line="57" w:lineRule="exact"/>
        <w:rPr>
          <w:rFonts w:ascii="Arial" w:cs="Arial" w:eastAsia="Arial" w:hAnsi="Arial"/>
          <w:sz w:val="11"/>
          <w:szCs w:val="11"/>
          <w:color w:val="auto"/>
        </w:rPr>
      </w:pPr>
    </w:p>
    <w:p>
      <w:pPr>
        <w:ind w:left="660" w:right="979" w:firstLine="3"/>
        <w:spacing w:after="0" w:line="286" w:lineRule="auto"/>
        <w:tabs>
          <w:tab w:leader="none" w:pos="831" w:val="left"/>
        </w:tabs>
        <w:numPr>
          <w:ilvl w:val="0"/>
          <w:numId w:val="35"/>
        </w:numPr>
        <w:rPr>
          <w:rFonts w:ascii="Arial" w:cs="Arial" w:eastAsia="Arial" w:hAnsi="Arial"/>
          <w:sz w:val="11"/>
          <w:szCs w:val="11"/>
          <w:color w:val="auto"/>
        </w:rPr>
      </w:pPr>
      <w:r>
        <w:rPr>
          <w:rFonts w:ascii="Arial" w:cs="Arial" w:eastAsia="Arial" w:hAnsi="Arial"/>
          <w:sz w:val="11"/>
          <w:szCs w:val="11"/>
          <w:color w:val="auto"/>
        </w:rPr>
        <w:t>Provision for credit losses excludes $199 thousand provision for unfunded commitments included in accrued interest and other liabilities and $2 thousand release for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6" w:name="page97"/>
    <w:bookmarkEnd w:id="9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At December 31, 2025, the ACL for loans was $ 25.5 million compared to $24.1 million at December 31, 2024. The increase of $1.4 million or 5.9% in the ACL was primarily due to loan growth.</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Charge offs related to loans for the year ended December 31, 2025 were $23 thousand originated in 2025 and $ 709 thousand originated in 2022. Charge offs for the year ended December 31, 2024 were $19 thousand originated in 2024.</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Allowance for credit losses and the outstanding balances in loans as of December 31, 2025 and 2024 are as follows (in thousands):</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w w:val="95"/>
              </w:rPr>
              <w:t>Residential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Correspondent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9"/>
        </w:trPr>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w w:val="94"/>
              </w:rPr>
              <w:t>Real Estate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2"/>
                <w:szCs w:val="12"/>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1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and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r>
      <w:tr>
        <w:trPr>
          <w:trHeight w:val="161"/>
        </w:trPr>
        <w:tc>
          <w:tcPr>
            <w:tcW w:w="2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right w:val="single" w:sz="8" w:color="CCEEFF"/>
            </w:tcBorders>
          </w:tcPr>
          <w:p>
            <w:pPr>
              <w:spacing w:after="0"/>
              <w:rPr>
                <w:sz w:val="14"/>
                <w:szCs w:val="1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5,881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9,476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4,730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25,389</w:t>
            </w: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right w:val="single" w:sz="8" w:color="CCEEFF"/>
            </w:tcBorders>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5,908</w:t>
            </w:r>
          </w:p>
        </w:tc>
        <w:tc>
          <w:tcPr>
            <w:tcW w:w="20" w:type="dxa"/>
            <w:vAlign w:val="bottom"/>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9,476</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4,814</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4,287</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25,500</w:t>
            </w: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5,583</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1,265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6,848</w:t>
            </w: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302,109</w:t>
            </w:r>
          </w:p>
        </w:tc>
        <w:tc>
          <w:tcPr>
            <w:tcW w:w="20" w:type="dxa"/>
            <w:vAlign w:val="bottom"/>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1,244,835</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294,283</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127,968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2,176,410</w:t>
            </w:r>
          </w:p>
        </w:tc>
      </w:tr>
      <w:tr>
        <w:trPr>
          <w:trHeight w:val="18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10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307,692</w:t>
            </w:r>
          </w:p>
        </w:tc>
        <w:tc>
          <w:tcPr>
            <w:tcW w:w="8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82"/>
              </w:rPr>
              <w:t>$</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1,244,835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295,548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127,968</w:t>
            </w:r>
          </w:p>
        </w:tc>
        <w:tc>
          <w:tcPr>
            <w:tcW w:w="140" w:type="dxa"/>
            <w:vAlign w:val="bottom"/>
            <w:gridSpan w:val="3"/>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207,215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2,183,258</w:t>
            </w:r>
          </w:p>
        </w:tc>
      </w:tr>
      <w:tr>
        <w:trPr>
          <w:trHeight w:val="152"/>
        </w:trPr>
        <w:tc>
          <w:tcPr>
            <w:tcW w:w="10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74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718</w:t>
            </w:r>
          </w:p>
        </w:tc>
      </w:tr>
      <w:tr>
        <w:trPr>
          <w:trHeight w:val="165"/>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5,081</w:t>
            </w:r>
          </w:p>
        </w:tc>
        <w:tc>
          <w:tcPr>
            <w:tcW w:w="20" w:type="dxa"/>
            <w:vAlign w:val="bottom"/>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8,788</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4,606</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4,223</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23,352</w:t>
            </w:r>
          </w:p>
        </w:tc>
      </w:tr>
      <w:tr>
        <w:trPr>
          <w:trHeight w:val="207"/>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5,121</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8,788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4,633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654</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4,874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24,070</w:t>
            </w:r>
          </w:p>
        </w:tc>
      </w:tr>
      <w:tr>
        <w:trPr>
          <w:trHeight w:val="143"/>
        </w:trPr>
        <w:tc>
          <w:tcPr>
            <w:tcW w:w="1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right w:val="single" w:sz="8" w:color="CCEEFF"/>
            </w:tcBorders>
          </w:tcPr>
          <w:p>
            <w:pPr>
              <w:spacing w:after="0"/>
              <w:rPr>
                <w:sz w:val="14"/>
                <w:szCs w:val="1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6,788</w:t>
            </w:r>
          </w:p>
        </w:tc>
        <w:tc>
          <w:tcPr>
            <w:tcW w:w="20" w:type="dxa"/>
            <w:vAlign w:val="bottom"/>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690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9,468</w:t>
            </w: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283,173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1,136,417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257,621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196,101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1,955,750</w:t>
            </w: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right w:val="single" w:sz="8" w:color="CCEEFF"/>
            </w:tcBorders>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20" w:type="dxa"/>
            <w:vAlign w:val="bottom"/>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1,136,417</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258,311</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1,965,218</w:t>
            </w: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7"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4"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2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7" w:name="page98"/>
    <w:bookmarkEnd w:id="9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10"/>
          </w:tcPr>
          <w:p>
            <w:pPr>
              <w:jc w:val="right"/>
              <w:ind w:right="52"/>
              <w:spacing w:after="0"/>
              <w:rPr>
                <w:sz w:val="20"/>
                <w:szCs w:val="20"/>
                <w:color w:val="auto"/>
              </w:rPr>
            </w:pPr>
            <w:r>
              <w:rPr>
                <w:rFonts w:ascii="Arial" w:cs="Arial" w:eastAsia="Arial" w:hAnsi="Arial"/>
                <w:sz w:val="13"/>
                <w:szCs w:val="13"/>
                <w:b w:val="1"/>
                <w:bCs w:val="1"/>
                <w:color w:val="auto"/>
                <w:w w:val="99"/>
              </w:rPr>
              <w:t>As of December 31, 2025</w:t>
            </w: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4"/>
          </w:tcPr>
          <w:p>
            <w:pPr>
              <w:ind w:left="440"/>
              <w:spacing w:after="0"/>
              <w:rPr>
                <w:sz w:val="20"/>
                <w:szCs w:val="20"/>
                <w:color w:val="auto"/>
              </w:rPr>
            </w:pPr>
            <w:r>
              <w:rPr>
                <w:rFonts w:ascii="Arial" w:cs="Arial" w:eastAsia="Arial" w:hAnsi="Arial"/>
                <w:sz w:val="13"/>
                <w:szCs w:val="13"/>
                <w:b w:val="1"/>
                <w:bCs w:val="1"/>
                <w:color w:val="auto"/>
                <w:w w:val="98"/>
              </w:rPr>
              <w:t>Term Loans by Origination Year</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4"/>
            <w:vMerge w:val="restart"/>
          </w:tcPr>
          <w:p>
            <w:pPr>
              <w:jc w:val="right"/>
              <w:ind w:right="80"/>
              <w:spacing w:after="0"/>
              <w:rPr>
                <w:sz w:val="20"/>
                <w:szCs w:val="20"/>
                <w:color w:val="auto"/>
              </w:rPr>
            </w:pPr>
            <w:r>
              <w:rPr>
                <w:rFonts w:ascii="Arial" w:cs="Arial" w:eastAsia="Arial" w:hAnsi="Arial"/>
                <w:sz w:val="13"/>
                <w:szCs w:val="13"/>
                <w:b w:val="1"/>
                <w:bCs w:val="1"/>
                <w:color w:val="auto"/>
                <w:w w:val="96"/>
              </w:rPr>
              <w:t>Revolving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Prior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Loans</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65,582</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83,426</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32,139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23,685</w:t>
            </w:r>
          </w:p>
        </w:tc>
        <w:tc>
          <w:tcPr>
            <w:tcW w:w="160" w:type="dxa"/>
            <w:vAlign w:val="bottom"/>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21,056</w:t>
            </w: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58,220</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4"/>
          </w:tcPr>
          <w:p>
            <w:pPr>
              <w:jc w:val="right"/>
              <w:ind w:right="60"/>
              <w:spacing w:after="0"/>
              <w:rPr>
                <w:sz w:val="20"/>
                <w:szCs w:val="20"/>
                <w:color w:val="auto"/>
              </w:rPr>
            </w:pPr>
            <w:r>
              <w:rPr>
                <w:rFonts w:ascii="Arial" w:cs="Arial" w:eastAsia="Arial" w:hAnsi="Arial"/>
                <w:sz w:val="13"/>
                <w:szCs w:val="13"/>
                <w:color w:val="auto"/>
              </w:rPr>
              <w:t>20,168</w:t>
            </w: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304,276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917</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1,468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65,710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84,343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58,536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20,168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8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241,028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184,323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109,465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281,985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134,663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273,483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5,876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1,230,823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8,451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3,162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8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1,724</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675</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2,399</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241,028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117,916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281,985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136,387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5,876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1,244,835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and</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75,867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63,178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58,060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32,118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28,090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12,314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3"/>
                <w:szCs w:val="13"/>
                <w:color w:val="auto"/>
              </w:rPr>
              <w:t>23,542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293,169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389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445</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638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1,472</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75,867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63,250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58,449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29,370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23,542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127,968</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loans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59,276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34,309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36,808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51,091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23,214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1,770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207,215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59,276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34,309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36,808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51,091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23,214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747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1,770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207,215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gridSpan w:val="3"/>
          </w:tcPr>
          <w:p>
            <w:pPr>
              <w:spacing w:after="0"/>
              <w:rPr>
                <w:sz w:val="20"/>
                <w:szCs w:val="20"/>
                <w:color w:val="auto"/>
              </w:rPr>
            </w:pPr>
            <w:r>
              <w:rPr>
                <w:rFonts w:ascii="Arial" w:cs="Arial" w:eastAsia="Arial" w:hAnsi="Arial"/>
                <w:sz w:val="13"/>
                <w:szCs w:val="13"/>
                <w:color w:val="auto"/>
              </w:rPr>
              <w:t>Total Loans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569,721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365,236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236,472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388,879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207,023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344,764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51,356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2,163,451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ind w:left="1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8,451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587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835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3,363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13,436</w:t>
            </w: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569,849</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shd w:val="clear" w:color="auto" w:fill="CCEEFF"/>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366,225</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shd w:val="clear" w:color="auto" w:fill="CCEEFF"/>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246,780</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389,466</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210,027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shd w:val="clear" w:color="auto" w:fill="CCEEFF"/>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349,555</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51,356</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shd w:val="clear" w:color="auto" w:fill="CCEEFF"/>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2,183,258</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8" w:name="page99"/>
    <w:bookmarkEnd w:id="9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3"/>
                <w:szCs w:val="13"/>
                <w:b w:val="1"/>
                <w:bCs w:val="1"/>
                <w:color w:val="auto"/>
                <w:w w:val="99"/>
              </w:rPr>
              <w:t>As of December 31, 2024</w:t>
            </w: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4"/>
          </w:tcPr>
          <w:p>
            <w:pPr>
              <w:ind w:left="440"/>
              <w:spacing w:after="0"/>
              <w:rPr>
                <w:sz w:val="20"/>
                <w:szCs w:val="20"/>
                <w:color w:val="auto"/>
              </w:rPr>
            </w:pPr>
            <w:r>
              <w:rPr>
                <w:rFonts w:ascii="Arial" w:cs="Arial" w:eastAsia="Arial" w:hAnsi="Arial"/>
                <w:sz w:val="13"/>
                <w:szCs w:val="13"/>
                <w:b w:val="1"/>
                <w:bCs w:val="1"/>
                <w:color w:val="auto"/>
                <w:w w:val="98"/>
              </w:rPr>
              <w:t>Term Loans by Origination Year</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vMerge w:val="restart"/>
          </w:tcPr>
          <w:p>
            <w:pPr>
              <w:jc w:val="right"/>
              <w:ind w:right="16"/>
              <w:spacing w:after="0"/>
              <w:rPr>
                <w:sz w:val="20"/>
                <w:szCs w:val="20"/>
                <w:color w:val="auto"/>
              </w:rPr>
            </w:pPr>
            <w:r>
              <w:rPr>
                <w:rFonts w:ascii="Arial" w:cs="Arial" w:eastAsia="Arial" w:hAnsi="Arial"/>
                <w:sz w:val="13"/>
                <w:szCs w:val="13"/>
                <w:b w:val="1"/>
                <w:bCs w:val="1"/>
                <w:color w:val="auto"/>
                <w:w w:val="96"/>
              </w:rPr>
              <w:t>Revolving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Prior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109,590</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39,666</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34,315</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23,039</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5,791</w:t>
            </w:r>
          </w:p>
        </w:tc>
        <w:tc>
          <w:tcPr>
            <w:tcW w:w="6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66,115</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10,885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289,401</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51"/>
        </w:trPr>
        <w:tc>
          <w:tcPr>
            <w:tcW w:w="138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109,590</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39,666</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34,315</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23,039</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5,791</w:t>
            </w: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66,675</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10,885</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289,961</w:t>
            </w: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317,971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175,535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98,695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4,680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1,133,965</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1,765</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687</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w:t>
            </w:r>
          </w:p>
        </w:tc>
        <w:tc>
          <w:tcPr>
            <w:tcW w:w="0" w:type="dxa"/>
            <w:vAlign w:val="bottom"/>
          </w:tcPr>
          <w:p>
            <w:pPr>
              <w:spacing w:after="0"/>
              <w:rPr>
                <w:sz w:val="1"/>
                <w:szCs w:val="1"/>
                <w:color w:val="auto"/>
              </w:rPr>
            </w:pPr>
          </w:p>
        </w:tc>
      </w:tr>
      <w:tr>
        <w:trPr>
          <w:trHeight w:val="16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317,971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99,382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4,680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1,136,417</w:t>
            </w: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68,405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80,644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33,962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30,495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3,891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26,795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256,031</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1,093</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2,280</w:t>
            </w: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68,405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80,644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33,962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31,014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3,891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27,463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258,311</w:t>
            </w: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80" w:type="dxa"/>
            <w:vAlign w:val="bottom"/>
            <w:gridSpan w:val="2"/>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82,438</w:t>
            </w: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8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80" w:type="dxa"/>
            <w:vAlign w:val="bottom"/>
            <w:gridSpan w:val="2"/>
          </w:tcPr>
          <w:p>
            <w:pPr>
              <w:spacing w:after="0"/>
              <w:rPr>
                <w:sz w:val="20"/>
                <w:szCs w:val="20"/>
                <w:color w:val="auto"/>
              </w:rPr>
            </w:pPr>
            <w:r>
              <w:rPr>
                <w:rFonts w:ascii="Arial" w:cs="Arial" w:eastAsia="Arial" w:hAnsi="Arial"/>
                <w:sz w:val="13"/>
                <w:szCs w:val="13"/>
                <w:color w:val="auto"/>
              </w:rPr>
              <w:t>loans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40,921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51,392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65,603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35,181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1,990</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w:t>
            </w:r>
          </w:p>
        </w:tc>
        <w:tc>
          <w:tcPr>
            <w:tcW w:w="0" w:type="dxa"/>
            <w:vAlign w:val="bottom"/>
          </w:tcPr>
          <w:p>
            <w:pPr>
              <w:spacing w:after="0"/>
              <w:rPr>
                <w:sz w:val="1"/>
                <w:szCs w:val="1"/>
                <w:color w:val="auto"/>
              </w:rPr>
            </w:pPr>
          </w:p>
        </w:tc>
      </w:tr>
      <w:tr>
        <w:trPr>
          <w:trHeight w:val="161"/>
        </w:trPr>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51,392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67,593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35,181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Loans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476,377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302,205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451,851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264,250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108,868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310,327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44,058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1,957,936</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1,990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687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668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7,282</w:t>
            </w:r>
          </w:p>
        </w:tc>
        <w:tc>
          <w:tcPr>
            <w:tcW w:w="0" w:type="dxa"/>
            <w:vAlign w:val="bottom"/>
          </w:tcPr>
          <w:p>
            <w:pPr>
              <w:spacing w:after="0"/>
              <w:rPr>
                <w:sz w:val="1"/>
                <w:szCs w:val="1"/>
                <w:color w:val="auto"/>
              </w:rPr>
            </w:pPr>
          </w:p>
        </w:tc>
      </w:tr>
      <w:tr>
        <w:trPr>
          <w:trHeight w:val="171"/>
        </w:trPr>
        <w:tc>
          <w:tcPr>
            <w:tcW w:w="1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476,377</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302,205</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453,841</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266,534</w:t>
            </w:r>
          </w:p>
        </w:tc>
        <w:tc>
          <w:tcPr>
            <w:tcW w:w="40" w:type="dxa"/>
            <w:vAlign w:val="bottom"/>
          </w:tcPr>
          <w:p>
            <w:pPr>
              <w:spacing w:after="0"/>
              <w:rPr>
                <w:sz w:val="14"/>
                <w:szCs w:val="1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109,555</w:t>
            </w:r>
          </w:p>
        </w:tc>
        <w:tc>
          <w:tcPr>
            <w:tcW w:w="6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311,980</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44,726</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1,965,218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99" w:name="page100"/>
    <w:bookmarkEnd w:id="9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loans. The following table include an aging analysis of accruing loans and total non-accruing loans as of December 31, 2025 and 2024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ind w:left="340"/>
              <w:spacing w:after="0"/>
              <w:rPr>
                <w:sz w:val="20"/>
                <w:szCs w:val="20"/>
                <w:color w:val="auto"/>
              </w:rPr>
            </w:pPr>
            <w:r>
              <w:rPr>
                <w:rFonts w:ascii="Arial" w:cs="Arial" w:eastAsia="Arial" w:hAnsi="Arial"/>
                <w:sz w:val="13"/>
                <w:szCs w:val="13"/>
                <w:b w:val="1"/>
                <w:bCs w:val="1"/>
                <w:color w:val="auto"/>
              </w:rPr>
              <w:t>Accruing</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0"/>
        </w:trPr>
        <w:tc>
          <w:tcPr>
            <w:tcW w:w="1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jc w:val="center"/>
              <w:spacing w:after="0" w:line="129" w:lineRule="exact"/>
              <w:rPr>
                <w:sz w:val="20"/>
                <w:szCs w:val="20"/>
                <w:color w:val="auto"/>
              </w:rPr>
            </w:pPr>
            <w:r>
              <w:rPr>
                <w:rFonts w:ascii="Arial" w:cs="Arial" w:eastAsia="Arial" w:hAnsi="Arial"/>
                <w:sz w:val="13"/>
                <w:szCs w:val="13"/>
                <w:b w:val="1"/>
                <w:bCs w:val="1"/>
                <w:color w:val="auto"/>
              </w:rPr>
              <w:t>Past Due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jc w:val="center"/>
              <w:spacing w:after="0"/>
              <w:rPr>
                <w:sz w:val="20"/>
                <w:szCs w:val="20"/>
                <w:color w:val="auto"/>
              </w:rPr>
            </w:pPr>
            <w:r>
              <w:rPr>
                <w:rFonts w:ascii="Arial" w:cs="Arial" w:eastAsia="Arial" w:hAnsi="Arial"/>
                <w:sz w:val="13"/>
                <w:szCs w:val="13"/>
                <w:b w:val="1"/>
                <w:bCs w:val="1"/>
                <w:color w:val="auto"/>
              </w:rPr>
              <w:t>90 Days 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more 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6"/>
              </w:rPr>
              <w:t>Past Due</w:t>
            </w:r>
          </w:p>
        </w:tc>
        <w:tc>
          <w:tcPr>
            <w:tcW w:w="14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rPr>
              <w:t>Still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0"/>
        </w:trPr>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As of December 31, 2025:</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30-89 Days</w:t>
            </w: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Non-Accrual</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8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1,538</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3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1,538</w:t>
            </w: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64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1,538</w:t>
            </w: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238,852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240,002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2,385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242,387</w:t>
            </w:r>
          </w:p>
        </w:tc>
        <w:tc>
          <w:tcPr>
            <w:tcW w:w="40" w:type="dxa"/>
            <w:vAlign w:val="bottom"/>
            <w:shd w:val="clear" w:color="auto" w:fill="CCEEFF"/>
          </w:tcPr>
          <w:p>
            <w:pPr>
              <w:spacing w:after="0"/>
              <w:rPr>
                <w:sz w:val="14"/>
                <w:szCs w:val="14"/>
                <w:color w:val="auto"/>
              </w:rPr>
            </w:pPr>
          </w:p>
        </w:tc>
      </w:tr>
      <w:tr>
        <w:trPr>
          <w:trHeight w:val="171"/>
        </w:trPr>
        <w:tc>
          <w:tcPr>
            <w:tcW w:w="2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62,364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63,652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115</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63,767</w:t>
            </w:r>
          </w:p>
        </w:tc>
      </w:tr>
      <w:tr>
        <w:trPr>
          <w:trHeight w:val="16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302,754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305,192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40" w:type="dxa"/>
            <w:vAlign w:val="bottom"/>
            <w:shd w:val="clear" w:color="auto" w:fill="CCEEFF"/>
          </w:tcPr>
          <w:p>
            <w:pPr>
              <w:spacing w:after="0"/>
              <w:rPr>
                <w:sz w:val="14"/>
                <w:szCs w:val="14"/>
                <w:color w:val="auto"/>
              </w:rPr>
            </w:pPr>
          </w:p>
        </w:tc>
      </w:tr>
      <w:tr>
        <w:trPr>
          <w:trHeight w:val="169"/>
        </w:trPr>
        <w:tc>
          <w:tcPr>
            <w:tcW w:w="28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83,305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83,305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5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83,305</w:t>
            </w:r>
          </w:p>
        </w:tc>
        <w:tc>
          <w:tcPr>
            <w:tcW w:w="4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254,562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254,562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254,562</w:t>
            </w:r>
          </w:p>
        </w:tc>
        <w:tc>
          <w:tcPr>
            <w:tcW w:w="4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61,525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61,525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5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61,525</w:t>
            </w:r>
          </w:p>
        </w:tc>
        <w:tc>
          <w:tcPr>
            <w:tcW w:w="4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845,003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440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845,443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845,443</w:t>
            </w:r>
          </w:p>
        </w:tc>
        <w:tc>
          <w:tcPr>
            <w:tcW w:w="40" w:type="dxa"/>
            <w:vAlign w:val="bottom"/>
          </w:tcPr>
          <w:p>
            <w:pPr>
              <w:spacing w:after="0"/>
              <w:rPr>
                <w:sz w:val="14"/>
                <w:szCs w:val="14"/>
                <w:color w:val="auto"/>
              </w:rPr>
            </w:pPr>
          </w:p>
        </w:tc>
      </w:tr>
      <w:tr>
        <w:trPr>
          <w:trHeight w:val="165"/>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r>
      <w:tr>
        <w:trPr>
          <w:trHeight w:val="156"/>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1,244,395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440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1,244,835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1,244,835</w:t>
            </w:r>
          </w:p>
        </w:tc>
        <w:tc>
          <w:tcPr>
            <w:tcW w:w="40" w:type="dxa"/>
            <w:vAlign w:val="bottom"/>
          </w:tcPr>
          <w:p>
            <w:pPr>
              <w:spacing w:after="0"/>
              <w:rPr>
                <w:sz w:val="13"/>
                <w:szCs w:val="13"/>
                <w:color w:val="auto"/>
              </w:rPr>
            </w:pPr>
          </w:p>
        </w:tc>
      </w:tr>
      <w:tr>
        <w:trPr>
          <w:trHeight w:val="171"/>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r>
      <w:tr>
        <w:trPr>
          <w:trHeight w:val="15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272,900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272,971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638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273,609</w:t>
            </w:r>
          </w:p>
        </w:tc>
        <w:tc>
          <w:tcPr>
            <w:tcW w:w="40" w:type="dxa"/>
            <w:vAlign w:val="bottom"/>
          </w:tcPr>
          <w:p>
            <w:pPr>
              <w:spacing w:after="0"/>
              <w:rPr>
                <w:sz w:val="13"/>
                <w:szCs w:val="13"/>
                <w:color w:val="auto"/>
              </w:rPr>
            </w:pPr>
          </w:p>
        </w:tc>
      </w:tr>
      <w:tr>
        <w:trPr>
          <w:trHeight w:val="191"/>
        </w:trPr>
        <w:tc>
          <w:tcPr>
            <w:tcW w:w="1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21,939</w:t>
            </w:r>
          </w:p>
        </w:tc>
        <w:tc>
          <w:tcPr>
            <w:tcW w:w="40" w:type="dxa"/>
            <w:vAlign w:val="bottom"/>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21,939</w:t>
            </w:r>
          </w:p>
        </w:tc>
        <w:tc>
          <w:tcPr>
            <w:tcW w:w="40" w:type="dxa"/>
            <w:vAlign w:val="bottom"/>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21,939</w:t>
            </w:r>
          </w:p>
        </w:tc>
        <w:tc>
          <w:tcPr>
            <w:tcW w:w="40" w:type="dxa"/>
            <w:vAlign w:val="bottom"/>
            <w:shd w:val="clear" w:color="auto" w:fill="CCEEFF"/>
          </w:tcPr>
          <w:p>
            <w:pPr>
              <w:spacing w:after="0"/>
              <w:rPr>
                <w:sz w:val="16"/>
                <w:szCs w:val="16"/>
                <w:color w:val="auto"/>
              </w:rPr>
            </w:pPr>
          </w:p>
        </w:tc>
      </w:tr>
      <w:tr>
        <w:trPr>
          <w:trHeight w:val="141"/>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294,839</w:t>
            </w: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71</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294,910</w:t>
            </w: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40"/>
              <w:spacing w:after="0" w:line="141" w:lineRule="exact"/>
              <w:rPr>
                <w:sz w:val="20"/>
                <w:szCs w:val="20"/>
                <w:color w:val="auto"/>
              </w:rPr>
            </w:pPr>
            <w:r>
              <w:rPr>
                <w:rFonts w:ascii="Arial" w:cs="Arial" w:eastAsia="Arial" w:hAnsi="Arial"/>
                <w:sz w:val="13"/>
                <w:szCs w:val="13"/>
                <w:color w:val="auto"/>
              </w:rPr>
              <w:t>638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295,548</w:t>
            </w:r>
          </w:p>
        </w:tc>
        <w:tc>
          <w:tcPr>
            <w:tcW w:w="40" w:type="dxa"/>
            <w:vAlign w:val="bottom"/>
            <w:tcBorders>
              <w:top w:val="single" w:sz="8" w:color="auto"/>
            </w:tcBorders>
          </w:tcPr>
          <w:p>
            <w:pPr>
              <w:spacing w:after="0"/>
              <w:rPr>
                <w:sz w:val="12"/>
                <w:szCs w:val="12"/>
                <w:color w:val="auto"/>
              </w:rPr>
            </w:pP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Pr>
          <w:p>
            <w:pPr>
              <w:spacing w:after="0"/>
              <w:rPr>
                <w:sz w:val="14"/>
                <w:szCs w:val="14"/>
                <w:color w:val="auto"/>
              </w:rPr>
            </w:pPr>
          </w:p>
        </w:tc>
      </w:tr>
      <w:tr>
        <w:trPr>
          <w:trHeight w:val="171"/>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560"/>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4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2,177,171</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2,949</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7"/>
                <w:szCs w:val="7"/>
                <w:b w:val="1"/>
                <w:bCs w:val="1"/>
                <w:color w:val="auto"/>
                <w:w w:val="83"/>
              </w:rPr>
              <w:t>-</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2,180,120</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2,183,258</w:t>
            </w: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0" w:name="page101"/>
    <w:bookmarkEnd w:id="10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7"/>
          </w:tcPr>
          <w:p>
            <w:pPr>
              <w:ind w:left="300"/>
              <w:spacing w:after="0"/>
              <w:rPr>
                <w:sz w:val="20"/>
                <w:szCs w:val="20"/>
                <w:color w:val="auto"/>
              </w:rPr>
            </w:pPr>
            <w:r>
              <w:rPr>
                <w:rFonts w:ascii="Arial" w:cs="Arial" w:eastAsia="Arial" w:hAnsi="Arial"/>
                <w:sz w:val="13"/>
                <w:szCs w:val="13"/>
                <w:b w:val="1"/>
                <w:bCs w:val="1"/>
                <w:color w:val="auto"/>
              </w:rPr>
              <w:t>Accruing</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5"/>
          </w:tcPr>
          <w:p>
            <w:pPr>
              <w:jc w:val="center"/>
              <w:spacing w:after="0"/>
              <w:rPr>
                <w:sz w:val="20"/>
                <w:szCs w:val="20"/>
                <w:color w:val="auto"/>
              </w:rPr>
            </w:pPr>
            <w:r>
              <w:rPr>
                <w:rFonts w:ascii="Arial" w:cs="Arial" w:eastAsia="Arial" w:hAnsi="Arial"/>
                <w:sz w:val="13"/>
                <w:szCs w:val="13"/>
                <w:b w:val="1"/>
                <w:bCs w:val="1"/>
                <w:color w:val="auto"/>
              </w:rPr>
              <w:t>Past Due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5"/>
          </w:tcPr>
          <w:p>
            <w:pPr>
              <w:jc w:val="center"/>
              <w:spacing w:after="0"/>
              <w:rPr>
                <w:sz w:val="20"/>
                <w:szCs w:val="20"/>
                <w:color w:val="auto"/>
              </w:rPr>
            </w:pPr>
            <w:r>
              <w:rPr>
                <w:rFonts w:ascii="Arial" w:cs="Arial" w:eastAsia="Arial" w:hAnsi="Arial"/>
                <w:sz w:val="13"/>
                <w:szCs w:val="13"/>
                <w:b w:val="1"/>
                <w:bCs w:val="1"/>
                <w:color w:val="auto"/>
                <w:w w:val="97"/>
              </w:rPr>
              <w:t>90 Days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5"/>
          </w:tcPr>
          <w:p>
            <w:pPr>
              <w:jc w:val="center"/>
              <w:spacing w:after="0"/>
              <w:rPr>
                <w:sz w:val="20"/>
                <w:szCs w:val="20"/>
                <w:color w:val="auto"/>
              </w:rPr>
            </w:pPr>
            <w:r>
              <w:rPr>
                <w:rFonts w:ascii="Arial" w:cs="Arial" w:eastAsia="Arial" w:hAnsi="Arial"/>
                <w:sz w:val="13"/>
                <w:szCs w:val="13"/>
                <w:b w:val="1"/>
                <w:bCs w:val="1"/>
                <w:color w:val="auto"/>
                <w:w w:val="99"/>
              </w:rPr>
              <w:t>or more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8"/>
              </w:rPr>
              <w:t>and Still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800" w:type="dxa"/>
            <w:vAlign w:val="bottom"/>
            <w:gridSpan w:val="2"/>
          </w:tcPr>
          <w:p>
            <w:pPr>
              <w:ind w:left="40"/>
              <w:spacing w:after="0"/>
              <w:rPr>
                <w:sz w:val="20"/>
                <w:szCs w:val="20"/>
                <w:color w:val="auto"/>
              </w:rPr>
            </w:pPr>
            <w:r>
              <w:rPr>
                <w:rFonts w:ascii="Arial" w:cs="Arial" w:eastAsia="Arial" w:hAnsi="Arial"/>
                <w:sz w:val="13"/>
                <w:szCs w:val="13"/>
                <w:b w:val="1"/>
                <w:bCs w:val="1"/>
                <w:color w:val="auto"/>
              </w:rPr>
              <w:t>As of December 31, 2024: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Current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5"/>
              </w:rPr>
              <w:t>Accruing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Accrual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Total Loans</w:t>
            </w:r>
          </w:p>
        </w:tc>
      </w:tr>
      <w:tr>
        <w:trPr>
          <w:trHeight w:val="161"/>
        </w:trPr>
        <w:tc>
          <w:tcPr>
            <w:tcW w:w="28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1,120</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1,120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1,120</w:t>
            </w: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225,334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228,220</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ind w:left="300"/>
              <w:spacing w:after="0"/>
              <w:rPr>
                <w:sz w:val="20"/>
                <w:szCs w:val="20"/>
                <w:color w:val="auto"/>
              </w:rPr>
            </w:pPr>
            <w:r>
              <w:rPr>
                <w:rFonts w:ascii="Arial" w:cs="Arial" w:eastAsia="Arial" w:hAnsi="Arial"/>
                <w:sz w:val="1"/>
                <w:szCs w:val="1"/>
                <w:color w:val="auto"/>
                <w:w w:val="4294967281"/>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228,220</w:t>
            </w:r>
          </w:p>
        </w:tc>
        <w:tc>
          <w:tcPr>
            <w:tcW w:w="80" w:type="dxa"/>
            <w:vAlign w:val="bottom"/>
            <w:shd w:val="clear" w:color="auto" w:fill="CCEEFF"/>
          </w:tcPr>
          <w:p>
            <w:pPr>
              <w:spacing w:after="0"/>
              <w:rPr>
                <w:sz w:val="14"/>
                <w:szCs w:val="14"/>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58,956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color w:val="auto"/>
              </w:rPr>
              <w:t>1,351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60,307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rPr>
              <w:t>314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60,621</w:t>
            </w:r>
          </w:p>
        </w:tc>
      </w:tr>
      <w:tr>
        <w:trPr>
          <w:trHeight w:val="151"/>
        </w:trPr>
        <w:tc>
          <w:tcPr>
            <w:tcW w:w="1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285,410</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4,237</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289,647</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w w:val="82"/>
              </w:rPr>
              <w:t>314</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80" w:type="dxa"/>
            <w:vAlign w:val="bottom"/>
            <w:shd w:val="clear" w:color="auto" w:fill="CCEEFF"/>
          </w:tcPr>
          <w:p>
            <w:pPr>
              <w:spacing w:after="0"/>
              <w:rPr>
                <w:sz w:val="13"/>
                <w:szCs w:val="13"/>
                <w:color w:val="auto"/>
              </w:rPr>
            </w:pPr>
          </w:p>
        </w:tc>
      </w:tr>
      <w:tr>
        <w:trPr>
          <w:trHeight w:val="151"/>
        </w:trPr>
        <w:tc>
          <w:tcPr>
            <w:tcW w:w="2800" w:type="dxa"/>
            <w:vAlign w:val="bottom"/>
            <w:gridSpan w:val="2"/>
          </w:tcPr>
          <w:p>
            <w:pPr>
              <w:ind w:left="4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40,090</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40,090</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
                <w:szCs w:val="1"/>
                <w:color w:val="auto"/>
                <w:w w:val="4294967281"/>
              </w:rPr>
              <w:t>-</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40,090</w:t>
            </w:r>
          </w:p>
        </w:tc>
        <w:tc>
          <w:tcPr>
            <w:tcW w:w="80" w:type="dxa"/>
            <w:vAlign w:val="bottom"/>
            <w:shd w:val="clear" w:color="auto" w:fill="CCEEFF"/>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214,912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214,912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214,912</w:t>
            </w: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Condo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57,402</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57,402</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
                <w:szCs w:val="1"/>
                <w:color w:val="auto"/>
                <w:w w:val="4294967281"/>
              </w:rPr>
              <w:t>-</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57,402</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823,326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3"/>
                <w:szCs w:val="13"/>
                <w:color w:val="auto"/>
              </w:rPr>
              <w:t>687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824,013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824,013</w:t>
            </w: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
                <w:szCs w:val="1"/>
                <w:color w:val="auto"/>
                <w:w w:val="4294967281"/>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1,135,730</w:t>
            </w: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3"/>
                <w:szCs w:val="13"/>
                <w:color w:val="auto"/>
              </w:rPr>
              <w:t>687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1,136,417</w:t>
            </w: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3"/>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1,136,417</w:t>
            </w:r>
          </w:p>
        </w:tc>
        <w:tc>
          <w:tcPr>
            <w:tcW w:w="80" w:type="dxa"/>
            <w:vAlign w:val="bottom"/>
            <w:tcBorders>
              <w:top w:val="single" w:sz="8" w:color="auto"/>
            </w:tcBorders>
          </w:tcPr>
          <w:p>
            <w:pPr>
              <w:spacing w:after="0"/>
              <w:rPr>
                <w:sz w:val="13"/>
                <w:szCs w:val="13"/>
                <w:color w:val="auto"/>
              </w:rPr>
            </w:pPr>
          </w:p>
        </w:tc>
      </w:tr>
      <w:tr>
        <w:trPr>
          <w:trHeight w:val="171"/>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232,779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3"/>
                <w:szCs w:val="13"/>
                <w:color w:val="auto"/>
              </w:rPr>
              <w:t>521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233,300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403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233,703</w:t>
            </w:r>
          </w:p>
        </w:tc>
      </w:tr>
      <w:tr>
        <w:trPr>
          <w:trHeight w:val="165"/>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24,608</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24,608</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
                <w:szCs w:val="1"/>
                <w:color w:val="auto"/>
                <w:w w:val="4294967281"/>
              </w:rPr>
              <w:t>-</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24,608</w:t>
            </w:r>
          </w:p>
        </w:tc>
        <w:tc>
          <w:tcPr>
            <w:tcW w:w="80" w:type="dxa"/>
            <w:vAlign w:val="bottom"/>
            <w:tcBorders>
              <w:bottom w:val="single" w:sz="8" w:color="auto"/>
            </w:tcBorders>
            <w:shd w:val="clear" w:color="auto" w:fill="CCEEFF"/>
          </w:tcPr>
          <w:p>
            <w:pPr>
              <w:spacing w:after="0"/>
              <w:rPr>
                <w:sz w:val="14"/>
                <w:szCs w:val="14"/>
                <w:color w:val="auto"/>
              </w:rPr>
            </w:pPr>
          </w:p>
        </w:tc>
      </w:tr>
      <w:tr>
        <w:trPr>
          <w:trHeight w:val="167"/>
        </w:trPr>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257,387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3"/>
                <w:szCs w:val="13"/>
                <w:color w:val="auto"/>
              </w:rPr>
              <w:t>521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257,908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403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258,311</w:t>
            </w:r>
          </w:p>
        </w:tc>
        <w:tc>
          <w:tcPr>
            <w:tcW w:w="8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1"/>
        </w:trPr>
        <w:tc>
          <w:tcPr>
            <w:tcW w:w="2800" w:type="dxa"/>
            <w:vAlign w:val="bottom"/>
            <w:gridSpan w:val="2"/>
          </w:tcPr>
          <w:p>
            <w:pPr>
              <w:ind w:left="40"/>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82,438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82,438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82,438</w:t>
            </w:r>
          </w:p>
        </w:tc>
      </w:tr>
      <w:tr>
        <w:trPr>
          <w:trHeight w:val="171"/>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5"/>
                <w:shd w:val="clear" w:color="auto" w:fill="CCEEFF"/>
              </w:rPr>
              <w:t>1,990</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80" w:type="dxa"/>
            <w:vAlign w:val="bottom"/>
            <w:shd w:val="clear" w:color="auto" w:fill="CCEEFF"/>
          </w:tcPr>
          <w:p>
            <w:pPr>
              <w:spacing w:after="0"/>
              <w:rPr>
                <w:sz w:val="14"/>
                <w:szCs w:val="14"/>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72"/>
        </w:trPr>
        <w:tc>
          <w:tcPr>
            <w:tcW w:w="12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1,957,066</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5,445</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1,962,511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5"/>
                <w:shd w:val="clear" w:color="auto" w:fill="CCEEFF"/>
              </w:rPr>
              <w:t>2,707</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1,965,218</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loans on non-accrual status and loans past due 90 days or more and still accruing as of December 31, 2025 and 2024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3"/>
                <w:szCs w:val="13"/>
                <w:b w:val="1"/>
                <w:bCs w:val="1"/>
                <w:color w:val="auto"/>
              </w:rPr>
              <w:t>December 31, 2025</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Nonaccrual Loans</w:t>
            </w:r>
          </w:p>
        </w:tc>
        <w:tc>
          <w:tcPr>
            <w:tcW w:w="60" w:type="dxa"/>
            <w:vAlign w:val="bottom"/>
          </w:tcPr>
          <w:p>
            <w:pPr>
              <w:spacing w:after="0"/>
              <w:rPr>
                <w:sz w:val="20"/>
                <w:szCs w:val="20"/>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Nonaccrual Loans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Loans Past Due 90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With No Related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With Related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6"/>
              <w:spacing w:after="0"/>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2"/>
                <w:szCs w:val="12"/>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Days or more and</w:t>
            </w:r>
          </w:p>
        </w:tc>
        <w:tc>
          <w:tcPr>
            <w:tcW w:w="0" w:type="dxa"/>
            <w:vAlign w:val="bottom"/>
          </w:tcPr>
          <w:p>
            <w:pPr>
              <w:spacing w:after="0"/>
              <w:rPr>
                <w:sz w:val="1"/>
                <w:szCs w:val="1"/>
                <w:color w:val="auto"/>
              </w:rPr>
            </w:pPr>
          </w:p>
        </w:tc>
      </w:tr>
      <w:tr>
        <w:trPr>
          <w:trHeight w:val="149"/>
        </w:trPr>
        <w:tc>
          <w:tcPr>
            <w:tcW w:w="10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Allowance</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Non-accruals</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7"/>
              </w:rPr>
              <w:t>Still Accruing</w:t>
            </w:r>
          </w:p>
        </w:tc>
        <w:tc>
          <w:tcPr>
            <w:tcW w:w="0" w:type="dxa"/>
            <w:vAlign w:val="bottom"/>
          </w:tcPr>
          <w:p>
            <w:pPr>
              <w:spacing w:after="0"/>
              <w:rPr>
                <w:sz w:val="1"/>
                <w:szCs w:val="1"/>
                <w:color w:val="auto"/>
              </w:rPr>
            </w:pPr>
          </w:p>
        </w:tc>
      </w:tr>
      <w:tr>
        <w:trPr>
          <w:trHeight w:val="204"/>
        </w:trPr>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Commercial and industrial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3,063</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3"/>
                <w:szCs w:val="13"/>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Nonaccrual Loans</w:t>
            </w:r>
          </w:p>
        </w:tc>
        <w:tc>
          <w:tcPr>
            <w:tcW w:w="60" w:type="dxa"/>
            <w:vAlign w:val="bottom"/>
          </w:tcPr>
          <w:p>
            <w:pPr>
              <w:spacing w:after="0"/>
              <w:rPr>
                <w:sz w:val="19"/>
                <w:szCs w:val="19"/>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Nonaccrual Loans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restart"/>
          </w:tcPr>
          <w:p>
            <w:pPr>
              <w:jc w:val="center"/>
              <w:ind w:right="96"/>
              <w:spacing w:after="0"/>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Loans Past Due 90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With No Related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With Related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Days or more and</w:t>
            </w: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26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Allowance</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9"/>
              </w:rPr>
              <w:t>Non-accruals</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7"/>
              </w:rPr>
              <w:t>Still Accruing</w:t>
            </w:r>
          </w:p>
        </w:tc>
        <w:tc>
          <w:tcPr>
            <w:tcW w:w="0" w:type="dxa"/>
            <w:vAlign w:val="bottom"/>
          </w:tcPr>
          <w:p>
            <w:pPr>
              <w:spacing w:after="0"/>
              <w:rPr>
                <w:sz w:val="1"/>
                <w:szCs w:val="1"/>
                <w:color w:val="auto"/>
              </w:rPr>
            </w:pPr>
          </w:p>
        </w:tc>
      </w:tr>
      <w:tr>
        <w:trPr>
          <w:trHeight w:val="141"/>
        </w:trPr>
        <w:tc>
          <w:tcPr>
            <w:tcW w:w="100" w:type="dxa"/>
            <w:vAlign w:val="bottom"/>
            <w:tcBorders>
              <w:bottom w:val="single" w:sz="8" w:color="CCEEFF"/>
            </w:tcBorders>
            <w:shd w:val="clear" w:color="auto" w:fill="CCEEFF"/>
          </w:tcPr>
          <w:p>
            <w:pPr>
              <w:spacing w:after="0"/>
              <w:rPr>
                <w:sz w:val="12"/>
                <w:szCs w:val="12"/>
                <w:color w:val="auto"/>
              </w:rPr>
            </w:pPr>
          </w:p>
        </w:tc>
        <w:tc>
          <w:tcPr>
            <w:tcW w:w="264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314</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314</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ind w:left="980"/>
              <w:spacing w:after="0" w:line="140"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2740" w:type="dxa"/>
            <w:vAlign w:val="bottom"/>
            <w:gridSpan w:val="2"/>
          </w:tcPr>
          <w:p>
            <w:pPr>
              <w:ind w:left="100"/>
              <w:spacing w:after="0"/>
              <w:rPr>
                <w:sz w:val="20"/>
                <w:szCs w:val="20"/>
                <w:color w:val="auto"/>
              </w:rPr>
            </w:pPr>
            <w:r>
              <w:rPr>
                <w:rFonts w:ascii="Arial" w:cs="Arial" w:eastAsia="Arial" w:hAnsi="Arial"/>
                <w:sz w:val="13"/>
                <w:szCs w:val="13"/>
                <w:color w:val="auto"/>
              </w:rPr>
              <w:t>Commercial and industrial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403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403</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ind w:left="100"/>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740" w:type="dxa"/>
            <w:vAlign w:val="bottom"/>
            <w:gridSpan w:val="2"/>
            <w:vMerge w:val="continue"/>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314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2,393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2,707</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years ended December 31, 2025 and 2024. Interest income on</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1" w:name="page102"/>
    <w:bookmarkEnd w:id="10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these loans for the years ended December 31, 2025 and 2024, would have been approximately $114 thousand and $84 thousand, respectively, had these loans performed in accordance with their original terms.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four collateral dependent loans as of December 31, 2025 and two collateral dependent loans as of December 31, 2024.</w:t>
      </w:r>
    </w:p>
    <w:p>
      <w:pPr>
        <w:spacing w:after="0" w:line="134"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collateral dependent loans related to borrowers experiencing financial difficulty by type of collateral as of December 31, 2025 and 2024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tcBorders>
              <w:bottom w:val="single" w:sz="8" w:color="auto"/>
            </w:tcBorders>
            <w:gridSpan w:val="5"/>
          </w:tcPr>
          <w:p>
            <w:pPr>
              <w:jc w:val="center"/>
              <w:ind w:left="1536"/>
              <w:spacing w:after="0"/>
              <w:rPr>
                <w:sz w:val="20"/>
                <w:szCs w:val="20"/>
                <w:color w:val="auto"/>
              </w:rPr>
            </w:pPr>
            <w:r>
              <w:rPr>
                <w:rFonts w:ascii="Arial" w:cs="Arial" w:eastAsia="Arial" w:hAnsi="Arial"/>
                <w:sz w:val="13"/>
                <w:szCs w:val="13"/>
                <w:b w:val="1"/>
                <w:bCs w:val="1"/>
                <w:color w:val="auto"/>
                <w:w w:val="99"/>
              </w:rPr>
              <w:t>December 31, 2025</w:t>
            </w:r>
          </w:p>
        </w:tc>
        <w:tc>
          <w:tcPr>
            <w:tcW w:w="1640" w:type="dxa"/>
            <w:vAlign w:val="bottom"/>
            <w:tcBorders>
              <w:bottom w:val="single" w:sz="8" w:color="auto"/>
            </w:tcBorders>
          </w:tcPr>
          <w:p>
            <w:pPr>
              <w:spacing w:after="0"/>
              <w:rPr>
                <w:sz w:val="13"/>
                <w:szCs w:val="13"/>
                <w:color w:val="auto"/>
              </w:rPr>
            </w:pPr>
          </w:p>
        </w:tc>
      </w:tr>
      <w:tr>
        <w:trPr>
          <w:trHeight w:val="161"/>
        </w:trPr>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Collateral Type</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r>
      <w:tr>
        <w:trPr>
          <w:trHeight w:val="215"/>
        </w:trPr>
        <w:tc>
          <w:tcPr>
            <w:tcW w:w="3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Residential Real Estate</w:t>
            </w:r>
          </w:p>
        </w:tc>
        <w:tc>
          <w:tcPr>
            <w:tcW w:w="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97"/>
              </w:rPr>
              <w:t>Specific Reserves</w:t>
            </w:r>
          </w:p>
        </w:tc>
      </w:tr>
      <w:tr>
        <w:trPr>
          <w:trHeight w:val="16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3120" w:type="dxa"/>
            <w:vAlign w:val="bottom"/>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2,583</w:t>
            </w:r>
          </w:p>
        </w:tc>
        <w:tc>
          <w:tcPr>
            <w:tcW w:w="40" w:type="dxa"/>
            <w:vAlign w:val="bottom"/>
            <w:gridSpan w:val="2"/>
          </w:tcPr>
          <w:p>
            <w:pPr>
              <w:spacing w:after="0"/>
              <w:rPr>
                <w:sz w:val="14"/>
                <w:szCs w:val="14"/>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24"/>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auto"/>
            </w:tcBorders>
            <w:gridSpan w:val="5"/>
          </w:tcPr>
          <w:p>
            <w:pPr>
              <w:jc w:val="center"/>
              <w:ind w:left="1536"/>
              <w:spacing w:after="0"/>
              <w:rPr>
                <w:sz w:val="20"/>
                <w:szCs w:val="20"/>
                <w:color w:val="auto"/>
              </w:rPr>
            </w:pPr>
            <w:r>
              <w:rPr>
                <w:rFonts w:ascii="Arial" w:cs="Arial" w:eastAsia="Arial" w:hAnsi="Arial"/>
                <w:sz w:val="13"/>
                <w:szCs w:val="13"/>
                <w:b w:val="1"/>
                <w:bCs w:val="1"/>
                <w:color w:val="auto"/>
                <w:w w:val="99"/>
              </w:rPr>
              <w:t>December 31, 2024</w:t>
            </w:r>
          </w:p>
        </w:tc>
        <w:tc>
          <w:tcPr>
            <w:tcW w:w="1640" w:type="dxa"/>
            <w:vAlign w:val="bottom"/>
            <w:tcBorders>
              <w:bottom w:val="single" w:sz="8" w:color="auto"/>
            </w:tcBorders>
          </w:tcPr>
          <w:p>
            <w:pPr>
              <w:spacing w:after="0"/>
              <w:rPr>
                <w:sz w:val="24"/>
                <w:szCs w:val="24"/>
                <w:color w:val="auto"/>
              </w:rPr>
            </w:pPr>
          </w:p>
        </w:tc>
      </w:tr>
      <w:tr>
        <w:trPr>
          <w:trHeight w:val="161"/>
        </w:trPr>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Collateral Type</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r>
      <w:tr>
        <w:trPr>
          <w:trHeight w:val="161"/>
        </w:trPr>
        <w:tc>
          <w:tcPr>
            <w:tcW w:w="3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Boat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97"/>
              </w:rPr>
              <w:t>Specific Reserves</w:t>
            </w:r>
          </w:p>
        </w:tc>
      </w:tr>
      <w:tr>
        <w:trPr>
          <w:trHeight w:val="151"/>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w:t>
            </w:r>
          </w:p>
        </w:tc>
      </w:tr>
      <w:tr>
        <w:trPr>
          <w:trHeight w:val="172"/>
        </w:trPr>
        <w:tc>
          <w:tcPr>
            <w:tcW w:w="3120" w:type="dxa"/>
            <w:vAlign w:val="bottom"/>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Pr>
          <w:p>
            <w:pPr>
              <w:jc w:val="right"/>
              <w:spacing w:after="0"/>
              <w:rPr>
                <w:sz w:val="20"/>
                <w:szCs w:val="20"/>
                <w:color w:val="auto"/>
              </w:rPr>
            </w:pPr>
            <w:r>
              <w:rPr>
                <w:rFonts w:ascii="Arial" w:cs="Arial" w:eastAsia="Arial" w:hAnsi="Arial"/>
                <w:sz w:val="13"/>
                <w:szCs w:val="13"/>
                <w:color w:val="auto"/>
              </w:rPr>
              <w:t>1,990</w:t>
            </w:r>
          </w:p>
        </w:tc>
        <w:tc>
          <w:tcPr>
            <w:tcW w:w="180" w:type="dxa"/>
            <w:vAlign w:val="bottom"/>
            <w:gridSpan w:val="3"/>
          </w:tcPr>
          <w:p>
            <w:pPr>
              <w:jc w:val="center"/>
              <w:spacing w:after="0"/>
              <w:rPr>
                <w:sz w:val="20"/>
                <w:szCs w:val="20"/>
                <w:color w:val="auto"/>
              </w:rPr>
            </w:pPr>
            <w:r>
              <w:rPr>
                <w:rFonts w:ascii="Arial" w:cs="Arial" w:eastAsia="Arial" w:hAnsi="Arial"/>
                <w:sz w:val="13"/>
                <w:szCs w:val="13"/>
                <w:color w:val="auto"/>
                <w:w w:val="82"/>
              </w:rPr>
              <w:t>$</w:t>
            </w:r>
          </w:p>
        </w:tc>
        <w:tc>
          <w:tcPr>
            <w:tcW w:w="5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651</w:t>
            </w:r>
          </w:p>
        </w:tc>
      </w:tr>
      <w:tr>
        <w:trPr>
          <w:trHeight w:val="20"/>
        </w:trPr>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 newly restructured loans, by type of modification, which occurred during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2025 and December 31, 2024 (dollars in thousands):</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1"/>
                <w:szCs w:val="11"/>
                <w:b w:val="1"/>
                <w:bCs w:val="1"/>
                <w:color w:val="auto"/>
              </w:rPr>
              <w:t>December 31, 2025</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203"/>
        </w:trPr>
        <w:tc>
          <w:tcPr>
            <w:tcW w:w="1700" w:type="dxa"/>
            <w:vAlign w:val="bottom"/>
          </w:tcPr>
          <w:p>
            <w:pPr>
              <w:spacing w:after="0"/>
              <w:rPr>
                <w:sz w:val="17"/>
                <w:szCs w:val="17"/>
                <w:color w:val="auto"/>
              </w:rPr>
            </w:pPr>
          </w:p>
        </w:tc>
        <w:tc>
          <w:tcPr>
            <w:tcW w:w="2940" w:type="dxa"/>
            <w:vAlign w:val="bottom"/>
            <w:gridSpan w:val="11"/>
          </w:tcPr>
          <w:p>
            <w:pPr>
              <w:jc w:val="right"/>
              <w:ind w:right="423"/>
              <w:spacing w:after="0"/>
              <w:rPr>
                <w:sz w:val="20"/>
                <w:szCs w:val="20"/>
                <w:color w:val="auto"/>
              </w:rPr>
            </w:pPr>
            <w:r>
              <w:rPr>
                <w:rFonts w:ascii="Arial" w:cs="Arial" w:eastAsia="Arial" w:hAnsi="Arial"/>
                <w:sz w:val="11"/>
                <w:szCs w:val="11"/>
                <w:b w:val="1"/>
                <w:bCs w:val="1"/>
                <w:color w:val="auto"/>
              </w:rPr>
              <w:t>Amortized Cost Prior to Modification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gridSpan w:val="9"/>
          </w:tcPr>
          <w:p>
            <w:pPr>
              <w:jc w:val="right"/>
              <w:ind w:right="523"/>
              <w:spacing w:after="0"/>
              <w:rPr>
                <w:sz w:val="20"/>
                <w:szCs w:val="20"/>
                <w:color w:val="auto"/>
              </w:rPr>
            </w:pPr>
            <w:r>
              <w:rPr>
                <w:rFonts w:ascii="Arial" w:cs="Arial" w:eastAsia="Arial" w:hAnsi="Arial"/>
                <w:sz w:val="11"/>
                <w:szCs w:val="11"/>
                <w:b w:val="1"/>
                <w:bCs w:val="1"/>
                <w:color w:val="auto"/>
              </w:rPr>
              <w:t>Amortized Cost After Modification</w:t>
            </w:r>
          </w:p>
        </w:tc>
      </w:tr>
      <w:tr>
        <w:trPr>
          <w:trHeight w:val="43"/>
        </w:trPr>
        <w:tc>
          <w:tcPr>
            <w:tcW w:w="17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4"/>
        </w:trPr>
        <w:tc>
          <w:tcPr>
            <w:tcW w:w="17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Combination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23"/>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Combination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w w:val="98"/>
              </w:rPr>
              <w:t>Total</w:t>
            </w:r>
          </w:p>
        </w:tc>
      </w:tr>
      <w:tr>
        <w:trPr>
          <w:trHeight w:val="158"/>
        </w:trPr>
        <w:tc>
          <w:tcPr>
            <w:tcW w:w="17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Modifications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3"/>
              <w:spacing w:after="0"/>
              <w:rPr>
                <w:sz w:val="20"/>
                <w:szCs w:val="20"/>
                <w:color w:val="auto"/>
              </w:rPr>
            </w:pPr>
            <w:r>
              <w:rPr>
                <w:rFonts w:ascii="Arial" w:cs="Arial" w:eastAsia="Arial" w:hAnsi="Arial"/>
                <w:sz w:val="11"/>
                <w:szCs w:val="11"/>
                <w:b w:val="1"/>
                <w:bCs w:val="1"/>
                <w:color w:val="auto"/>
              </w:rPr>
              <w:t>Modifications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Modifications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rPr>
              <w:t>Modifications</w:t>
            </w:r>
          </w:p>
        </w:tc>
      </w:tr>
      <w:tr>
        <w:trPr>
          <w:trHeight w:val="33"/>
        </w:trPr>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51"/>
        </w:trPr>
        <w:tc>
          <w:tcPr>
            <w:tcW w:w="1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969</w:t>
            </w:r>
          </w:p>
        </w:tc>
        <w:tc>
          <w:tcPr>
            <w:tcW w:w="20" w:type="dxa"/>
            <w:vAlign w:val="bottom"/>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969</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883</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883</w:t>
            </w:r>
          </w:p>
        </w:tc>
      </w:tr>
      <w:tr>
        <w:trPr>
          <w:trHeight w:val="161"/>
        </w:trPr>
        <w:tc>
          <w:tcPr>
            <w:tcW w:w="1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gridSpan w:val="3"/>
          </w:tcPr>
          <w:p>
            <w:pPr>
              <w:jc w:val="right"/>
              <w:ind w:right="5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969</w:t>
            </w: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969</w:t>
            </w: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2</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883</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883</w:t>
            </w:r>
          </w:p>
        </w:tc>
      </w:tr>
      <w:tr>
        <w:trPr>
          <w:trHeight w:val="20"/>
        </w:trPr>
        <w:tc>
          <w:tcPr>
            <w:tcW w:w="1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77"/>
        </w:trPr>
        <w:tc>
          <w:tcPr>
            <w:tcW w:w="1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1"/>
                <w:szCs w:val="11"/>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2940" w:type="dxa"/>
            <w:vAlign w:val="bottom"/>
            <w:gridSpan w:val="11"/>
          </w:tcPr>
          <w:p>
            <w:pPr>
              <w:jc w:val="right"/>
              <w:ind w:right="423"/>
              <w:spacing w:after="0"/>
              <w:rPr>
                <w:sz w:val="20"/>
                <w:szCs w:val="20"/>
                <w:color w:val="auto"/>
              </w:rPr>
            </w:pPr>
            <w:r>
              <w:rPr>
                <w:rFonts w:ascii="Arial" w:cs="Arial" w:eastAsia="Arial" w:hAnsi="Arial"/>
                <w:sz w:val="11"/>
                <w:szCs w:val="11"/>
                <w:b w:val="1"/>
                <w:bCs w:val="1"/>
                <w:color w:val="auto"/>
              </w:rPr>
              <w:t>Amortized Cost Prior to Modification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gridSpan w:val="9"/>
          </w:tcPr>
          <w:p>
            <w:pPr>
              <w:jc w:val="right"/>
              <w:ind w:right="523"/>
              <w:spacing w:after="0"/>
              <w:rPr>
                <w:sz w:val="20"/>
                <w:szCs w:val="20"/>
                <w:color w:val="auto"/>
              </w:rPr>
            </w:pPr>
            <w:r>
              <w:rPr>
                <w:rFonts w:ascii="Arial" w:cs="Arial" w:eastAsia="Arial" w:hAnsi="Arial"/>
                <w:sz w:val="11"/>
                <w:szCs w:val="11"/>
                <w:b w:val="1"/>
                <w:bCs w:val="1"/>
                <w:color w:val="auto"/>
              </w:rPr>
              <w:t>Amortized Cost After Modification</w:t>
            </w:r>
          </w:p>
        </w:tc>
      </w:tr>
      <w:tr>
        <w:trPr>
          <w:trHeight w:val="33"/>
        </w:trPr>
        <w:tc>
          <w:tcPr>
            <w:tcW w:w="1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4"/>
        </w:trPr>
        <w:tc>
          <w:tcPr>
            <w:tcW w:w="17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Combination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23"/>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Combination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w w:val="98"/>
              </w:rPr>
              <w:t>Total</w:t>
            </w:r>
          </w:p>
        </w:tc>
      </w:tr>
      <w:tr>
        <w:trPr>
          <w:trHeight w:val="158"/>
        </w:trPr>
        <w:tc>
          <w:tcPr>
            <w:tcW w:w="17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Modifications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3"/>
              <w:spacing w:after="0"/>
              <w:rPr>
                <w:sz w:val="20"/>
                <w:szCs w:val="20"/>
                <w:color w:val="auto"/>
              </w:rPr>
            </w:pPr>
            <w:r>
              <w:rPr>
                <w:rFonts w:ascii="Arial" w:cs="Arial" w:eastAsia="Arial" w:hAnsi="Arial"/>
                <w:sz w:val="11"/>
                <w:szCs w:val="11"/>
                <w:b w:val="1"/>
                <w:bCs w:val="1"/>
                <w:color w:val="auto"/>
              </w:rPr>
              <w:t>Modifications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Modifications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rPr>
              <w:t>Modifications</w:t>
            </w:r>
          </w:p>
        </w:tc>
      </w:tr>
      <w:tr>
        <w:trPr>
          <w:trHeight w:val="43"/>
        </w:trPr>
        <w:tc>
          <w:tcPr>
            <w:tcW w:w="1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gridSpan w:val="4"/>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gridSpan w:val="3"/>
          </w:tcPr>
          <w:p>
            <w:pPr>
              <w:spacing w:after="0"/>
              <w:rPr>
                <w:sz w:val="3"/>
                <w:szCs w:val="3"/>
                <w:color w:val="auto"/>
              </w:rPr>
            </w:pPr>
          </w:p>
        </w:tc>
        <w:tc>
          <w:tcPr>
            <w:tcW w:w="160" w:type="dxa"/>
            <w:vAlign w:val="bottom"/>
            <w:gridSpan w:val="3"/>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940" w:type="dxa"/>
            <w:vAlign w:val="bottom"/>
          </w:tcPr>
          <w:p>
            <w:pPr>
              <w:spacing w:after="0"/>
              <w:rPr>
                <w:sz w:val="3"/>
                <w:szCs w:val="3"/>
                <w:color w:val="auto"/>
              </w:rPr>
            </w:pPr>
          </w:p>
        </w:tc>
      </w:tr>
      <w:tr>
        <w:trPr>
          <w:trHeight w:val="151"/>
        </w:trPr>
        <w:tc>
          <w:tcPr>
            <w:tcW w:w="1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20" w:type="dxa"/>
            <w:vAlign w:val="bottom"/>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468</w:t>
            </w:r>
          </w:p>
        </w:tc>
      </w:tr>
      <w:tr>
        <w:trPr>
          <w:trHeight w:val="151"/>
        </w:trPr>
        <w:tc>
          <w:tcPr>
            <w:tcW w:w="17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gridSpan w:val="3"/>
          </w:tcPr>
          <w:p>
            <w:pPr>
              <w:jc w:val="right"/>
              <w:ind w:right="5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468</w:t>
            </w: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468</w:t>
            </w: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468</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468</w:t>
            </w:r>
          </w:p>
        </w:tc>
      </w:tr>
      <w:tr>
        <w:trPr>
          <w:trHeight w:val="20"/>
        </w:trPr>
        <w:tc>
          <w:tcPr>
            <w:tcW w:w="1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two loan modifications for the borrowers experiencing financial difficulty at December 31, 2025 included a combination of rate, term and principal modifications. On one loan, the rate was modified from a variable rate to a 7.75% fixed rate and the term was modified from October 2025 to January 2028. On the second loan, the rate was modified from a variable rate to a 7.20% fixed rate and there was a principal reduction of $86 thousand.</w:t>
      </w:r>
    </w:p>
    <w:p>
      <w:pPr>
        <w:spacing w:after="0" w:line="1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2" w:name="page103"/>
    <w:bookmarkEnd w:id="10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loan modification for the borrower experiencing financial difficulty at December 31, 2024, included a combination of rate and maturity modifications. The rate was modified from a variable rate to a fixed rate of 8.0%. The original maturity of September 2029 was extended to January 2034.</w:t>
      </w:r>
    </w:p>
    <w:p>
      <w:pPr>
        <w:spacing w:after="0" w:line="12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There were no existing loan modifications that subsequently defaulted during either year ended December 31, 2025 and 2024.</w:t>
      </w:r>
    </w:p>
    <w:p>
      <w:pPr>
        <w:spacing w:after="0" w:line="120" w:lineRule="exact"/>
        <w:rPr>
          <w:sz w:val="20"/>
          <w:szCs w:val="20"/>
          <w:color w:val="auto"/>
        </w:rPr>
      </w:pPr>
    </w:p>
    <w:p>
      <w:pPr>
        <w:ind w:left="1180" w:hanging="517"/>
        <w:spacing w:after="0"/>
        <w:tabs>
          <w:tab w:leader="none" w:pos="118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202"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enters into leases in the normal course of business primarily for banking centers and back-office operations. As of December 31, 2025, the Company leased nine of the ten banking centers and the headquarter building. The Company is obligated under non-cancelable operating leases for these premises with expiration dates ranging from 2026 to 2036. Many of these leases have extension clauses which the Company could exercise which would extend these expiration dates.</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4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ROU assets and lease liabilities are recognized at the lease commencement date based on the estimated present value of lease payments over the lease term.</w:t>
      </w:r>
    </w:p>
    <w:p>
      <w:pPr>
        <w:spacing w:after="0" w:line="120"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As most of the Company’s leases do not provide an implicit rate, the incremental borrowing rate based on the information available at commencement date is used. The Company’s incremental borrowing rate is based on the FHLB advances rate matching or nearing the lease term.</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ROU assets and lease liabilities as of December 31, 2025 and 2024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3"/>
                <w:szCs w:val="13"/>
                <w:b w:val="1"/>
                <w:bCs w:val="1"/>
                <w:color w:val="auto"/>
              </w:rPr>
              <w:t>December 31,</w:t>
            </w:r>
          </w:p>
        </w:tc>
      </w:tr>
      <w:tr>
        <w:trPr>
          <w:trHeight w:val="161"/>
        </w:trPr>
        <w:tc>
          <w:tcPr>
            <w:tcW w:w="5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2024</w:t>
            </w:r>
          </w:p>
        </w:tc>
      </w:tr>
      <w:tr>
        <w:trPr>
          <w:trHeight w:val="161"/>
        </w:trPr>
        <w:tc>
          <w:tcPr>
            <w:tcW w:w="5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ROU assets: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578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5,519</w:t>
            </w:r>
          </w:p>
        </w:tc>
        <w:tc>
          <w:tcPr>
            <w:tcW w:w="26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ind w:left="380"/>
              <w:spacing w:after="0"/>
              <w:rPr>
                <w:sz w:val="20"/>
                <w:szCs w:val="20"/>
                <w:color w:val="auto"/>
              </w:rPr>
            </w:pPr>
            <w:r>
              <w:rPr>
                <w:rFonts w:ascii="Arial" w:cs="Arial" w:eastAsia="Arial" w:hAnsi="Arial"/>
                <w:sz w:val="13"/>
                <w:szCs w:val="13"/>
                <w:color w:val="auto"/>
              </w:rPr>
              <w:t>8,451</w:t>
            </w:r>
          </w:p>
        </w:tc>
      </w:tr>
      <w:tr>
        <w:trPr>
          <w:trHeight w:val="171"/>
        </w:trPr>
        <w:tc>
          <w:tcPr>
            <w:tcW w:w="5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5780" w:type="dxa"/>
            <w:vAlign w:val="bottom"/>
          </w:tcPr>
          <w:p>
            <w:pPr>
              <w:spacing w:after="0"/>
              <w:rPr>
                <w:sz w:val="20"/>
                <w:szCs w:val="20"/>
                <w:color w:val="auto"/>
              </w:rPr>
            </w:pPr>
            <w:r>
              <w:rPr>
                <w:rFonts w:ascii="Arial" w:cs="Arial" w:eastAsia="Arial" w:hAnsi="Arial"/>
                <w:sz w:val="13"/>
                <w:szCs w:val="13"/>
                <w:b w:val="1"/>
                <w:bCs w:val="1"/>
                <w:color w:val="auto"/>
              </w:rPr>
              <w:t>Lease liabilities: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5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8,451</w:t>
            </w:r>
          </w:p>
        </w:tc>
      </w:tr>
      <w:tr>
        <w:trPr>
          <w:trHeight w:val="21"/>
        </w:trPr>
        <w:tc>
          <w:tcPr>
            <w:tcW w:w="5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bl>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weighted average remaining lease term and weighted average discount rate as of December 31, 2025 and 2024:</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740" w:type="dxa"/>
            <w:vAlign w:val="bottom"/>
          </w:tcPr>
          <w:p>
            <w:pPr>
              <w:spacing w:after="0"/>
              <w:rPr>
                <w:sz w:val="13"/>
                <w:szCs w:val="13"/>
                <w:color w:val="auto"/>
              </w:rPr>
            </w:pPr>
          </w:p>
        </w:tc>
        <w:tc>
          <w:tcPr>
            <w:tcW w:w="196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December 31,</w:t>
            </w:r>
          </w:p>
        </w:tc>
      </w:tr>
      <w:tr>
        <w:trPr>
          <w:trHeight w:val="151"/>
        </w:trPr>
        <w:tc>
          <w:tcPr>
            <w:tcW w:w="5740" w:type="dxa"/>
            <w:vAlign w:val="bottom"/>
          </w:tcPr>
          <w:p>
            <w:pPr>
              <w:spacing w:after="0"/>
              <w:rPr>
                <w:sz w:val="13"/>
                <w:szCs w:val="13"/>
                <w:color w:val="auto"/>
              </w:rPr>
            </w:pPr>
          </w:p>
        </w:tc>
        <w:tc>
          <w:tcPr>
            <w:tcW w:w="940" w:type="dxa"/>
            <w:vAlign w:val="bottom"/>
          </w:tcPr>
          <w:p>
            <w:pPr>
              <w:jc w:val="right"/>
              <w:ind w:right="256"/>
              <w:spacing w:after="0"/>
              <w:rPr>
                <w:sz w:val="20"/>
                <w:szCs w:val="20"/>
                <w:color w:val="auto"/>
              </w:rPr>
            </w:pPr>
            <w:r>
              <w:rPr>
                <w:rFonts w:ascii="Arial" w:cs="Arial" w:eastAsia="Arial" w:hAnsi="Arial"/>
                <w:sz w:val="13"/>
                <w:szCs w:val="13"/>
                <w:b w:val="1"/>
                <w:bCs w:val="1"/>
                <w:color w:val="auto"/>
              </w:rPr>
              <w:t>2025</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2024</w:t>
            </w:r>
          </w:p>
        </w:tc>
      </w:tr>
      <w:tr>
        <w:trPr>
          <w:trHeight w:val="161"/>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Weighted average remaining lease term (in years):</w:t>
            </w:r>
          </w:p>
        </w:tc>
        <w:tc>
          <w:tcPr>
            <w:tcW w:w="9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71"/>
        </w:trPr>
        <w:tc>
          <w:tcPr>
            <w:tcW w:w="574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940" w:type="dxa"/>
            <w:vAlign w:val="bottom"/>
          </w:tcPr>
          <w:p>
            <w:pPr>
              <w:ind w:left="540"/>
              <w:spacing w:after="0"/>
              <w:rPr>
                <w:sz w:val="20"/>
                <w:szCs w:val="20"/>
                <w:color w:val="auto"/>
              </w:rPr>
            </w:pPr>
            <w:r>
              <w:rPr>
                <w:rFonts w:ascii="Arial" w:cs="Arial" w:eastAsia="Arial" w:hAnsi="Arial"/>
                <w:sz w:val="13"/>
                <w:szCs w:val="13"/>
                <w:color w:val="auto"/>
              </w:rPr>
              <w:t>6.04</w:t>
            </w: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5.95</w:t>
            </w:r>
          </w:p>
        </w:tc>
      </w:tr>
      <w:tr>
        <w:trPr>
          <w:trHeight w:val="171"/>
        </w:trPr>
        <w:tc>
          <w:tcPr>
            <w:tcW w:w="57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574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2.94%</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3" w:name="page104"/>
    <w:bookmarkEnd w:id="10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Future lease payment obligations and a reconciliation to lease liability as of December 31, 2025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9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2026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3"/>
                <w:szCs w:val="13"/>
                <w:color w:val="auto"/>
              </w:rPr>
              <w:t>2027</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71"/>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2028</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3"/>
                <w:szCs w:val="13"/>
                <w:color w:val="auto"/>
              </w:rPr>
              <w:t>2029</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71"/>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2,509</w:t>
            </w:r>
          </w:p>
        </w:tc>
        <w:tc>
          <w:tcPr>
            <w:tcW w:w="0" w:type="dxa"/>
            <w:vAlign w:val="bottom"/>
          </w:tcPr>
          <w:p>
            <w:pPr>
              <w:spacing w:after="0"/>
              <w:rPr>
                <w:sz w:val="1"/>
                <w:szCs w:val="1"/>
                <w:color w:val="auto"/>
              </w:rPr>
            </w:pPr>
          </w:p>
        </w:tc>
      </w:tr>
      <w:tr>
        <w:trPr>
          <w:trHeight w:val="151"/>
        </w:trPr>
        <w:tc>
          <w:tcPr>
            <w:tcW w:w="5960" w:type="dxa"/>
            <w:vAlign w:val="bottom"/>
          </w:tcPr>
          <w:p>
            <w:pPr>
              <w:ind w:left="100"/>
              <w:spacing w:after="0"/>
              <w:rPr>
                <w:sz w:val="20"/>
                <w:szCs w:val="20"/>
                <w:color w:val="auto"/>
              </w:rPr>
            </w:pPr>
            <w:r>
              <w:rPr>
                <w:rFonts w:ascii="Arial" w:cs="Arial" w:eastAsia="Arial" w:hAnsi="Arial"/>
                <w:sz w:val="13"/>
                <w:szCs w:val="13"/>
                <w:color w:val="auto"/>
              </w:rPr>
              <w:t>Total future minimum lease payments</w:t>
            </w:r>
          </w:p>
        </w:tc>
        <w:tc>
          <w:tcPr>
            <w:tcW w:w="1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6,813</w:t>
            </w:r>
          </w:p>
        </w:tc>
        <w:tc>
          <w:tcPr>
            <w:tcW w:w="0" w:type="dxa"/>
            <w:vAlign w:val="bottom"/>
          </w:tcPr>
          <w:p>
            <w:pPr>
              <w:spacing w:after="0"/>
              <w:rPr>
                <w:sz w:val="1"/>
                <w:szCs w:val="1"/>
                <w:color w:val="auto"/>
              </w:rPr>
            </w:pPr>
          </w:p>
        </w:tc>
      </w:tr>
      <w:tr>
        <w:trPr>
          <w:trHeight w:val="171"/>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Less: interest component</w:t>
            </w:r>
          </w:p>
        </w:tc>
        <w:tc>
          <w:tcPr>
            <w:tcW w:w="1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72"/>
        </w:trPr>
        <w:tc>
          <w:tcPr>
            <w:tcW w:w="5960" w:type="dxa"/>
            <w:vAlign w:val="bottom"/>
          </w:tcPr>
          <w:p>
            <w:pPr>
              <w:ind w:left="100"/>
              <w:spacing w:after="0"/>
              <w:rPr>
                <w:sz w:val="20"/>
                <w:szCs w:val="20"/>
                <w:color w:val="auto"/>
              </w:rPr>
            </w:pPr>
            <w:r>
              <w:rPr>
                <w:rFonts w:ascii="Arial" w:cs="Arial" w:eastAsia="Arial" w:hAnsi="Arial"/>
                <w:sz w:val="13"/>
                <w:szCs w:val="13"/>
                <w:color w:val="auto"/>
              </w:rPr>
              <w:t>Total lease liability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5,519</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60"/>
              <w:spacing w:after="0"/>
              <w:rPr>
                <w:sz w:val="20"/>
                <w:szCs w:val="20"/>
                <w:color w:val="auto"/>
              </w:rPr>
            </w:pPr>
            <w:r>
              <w:rPr>
                <w:rFonts w:ascii="Arial" w:cs="Arial" w:eastAsia="Arial" w:hAnsi="Arial"/>
                <w:sz w:val="14"/>
                <w:szCs w:val="14"/>
                <w:color w:val="auto"/>
              </w:rPr>
              <w:t>The lease cost for the years ended December 31, 2025 and 2024 (in thousands):</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5780" w:type="dxa"/>
            <w:vAlign w:val="bottom"/>
            <w:vMerge w:val="restart"/>
          </w:tcPr>
          <w:p>
            <w:pPr>
              <w:spacing w:after="0"/>
              <w:rPr>
                <w:sz w:val="20"/>
                <w:szCs w:val="20"/>
                <w:color w:val="auto"/>
              </w:rPr>
            </w:pPr>
            <w:r>
              <w:rPr>
                <w:rFonts w:ascii="Arial" w:cs="Arial" w:eastAsia="Arial" w:hAnsi="Arial"/>
                <w:sz w:val="13"/>
                <w:szCs w:val="13"/>
                <w:color w:val="auto"/>
              </w:rPr>
              <w:t>Finance lease cost:</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ROU assets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2,932</w:t>
            </w:r>
          </w:p>
        </w:tc>
        <w:tc>
          <w:tcPr>
            <w:tcW w:w="40" w:type="dxa"/>
            <w:vAlign w:val="bottom"/>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80" w:type="dxa"/>
            <w:vAlign w:val="bottom"/>
          </w:tcPr>
          <w:p>
            <w:pPr>
              <w:spacing w:after="0"/>
              <w:rPr>
                <w:sz w:val="20"/>
                <w:szCs w:val="20"/>
                <w:color w:val="auto"/>
              </w:rPr>
            </w:pPr>
            <w:r>
              <w:rPr>
                <w:rFonts w:ascii="Arial" w:cs="Arial" w:eastAsia="Arial" w:hAnsi="Arial"/>
                <w:sz w:val="13"/>
                <w:szCs w:val="13"/>
                <w:color w:val="auto"/>
              </w:rPr>
              <w:t>Operating lease cost</w:t>
            </w:r>
          </w:p>
        </w:tc>
        <w:tc>
          <w:tcPr>
            <w:tcW w:w="120" w:type="dxa"/>
            <w:vAlign w:val="bottom"/>
          </w:tcPr>
          <w:p>
            <w:pPr>
              <w:spacing w:after="0"/>
              <w:rPr>
                <w:sz w:val="13"/>
                <w:szCs w:val="1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3"/>
                <w:szCs w:val="13"/>
                <w:color w:val="auto"/>
              </w:rPr>
              <w:t>823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742</w:t>
            </w: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spacing w:after="0"/>
              <w:rPr>
                <w:sz w:val="20"/>
                <w:szCs w:val="20"/>
                <w:color w:val="auto"/>
              </w:rPr>
            </w:pPr>
            <w:r>
              <w:rPr>
                <w:rFonts w:ascii="Arial" w:cs="Arial" w:eastAsia="Arial" w:hAnsi="Arial"/>
                <w:sz w:val="13"/>
                <w:szCs w:val="13"/>
                <w:color w:val="auto"/>
              </w:rPr>
              <w:t>Less: Sublease income</w:t>
            </w: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5780" w:type="dxa"/>
            <w:vAlign w:val="bottom"/>
          </w:tcPr>
          <w:p>
            <w:pPr>
              <w:ind w:left="100"/>
              <w:spacing w:after="0"/>
              <w:rPr>
                <w:sz w:val="20"/>
                <w:szCs w:val="20"/>
                <w:color w:val="auto"/>
              </w:rPr>
            </w:pPr>
            <w:r>
              <w:rPr>
                <w:rFonts w:ascii="Arial" w:cs="Arial" w:eastAsia="Arial" w:hAnsi="Arial"/>
                <w:sz w:val="13"/>
                <w:szCs w:val="13"/>
                <w:color w:val="auto"/>
              </w:rPr>
              <w:t>Total lease cost, net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3,670</w:t>
            </w:r>
          </w:p>
        </w:tc>
        <w:tc>
          <w:tcPr>
            <w:tcW w:w="40" w:type="dxa"/>
            <w:vAlign w:val="bottom"/>
          </w:tcPr>
          <w:p>
            <w:pPr>
              <w:spacing w:after="0"/>
              <w:rPr>
                <w:sz w:val="14"/>
                <w:szCs w:val="14"/>
                <w:color w:val="auto"/>
              </w:rPr>
            </w:pPr>
          </w:p>
        </w:tc>
        <w:tc>
          <w:tcPr>
            <w:tcW w:w="2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3,632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80" w:hanging="517"/>
        <w:spacing w:after="0"/>
        <w:tabs>
          <w:tab w:leader="none" w:pos="118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premises and equipment are presented below as of December 31, 2025 and 2024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3"/>
                <w:szCs w:val="13"/>
                <w:b w:val="1"/>
                <w:bCs w:val="1"/>
                <w:color w:val="auto"/>
              </w:rPr>
              <w:t>December 31,</w:t>
            </w:r>
          </w:p>
        </w:tc>
      </w:tr>
      <w:tr>
        <w:trPr>
          <w:trHeight w:val="151"/>
        </w:trPr>
        <w:tc>
          <w:tcPr>
            <w:tcW w:w="5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2024</w:t>
            </w:r>
          </w:p>
        </w:tc>
      </w:tr>
      <w:tr>
        <w:trPr>
          <w:trHeight w:val="16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r>
      <w:tr>
        <w:trPr>
          <w:trHeight w:val="171"/>
        </w:trPr>
        <w:tc>
          <w:tcPr>
            <w:tcW w:w="5760" w:type="dxa"/>
            <w:vAlign w:val="bottom"/>
          </w:tcPr>
          <w:p>
            <w:pPr>
              <w:spacing w:after="0"/>
              <w:rPr>
                <w:sz w:val="20"/>
                <w:szCs w:val="20"/>
                <w:color w:val="auto"/>
              </w:rPr>
            </w:pPr>
            <w:r>
              <w:rPr>
                <w:rFonts w:ascii="Arial" w:cs="Arial" w:eastAsia="Arial" w:hAnsi="Arial"/>
                <w:sz w:val="13"/>
                <w:szCs w:val="13"/>
                <w:color w:val="auto"/>
              </w:rPr>
              <w:t>Building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1,952</w:t>
            </w:r>
          </w:p>
        </w:tc>
      </w:tr>
      <w:tr>
        <w:trPr>
          <w:trHeight w:val="17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equipment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9,137</w:t>
            </w:r>
          </w:p>
        </w:tc>
      </w:tr>
      <w:tr>
        <w:trPr>
          <w:trHeight w:val="171"/>
        </w:trPr>
        <w:tc>
          <w:tcPr>
            <w:tcW w:w="5760" w:type="dxa"/>
            <w:vAlign w:val="bottom"/>
          </w:tcPr>
          <w:p>
            <w:pPr>
              <w:spacing w:after="0"/>
              <w:rPr>
                <w:sz w:val="20"/>
                <w:szCs w:val="20"/>
                <w:color w:val="auto"/>
              </w:rPr>
            </w:pPr>
            <w:r>
              <w:rPr>
                <w:rFonts w:ascii="Arial" w:cs="Arial" w:eastAsia="Arial" w:hAnsi="Arial"/>
                <w:sz w:val="13"/>
                <w:szCs w:val="13"/>
                <w:color w:val="auto"/>
              </w:rPr>
              <w:t>Computer hardware and software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4,747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4,623</w:t>
            </w:r>
          </w:p>
        </w:tc>
      </w:tr>
      <w:tr>
        <w:trPr>
          <w:trHeight w:val="17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10,587</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10,584</w:t>
            </w:r>
          </w:p>
        </w:tc>
      </w:tr>
      <w:tr>
        <w:trPr>
          <w:trHeight w:val="161"/>
        </w:trPr>
        <w:tc>
          <w:tcPr>
            <w:tcW w:w="5760" w:type="dxa"/>
            <w:vAlign w:val="bottom"/>
          </w:tcPr>
          <w:p>
            <w:pPr>
              <w:ind w:left="100"/>
              <w:spacing w:after="0"/>
              <w:rPr>
                <w:sz w:val="20"/>
                <w:szCs w:val="20"/>
                <w:color w:val="auto"/>
              </w:rPr>
            </w:pPr>
            <w:r>
              <w:rPr>
                <w:rFonts w:ascii="Arial" w:cs="Arial" w:eastAsia="Arial" w:hAnsi="Arial"/>
                <w:sz w:val="13"/>
                <w:szCs w:val="13"/>
                <w:color w:val="auto"/>
              </w:rPr>
              <w:t>Premises and equipment, 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27,571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27,268</w:t>
            </w:r>
          </w:p>
        </w:tc>
      </w:tr>
      <w:tr>
        <w:trPr>
          <w:trHeight w:val="17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depreciation and amortization</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(23,324)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(22,705)</w:t>
            </w:r>
          </w:p>
        </w:tc>
      </w:tr>
      <w:tr>
        <w:trPr>
          <w:trHeight w:val="172"/>
        </w:trPr>
        <w:tc>
          <w:tcPr>
            <w:tcW w:w="5760" w:type="dxa"/>
            <w:vAlign w:val="bottom"/>
          </w:tcPr>
          <w:p>
            <w:pPr>
              <w:ind w:left="100"/>
              <w:spacing w:after="0"/>
              <w:rPr>
                <w:sz w:val="20"/>
                <w:szCs w:val="20"/>
                <w:color w:val="auto"/>
              </w:rPr>
            </w:pPr>
            <w:r>
              <w:rPr>
                <w:rFonts w:ascii="Arial" w:cs="Arial" w:eastAsia="Arial" w:hAnsi="Arial"/>
                <w:sz w:val="13"/>
                <w:szCs w:val="13"/>
                <w:color w:val="auto"/>
              </w:rPr>
              <w:t>Premises and equipment, net</w:t>
            </w: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4,247</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4,563</w:t>
            </w:r>
          </w:p>
        </w:tc>
      </w:tr>
      <w:tr>
        <w:trPr>
          <w:trHeight w:val="20"/>
        </w:trPr>
        <w:tc>
          <w:tcPr>
            <w:tcW w:w="5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Depreciation and amortization expense was $ 619 thousand and $587 thousand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4" w:name="page105"/>
    <w:bookmarkEnd w:id="10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040" w:hanging="377"/>
        <w:spacing w:after="0"/>
        <w:tabs>
          <w:tab w:leader="none" w:pos="104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pre-tax income and provision for income taxes is presented in the following table for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2025 and 2024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61"/>
        </w:trPr>
        <w:tc>
          <w:tcPr>
            <w:tcW w:w="2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36"/>
              <w:spacing w:after="0"/>
              <w:rPr>
                <w:sz w:val="20"/>
                <w:szCs w:val="20"/>
                <w:color w:val="auto"/>
              </w:rPr>
            </w:pPr>
            <w:r>
              <w:rPr>
                <w:rFonts w:ascii="Arial" w:cs="Arial" w:eastAsia="Arial" w:hAnsi="Arial"/>
                <w:sz w:val="13"/>
                <w:szCs w:val="13"/>
                <w:b w:val="1"/>
                <w:bCs w:val="1"/>
                <w:color w:val="auto"/>
              </w:rPr>
              <w:t>2024</w:t>
            </w:r>
          </w:p>
        </w:tc>
      </w:tr>
      <w:tr>
        <w:trPr>
          <w:trHeight w:val="161"/>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Pre-tax income:</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71"/>
        </w:trPr>
        <w:tc>
          <w:tcPr>
            <w:tcW w:w="5040" w:type="dxa"/>
            <w:vAlign w:val="bottom"/>
            <w:gridSpan w:val="2"/>
          </w:tcPr>
          <w:p>
            <w:pPr>
              <w:ind w:left="100"/>
              <w:spacing w:after="0"/>
              <w:rPr>
                <w:sz w:val="20"/>
                <w:szCs w:val="20"/>
                <w:color w:val="auto"/>
              </w:rPr>
            </w:pPr>
            <w:r>
              <w:rPr>
                <w:rFonts w:ascii="Arial" w:cs="Arial" w:eastAsia="Arial" w:hAnsi="Arial"/>
                <w:sz w:val="13"/>
                <w:szCs w:val="13"/>
                <w:color w:val="auto"/>
              </w:rPr>
              <w:t>Domestic</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35,916</w:t>
            </w:r>
          </w:p>
        </w:tc>
        <w:tc>
          <w:tcPr>
            <w:tcW w:w="500" w:type="dxa"/>
            <w:vAlign w:val="bottom"/>
            <w:gridSpan w:val="3"/>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32,477</w:t>
            </w:r>
          </w:p>
        </w:tc>
      </w:tr>
      <w:tr>
        <w:trPr>
          <w:trHeight w:val="156"/>
        </w:trPr>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pre-tax income</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35,916</w:t>
            </w: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32,477</w:t>
            </w:r>
          </w:p>
        </w:tc>
      </w:tr>
      <w:tr>
        <w:trPr>
          <w:trHeight w:val="20"/>
        </w:trPr>
        <w:tc>
          <w:tcPr>
            <w:tcW w:w="5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9"/>
        </w:trPr>
        <w:tc>
          <w:tcPr>
            <w:tcW w:w="50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1"/>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Current tax expense:</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r>
      <w:tr>
        <w:trPr>
          <w:trHeight w:val="161"/>
        </w:trPr>
        <w:tc>
          <w:tcPr>
            <w:tcW w:w="504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1,213</w:t>
            </w:r>
          </w:p>
        </w:tc>
        <w:tc>
          <w:tcPr>
            <w:tcW w:w="500" w:type="dxa"/>
            <w:vAlign w:val="bottom"/>
            <w:gridSpan w:val="3"/>
          </w:tcPr>
          <w:p>
            <w:pPr>
              <w:jc w:val="right"/>
              <w:ind w:right="29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1,857</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04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tax expense: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504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4,907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6,122</w:t>
            </w:r>
          </w:p>
        </w:tc>
      </w:tr>
      <w:tr>
        <w:trPr>
          <w:trHeight w:val="171"/>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1,681</w:t>
            </w:r>
          </w:p>
        </w:tc>
      </w:tr>
      <w:tr>
        <w:trPr>
          <w:trHeight w:val="161"/>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deferred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7,803</w:t>
            </w:r>
          </w:p>
        </w:tc>
      </w:tr>
      <w:tr>
        <w:trPr>
          <w:trHeight w:val="172"/>
        </w:trPr>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Total income tax expense</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9,816</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7,803</w:t>
            </w:r>
          </w:p>
        </w:tc>
      </w:tr>
      <w:tr>
        <w:trPr>
          <w:trHeight w:val="20"/>
        </w:trPr>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actual income tax expense for the years ended December 31, 2025 and 2024 differs from the statutory tax expense for the year (computed by applying the U.S. federal corporate tax rate of 21% for 2025 and 21% for 2024 to income before provision for income taxes) as follows (in thousands):</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83"/>
        </w:trPr>
        <w:tc>
          <w:tcPr>
            <w:tcW w:w="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b w:val="1"/>
                <w:bCs w:val="1"/>
                <w:color w:val="auto"/>
              </w:rPr>
              <w:t>% Pre-tax</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 Pre-tax</w:t>
            </w: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60"/>
              <w:spacing w:after="0"/>
              <w:rPr>
                <w:sz w:val="20"/>
                <w:szCs w:val="20"/>
                <w:color w:val="auto"/>
              </w:rPr>
            </w:pPr>
            <w:r>
              <w:rPr>
                <w:rFonts w:ascii="Arial" w:cs="Arial" w:eastAsia="Arial" w:hAnsi="Arial"/>
                <w:sz w:val="13"/>
                <w:szCs w:val="13"/>
                <w:b w:val="1"/>
                <w:bCs w:val="1"/>
                <w:color w:val="auto"/>
              </w:rPr>
              <w:t>Amount</w:t>
            </w:r>
          </w:p>
        </w:tc>
        <w:tc>
          <w:tcPr>
            <w:tcW w:w="780" w:type="dxa"/>
            <w:vAlign w:val="bottom"/>
          </w:tcPr>
          <w:p>
            <w:pPr>
              <w:jc w:val="right"/>
              <w:ind w:right="96"/>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ind w:left="200"/>
              <w:spacing w:after="0"/>
              <w:rPr>
                <w:sz w:val="20"/>
                <w:szCs w:val="20"/>
                <w:color w:val="auto"/>
              </w:rPr>
            </w:pPr>
            <w:r>
              <w:rPr>
                <w:rFonts w:ascii="Arial" w:cs="Arial" w:eastAsia="Arial" w:hAnsi="Arial"/>
                <w:sz w:val="13"/>
                <w:szCs w:val="13"/>
                <w:b w:val="1"/>
                <w:bCs w:val="1"/>
                <w:color w:val="auto"/>
              </w:rPr>
              <w:t>Amount</w:t>
            </w: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Income</w:t>
            </w:r>
          </w:p>
        </w:tc>
      </w:tr>
      <w:tr>
        <w:trPr>
          <w:trHeight w:val="141"/>
        </w:trPr>
        <w:tc>
          <w:tcPr>
            <w:tcW w:w="3500" w:type="dxa"/>
            <w:vAlign w:val="bottom"/>
            <w:tcBorders>
              <w:top w:val="single" w:sz="8" w:color="CCEEFF"/>
              <w:bottom w:val="single" w:sz="8" w:color="CCEEFF"/>
            </w:tcBorders>
            <w:gridSpan w:val="2"/>
            <w:shd w:val="clear" w:color="auto" w:fill="CCEEFF"/>
          </w:tcPr>
          <w:p>
            <w:pPr>
              <w:ind w:left="40"/>
              <w:spacing w:after="0" w:line="140" w:lineRule="exact"/>
              <w:rPr>
                <w:sz w:val="20"/>
                <w:szCs w:val="20"/>
                <w:color w:val="auto"/>
              </w:rPr>
            </w:pPr>
            <w:r>
              <w:rPr>
                <w:rFonts w:ascii="Arial" w:cs="Arial" w:eastAsia="Arial" w:hAnsi="Arial"/>
                <w:sz w:val="13"/>
                <w:szCs w:val="13"/>
                <w:color w:val="auto"/>
              </w:rPr>
              <w:t>Computed tax at the statutory federal income tax rate</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1060" w:type="dxa"/>
            <w:vAlign w:val="bottom"/>
            <w:tcBorders>
              <w:top w:val="single" w:sz="8" w:color="auto"/>
              <w:bottom w:val="single" w:sz="8" w:color="CCEEFF"/>
            </w:tcBorders>
            <w:gridSpan w:val="2"/>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7,542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21.00%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1040" w:type="dxa"/>
            <w:vAlign w:val="bottom"/>
            <w:tcBorders>
              <w:top w:val="single" w:sz="8" w:color="auto"/>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6,820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21.00%</w:t>
            </w:r>
          </w:p>
        </w:tc>
      </w:tr>
      <w:tr>
        <w:trPr>
          <w:trHeight w:val="171"/>
        </w:trPr>
        <w:tc>
          <w:tcPr>
            <w:tcW w:w="120" w:type="dxa"/>
            <w:vAlign w:val="bottom"/>
          </w:tcPr>
          <w:p>
            <w:pPr>
              <w:spacing w:after="0"/>
              <w:rPr>
                <w:sz w:val="14"/>
                <w:szCs w:val="14"/>
                <w:color w:val="auto"/>
              </w:rPr>
            </w:pPr>
          </w:p>
        </w:tc>
        <w:tc>
          <w:tcPr>
            <w:tcW w:w="34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2"/>
        </w:trPr>
        <w:tc>
          <w:tcPr>
            <w:tcW w:w="350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3"/>
                <w:szCs w:val="13"/>
                <w:color w:val="auto"/>
              </w:rPr>
              <w:t xml:space="preserve">State income taxes, net of federal tax benefit </w:t>
            </w:r>
            <w:r>
              <w:rPr>
                <w:rFonts w:ascii="Arial" w:cs="Arial" w:eastAsia="Arial" w:hAnsi="Arial"/>
                <w:sz w:val="17"/>
                <w:szCs w:val="17"/>
                <w:color w:val="auto"/>
                <w:vertAlign w:val="superscript"/>
              </w:rPr>
              <w:t>(1)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2,767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r>
      <w:tr>
        <w:trPr>
          <w:trHeight w:val="160"/>
        </w:trPr>
        <w:tc>
          <w:tcPr>
            <w:tcW w:w="120" w:type="dxa"/>
            <w:vAlign w:val="bottom"/>
          </w:tcPr>
          <w:p>
            <w:pPr>
              <w:spacing w:after="0"/>
              <w:rPr>
                <w:sz w:val="13"/>
                <w:szCs w:val="13"/>
                <w:color w:val="auto"/>
              </w:rPr>
            </w:pPr>
          </w:p>
        </w:tc>
        <w:tc>
          <w:tcPr>
            <w:tcW w:w="34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Nontaxable or Nondeductible Items</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3420" w:type="dxa"/>
            <w:vAlign w:val="bottom"/>
            <w:gridSpan w:val="2"/>
          </w:tcPr>
          <w:p>
            <w:pPr>
              <w:ind w:left="20"/>
              <w:spacing w:after="0"/>
              <w:rPr>
                <w:sz w:val="20"/>
                <w:szCs w:val="20"/>
                <w:color w:val="auto"/>
              </w:rPr>
            </w:pPr>
            <w:r>
              <w:rPr>
                <w:rFonts w:ascii="Arial" w:cs="Arial" w:eastAsia="Arial" w:hAnsi="Arial"/>
                <w:sz w:val="13"/>
                <w:szCs w:val="13"/>
                <w:color w:val="auto"/>
              </w:rPr>
              <w:t>Bank owned life insurance income</w:t>
            </w:r>
          </w:p>
        </w:tc>
        <w:tc>
          <w:tcPr>
            <w:tcW w:w="14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(495)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81"/>
        </w:trPr>
        <w:tc>
          <w:tcPr>
            <w:tcW w:w="120" w:type="dxa"/>
            <w:vAlign w:val="bottom"/>
            <w:shd w:val="clear" w:color="auto" w:fill="CCEEFF"/>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60"/>
        </w:trPr>
        <w:tc>
          <w:tcPr>
            <w:tcW w:w="354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adjustments, net</w:t>
            </w: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72"/>
        </w:trPr>
        <w:tc>
          <w:tcPr>
            <w:tcW w:w="120" w:type="dxa"/>
            <w:vAlign w:val="bottom"/>
          </w:tcPr>
          <w:p>
            <w:pPr>
              <w:spacing w:after="0"/>
              <w:rPr>
                <w:sz w:val="14"/>
                <w:szCs w:val="14"/>
                <w:color w:val="auto"/>
              </w:rPr>
            </w:pPr>
          </w:p>
        </w:tc>
        <w:tc>
          <w:tcPr>
            <w:tcW w:w="3420" w:type="dxa"/>
            <w:vAlign w:val="bottom"/>
            <w:gridSpan w:val="2"/>
          </w:tcPr>
          <w:p>
            <w:pPr>
              <w:ind w:left="20"/>
              <w:spacing w:after="0"/>
              <w:rPr>
                <w:sz w:val="20"/>
                <w:szCs w:val="20"/>
                <w:color w:val="auto"/>
              </w:rPr>
            </w:pPr>
            <w:r>
              <w:rPr>
                <w:rFonts w:ascii="Arial" w:cs="Arial" w:eastAsia="Arial" w:hAnsi="Arial"/>
                <w:sz w:val="13"/>
                <w:szCs w:val="13"/>
                <w:color w:val="auto"/>
              </w:rPr>
              <w:t>Total tax expense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
              <w:spacing w:after="0"/>
              <w:rPr>
                <w:sz w:val="20"/>
                <w:szCs w:val="20"/>
                <w:color w:val="auto"/>
              </w:rPr>
            </w:pPr>
            <w:r>
              <w:rPr>
                <w:rFonts w:ascii="Arial" w:cs="Arial" w:eastAsia="Arial" w:hAnsi="Arial"/>
                <w:sz w:val="13"/>
                <w:szCs w:val="13"/>
                <w:color w:val="auto"/>
              </w:rPr>
              <w:t>9,816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27.33%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7,803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24.01%</w:t>
            </w:r>
          </w:p>
        </w:tc>
      </w:tr>
      <w:tr>
        <w:trPr>
          <w:trHeight w:val="20"/>
        </w:trPr>
        <w:tc>
          <w:tcPr>
            <w:tcW w:w="120" w:type="dxa"/>
            <w:vAlign w:val="bottom"/>
            <w:tcBorders>
              <w:top w:val="single" w:sz="8" w:color="auto"/>
            </w:tcBorders>
          </w:tcPr>
          <w:p>
            <w:pPr>
              <w:spacing w:after="0" w:line="20" w:lineRule="exact"/>
              <w:rPr>
                <w:sz w:val="1"/>
                <w:szCs w:val="1"/>
                <w:color w:val="auto"/>
              </w:rPr>
            </w:pPr>
          </w:p>
        </w:tc>
        <w:tc>
          <w:tcPr>
            <w:tcW w:w="3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 Taxes in Florida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5" w:name="page106"/>
    <w:bookmarkEnd w:id="10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the deferred tax assets and deferred tax liabilities as of December 31, 2025 and 2024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0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r>
      <w:tr>
        <w:trPr>
          <w:trHeight w:val="151"/>
        </w:trPr>
        <w:tc>
          <w:tcPr>
            <w:tcW w:w="5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1"/>
        </w:trPr>
        <w:tc>
          <w:tcPr>
            <w:tcW w:w="5060" w:type="dxa"/>
            <w:vAlign w:val="bottom"/>
          </w:tcPr>
          <w:p>
            <w:pPr>
              <w:ind w:left="100"/>
              <w:spacing w:after="0"/>
              <w:rPr>
                <w:sz w:val="20"/>
                <w:szCs w:val="20"/>
                <w:color w:val="auto"/>
              </w:rPr>
            </w:pPr>
            <w:r>
              <w:rPr>
                <w:rFonts w:ascii="Arial" w:cs="Arial" w:eastAsia="Arial" w:hAnsi="Arial"/>
                <w:sz w:val="13"/>
                <w:szCs w:val="13"/>
                <w:color w:val="auto"/>
              </w:rPr>
              <w:t>Net operating loss</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1,039</w:t>
            </w: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9,276</w:t>
            </w:r>
          </w:p>
        </w:tc>
      </w:tr>
      <w:tr>
        <w:trPr>
          <w:trHeight w:val="171"/>
        </w:trPr>
        <w:tc>
          <w:tcPr>
            <w:tcW w:w="5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6,463</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r>
      <w:tr>
        <w:trPr>
          <w:trHeight w:val="171"/>
        </w:trPr>
        <w:tc>
          <w:tcPr>
            <w:tcW w:w="506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1,399</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2,142</w:t>
            </w:r>
          </w:p>
        </w:tc>
      </w:tr>
      <w:tr>
        <w:trPr>
          <w:trHeight w:val="171"/>
        </w:trPr>
        <w:tc>
          <w:tcPr>
            <w:tcW w:w="5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 on available for sale securities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10,270</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15,200</w:t>
            </w:r>
          </w:p>
        </w:tc>
      </w:tr>
      <w:tr>
        <w:trPr>
          <w:trHeight w:val="171"/>
        </w:trPr>
        <w:tc>
          <w:tcPr>
            <w:tcW w:w="5060" w:type="dxa"/>
            <w:vAlign w:val="bottom"/>
          </w:tcPr>
          <w:p>
            <w:pPr>
              <w:ind w:left="100"/>
              <w:spacing w:after="0"/>
              <w:rPr>
                <w:sz w:val="20"/>
                <w:szCs w:val="20"/>
                <w:color w:val="auto"/>
              </w:rPr>
            </w:pPr>
            <w:r>
              <w:rPr>
                <w:rFonts w:ascii="Arial" w:cs="Arial" w:eastAsia="Arial" w:hAnsi="Arial"/>
                <w:sz w:val="13"/>
                <w:szCs w:val="13"/>
                <w:color w:val="auto"/>
              </w:rPr>
              <w:t>Depreciable property</w:t>
            </w: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1"/>
        </w:trPr>
        <w:tc>
          <w:tcPr>
            <w:tcW w:w="5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compensation</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r>
      <w:tr>
        <w:trPr>
          <w:trHeight w:val="171"/>
        </w:trPr>
        <w:tc>
          <w:tcPr>
            <w:tcW w:w="5060" w:type="dxa"/>
            <w:vAlign w:val="bottom"/>
          </w:tcPr>
          <w:p>
            <w:pPr>
              <w:ind w:left="100"/>
              <w:spacing w:after="0"/>
              <w:rPr>
                <w:sz w:val="20"/>
                <w:szCs w:val="20"/>
                <w:color w:val="auto"/>
              </w:rPr>
            </w:pPr>
            <w:r>
              <w:rPr>
                <w:rFonts w:ascii="Arial" w:cs="Arial" w:eastAsia="Arial" w:hAnsi="Arial"/>
                <w:sz w:val="13"/>
                <w:szCs w:val="13"/>
                <w:color w:val="auto"/>
              </w:rPr>
              <w:t>Accruals</w:t>
            </w: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520</w:t>
            </w:r>
          </w:p>
        </w:tc>
      </w:tr>
      <w:tr>
        <w:trPr>
          <w:trHeight w:val="171"/>
        </w:trPr>
        <w:tc>
          <w:tcPr>
            <w:tcW w:w="5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8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1"/>
        </w:trPr>
        <w:tc>
          <w:tcPr>
            <w:tcW w:w="5060" w:type="dxa"/>
            <w:vAlign w:val="bottom"/>
          </w:tcPr>
          <w:p>
            <w:pPr>
              <w:spacing w:after="0"/>
              <w:rPr>
                <w:sz w:val="20"/>
                <w:szCs w:val="20"/>
                <w:color w:val="auto"/>
              </w:rPr>
            </w:pPr>
            <w:r>
              <w:rPr>
                <w:rFonts w:ascii="Arial" w:cs="Arial" w:eastAsia="Arial" w:hAnsi="Arial"/>
                <w:sz w:val="13"/>
                <w:szCs w:val="13"/>
                <w:color w:val="auto"/>
              </w:rPr>
              <w:t>Deferred tax asset</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21,133</w:t>
            </w: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34,027</w:t>
            </w:r>
          </w:p>
        </w:tc>
      </w:tr>
      <w:tr>
        <w:trPr>
          <w:trHeight w:val="171"/>
        </w:trPr>
        <w:tc>
          <w:tcPr>
            <w:tcW w:w="5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Deferred tax liability:</w:t>
      </w:r>
    </w:p>
    <w:p>
      <w:pPr>
        <w:spacing w:after="0" w:line="26"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Deferred loan cost</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Lease right of use asset</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Deferred expenses</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Cash flow hedge</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Depreciable property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Deferred tax liability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49"/>
        </w:trPr>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w:t>
            </w:r>
          </w:p>
        </w:tc>
        <w:tc>
          <w:tcPr>
            <w:tcW w:w="60" w:type="dxa"/>
            <w:vAlign w:val="bottom"/>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w:t>
            </w:r>
          </w:p>
        </w:tc>
      </w:tr>
      <w:tr>
        <w:trPr>
          <w:trHeight w:val="179"/>
        </w:trPr>
        <w:tc>
          <w:tcPr>
            <w:tcW w:w="1160" w:type="dxa"/>
            <w:vAlign w:val="bottom"/>
          </w:tcPr>
          <w:p>
            <w:pPr>
              <w:jc w:val="right"/>
              <w:spacing w:after="0"/>
              <w:rPr>
                <w:sz w:val="20"/>
                <w:szCs w:val="20"/>
                <w:color w:val="auto"/>
              </w:rPr>
            </w:pPr>
            <w:r>
              <w:rPr>
                <w:rFonts w:ascii="Arial" w:cs="Arial" w:eastAsia="Arial" w:hAnsi="Arial"/>
                <w:sz w:val="13"/>
                <w:szCs w:val="13"/>
                <w:color w:val="auto"/>
              </w:rPr>
              <w:t>(1,399)</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(2,142)</w:t>
            </w:r>
          </w:p>
        </w:tc>
      </w:tr>
    </w:tbl>
    <w:p>
      <w:pPr>
        <w:spacing w:after="0" w:line="3" w:lineRule="exact"/>
        <w:rPr>
          <w:sz w:val="20"/>
          <w:szCs w:val="20"/>
          <w:color w:val="auto"/>
        </w:rPr>
      </w:pPr>
    </w:p>
    <w:p>
      <w:pPr>
        <w:ind w:left="2340" w:hanging="1358"/>
        <w:spacing w:after="0"/>
        <w:tabs>
          <w:tab w:leader="none" w:pos="2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(224)</w:t>
      </w:r>
    </w:p>
    <w:p>
      <w:pPr>
        <w:spacing w:after="0" w:line="32" w:lineRule="exact"/>
        <w:rPr>
          <w:rFonts w:ascii="Arial" w:cs="Arial" w:eastAsia="Arial" w:hAnsi="Arial"/>
          <w:sz w:val="12"/>
          <w:szCs w:val="12"/>
          <w:color w:val="auto"/>
        </w:rPr>
      </w:pPr>
    </w:p>
    <w:p>
      <w:pPr>
        <w:ind w:left="2400" w:hanging="1269"/>
        <w:spacing w:after="0"/>
        <w:tabs>
          <w:tab w:leader="none" w:pos="24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(81)</w:t>
      </w:r>
    </w:p>
    <w:p>
      <w:pPr>
        <w:spacing w:after="0" w:line="21" w:lineRule="exact"/>
        <w:rPr>
          <w:sz w:val="20"/>
          <w:szCs w:val="20"/>
          <w:color w:val="auto"/>
        </w:rPr>
      </w:pPr>
    </w:p>
    <w:p>
      <w:pPr>
        <w:ind w:left="2560" w:hanging="1429"/>
        <w:spacing w:after="0"/>
        <w:tabs>
          <w:tab w:leader="none" w:pos="25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p>
    <w:p>
      <w:pPr>
        <w:spacing w:after="0" w:line="32" w:lineRule="exact"/>
        <w:rPr>
          <w:sz w:val="20"/>
          <w:szCs w:val="20"/>
          <w:color w:val="auto"/>
        </w:rPr>
      </w:pPr>
    </w:p>
    <w:p>
      <w:pPr>
        <w:spacing w:after="0"/>
        <w:tabs>
          <w:tab w:leader="none" w:pos="860" w:val="left"/>
          <w:tab w:leader="none" w:pos="22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(3,087) $</w:t>
      </w:r>
      <w:r>
        <w:rPr>
          <w:sz w:val="20"/>
          <w:szCs w:val="20"/>
          <w:color w:val="auto"/>
        </w:rPr>
        <w:tab/>
      </w:r>
      <w:r>
        <w:rPr>
          <w:rFonts w:ascii="Arial" w:cs="Arial" w:eastAsia="Arial" w:hAnsi="Arial"/>
          <w:sz w:val="12"/>
          <w:szCs w:val="12"/>
          <w:color w:val="auto"/>
        </w:rPr>
        <w:t>(4,381)</w:t>
      </w:r>
    </w:p>
    <w:p>
      <w:pPr>
        <w:spacing w:after="0" w:line="192" w:lineRule="exact"/>
        <w:rPr>
          <w:sz w:val="20"/>
          <w:szCs w:val="20"/>
          <w:color w:val="auto"/>
        </w:rPr>
      </w:pPr>
    </w:p>
    <w:p>
      <w:pPr>
        <w:sectPr>
          <w:pgSz w:w="11900" w:h="16838" w:orient="portrait"/>
          <w:cols w:equalWidth="0" w:num="2">
            <w:col w:w="5000" w:space="720"/>
            <w:col w:w="3299"/>
          </w:cols>
          <w:pgMar w:left="1440" w:top="477" w:right="1440" w:bottom="1440" w:gutter="0" w:footer="0" w:header="0"/>
          <w:type w:val="continuous"/>
        </w:sectPr>
      </w:pPr>
    </w:p>
    <w:p>
      <w:pPr>
        <w:ind w:left="660"/>
        <w:spacing w:after="0"/>
        <w:tabs>
          <w:tab w:leader="none" w:pos="5700" w:val="left"/>
          <w:tab w:leader="none" w:pos="6560" w:val="left"/>
          <w:tab w:leader="none" w:pos="7900" w:val="left"/>
        </w:tabs>
        <w:rPr>
          <w:sz w:val="20"/>
          <w:szCs w:val="20"/>
          <w:color w:val="auto"/>
        </w:rPr>
      </w:pPr>
      <w:r>
        <w:rPr>
          <w:rFonts w:ascii="Arial" w:cs="Arial" w:eastAsia="Arial" w:hAnsi="Arial"/>
          <w:sz w:val="13"/>
          <w:szCs w:val="13"/>
          <w:color w:val="auto"/>
        </w:rPr>
        <w:t>Net deferred tax asset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18,046  $</w:t>
      </w:r>
      <w:r>
        <w:rPr>
          <w:sz w:val="20"/>
          <w:szCs w:val="20"/>
          <w:color w:val="auto"/>
        </w:rPr>
        <w:tab/>
      </w:r>
      <w:r>
        <w:rPr>
          <w:rFonts w:ascii="Arial" w:cs="Arial" w:eastAsia="Arial" w:hAnsi="Arial"/>
          <w:sz w:val="12"/>
          <w:szCs w:val="12"/>
          <w:color w:val="auto"/>
        </w:rPr>
        <w:t>29,646</w:t>
      </w:r>
    </w:p>
    <w:p>
      <w:pPr>
        <w:spacing w:after="0" w:line="21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2025, the Company had approximately $23.9 million of State net operating loss carryforwards expiring in various amounts from 2032 to 2036. If unused after 2036, their utilization is limited to future taxable earnings of the Company.</w:t>
      </w:r>
    </w:p>
    <w:p>
      <w:pPr>
        <w:spacing w:after="0" w:line="11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U.S. Federal jurisdiction and Florida are the major tax jurisdictions where the Company files income tax returns.</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Company is generally no longer subject to U.S. Federal or State examinations by tax authorities for years before 2022.</w:t>
      </w:r>
    </w:p>
    <w:p>
      <w:pPr>
        <w:spacing w:after="0" w:line="14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For the years ended December 31, 2025 and 2024, the Company did not have any unrecognized tax benefits as a result of tax positions taken during a prior period or during the current period. Additionally, no interest or penalties were recorded as a result of tax uncertainties.</w:t>
      </w:r>
    </w:p>
    <w:p>
      <w:pPr>
        <w:spacing w:after="0" w:line="12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Cash payments for federal taxes was $3.9 million in the year ended December 31, 2025 and $0 in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type w:val="continuous"/>
        </w:sectPr>
      </w:pPr>
    </w:p>
    <w:bookmarkStart w:id="106" w:name="page107"/>
    <w:bookmarkEnd w:id="10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DEPOSITS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deposits by type at December 31, 2025 and 2024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3"/>
                <w:szCs w:val="13"/>
                <w:b w:val="1"/>
                <w:bCs w:val="1"/>
                <w:color w:val="auto"/>
              </w:rPr>
              <w:t>December 31,</w:t>
            </w:r>
          </w:p>
        </w:tc>
      </w:tr>
      <w:tr>
        <w:trPr>
          <w:trHeight w:val="161"/>
        </w:trPr>
        <w:tc>
          <w:tcPr>
            <w:tcW w:w="10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2024</w:t>
            </w:r>
          </w:p>
        </w:tc>
      </w:tr>
      <w:tr>
        <w:trPr>
          <w:trHeight w:val="161"/>
        </w:trPr>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Non-interest bearing demand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583,860</w:t>
            </w:r>
          </w:p>
        </w:tc>
        <w:tc>
          <w:tcPr>
            <w:tcW w:w="120" w:type="dxa"/>
            <w:vAlign w:val="bottom"/>
            <w:gridSpan w:val="2"/>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575,159</w:t>
            </w:r>
          </w:p>
        </w:tc>
      </w:tr>
      <w:tr>
        <w:trPr>
          <w:trHeight w:val="171"/>
        </w:trPr>
        <w:tc>
          <w:tcPr>
            <w:tcW w:w="5720" w:type="dxa"/>
            <w:vAlign w:val="bottom"/>
            <w:gridSpan w:val="2"/>
          </w:tcPr>
          <w:p>
            <w:pPr>
              <w:spacing w:after="0"/>
              <w:rPr>
                <w:sz w:val="20"/>
                <w:szCs w:val="20"/>
                <w:color w:val="auto"/>
              </w:rPr>
            </w:pPr>
            <w:r>
              <w:rPr>
                <w:rFonts w:ascii="Arial" w:cs="Arial" w:eastAsia="Arial" w:hAnsi="Arial"/>
                <w:sz w:val="13"/>
                <w:szCs w:val="13"/>
                <w:color w:val="auto"/>
              </w:rPr>
              <w:t>Interest-bearing demand deposits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46,989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50,648</w:t>
            </w:r>
          </w:p>
        </w:tc>
      </w:tr>
      <w:tr>
        <w:trPr>
          <w:trHeight w:val="171"/>
        </w:trPr>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Savings and money market deposits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1,186,422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1,180,809</w:t>
            </w:r>
          </w:p>
        </w:tc>
      </w:tr>
      <w:tr>
        <w:trPr>
          <w:trHeight w:val="171"/>
        </w:trPr>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Time deposits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527,809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367,388</w:t>
            </w:r>
          </w:p>
        </w:tc>
      </w:tr>
      <w:tr>
        <w:trPr>
          <w:trHeight w:val="183"/>
        </w:trPr>
        <w:tc>
          <w:tcPr>
            <w:tcW w:w="100" w:type="dxa"/>
            <w:vAlign w:val="bottom"/>
            <w:shd w:val="clear" w:color="auto" w:fill="CCEEFF"/>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Total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2,345,080</w:t>
            </w:r>
          </w:p>
        </w:tc>
        <w:tc>
          <w:tcPr>
            <w:tcW w:w="120" w:type="dxa"/>
            <w:vAlign w:val="bottom"/>
            <w:gridSpan w:val="2"/>
            <w:shd w:val="clear" w:color="auto" w:fill="CCEEFF"/>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2,174,004</w:t>
            </w:r>
          </w:p>
        </w:tc>
      </w:tr>
      <w:tr>
        <w:trPr>
          <w:trHeight w:val="20"/>
        </w:trPr>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Time deposits exceeding the FDIC deposit insurance limit of $250 thousand per account at December 31, 2025 and 2024 were $111.5 million and $94.0 million,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December 31, 2025, the Company had $256.8 million in brokered CDs at a weighted average rate of 3.93%.</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Brokered CDs were 11.0% of total deposits at such date.</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December 31, 2024, the Company had $133.0 million in brokered CDs at a weighted average rate of 4.38%.</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Brokered CDs were 6.1% of total deposits at such date.</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 December 31, 2025, the scheduled maturities of time deposits were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December 31, 2025</w:t>
            </w:r>
          </w:p>
        </w:tc>
      </w:tr>
      <w:tr>
        <w:trPr>
          <w:trHeight w:val="161"/>
        </w:trPr>
        <w:tc>
          <w:tcPr>
            <w:tcW w:w="5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Total</w:t>
            </w:r>
          </w:p>
        </w:tc>
      </w:tr>
      <w:tr>
        <w:trPr>
          <w:trHeight w:val="161"/>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472,111</w:t>
            </w:r>
          </w:p>
        </w:tc>
      </w:tr>
      <w:tr>
        <w:trPr>
          <w:trHeight w:val="171"/>
        </w:trPr>
        <w:tc>
          <w:tcPr>
            <w:tcW w:w="5960" w:type="dxa"/>
            <w:vAlign w:val="bottom"/>
          </w:tcPr>
          <w:p>
            <w:pPr>
              <w:jc w:val="right"/>
              <w:ind w:right="5616"/>
              <w:spacing w:after="0"/>
              <w:rPr>
                <w:sz w:val="20"/>
                <w:szCs w:val="20"/>
                <w:color w:val="auto"/>
              </w:rPr>
            </w:pPr>
            <w:r>
              <w:rPr>
                <w:rFonts w:ascii="Arial" w:cs="Arial" w:eastAsia="Arial" w:hAnsi="Arial"/>
                <w:sz w:val="13"/>
                <w:szCs w:val="13"/>
                <w:color w:val="auto"/>
                <w:w w:val="89"/>
              </w:rPr>
              <w:t>2027</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54,174</w:t>
            </w:r>
          </w:p>
        </w:tc>
      </w:tr>
      <w:tr>
        <w:trPr>
          <w:trHeight w:val="171"/>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2028</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w:t>
            </w:r>
          </w:p>
        </w:tc>
      </w:tr>
      <w:tr>
        <w:trPr>
          <w:trHeight w:val="171"/>
        </w:trPr>
        <w:tc>
          <w:tcPr>
            <w:tcW w:w="5960" w:type="dxa"/>
            <w:vAlign w:val="bottom"/>
          </w:tcPr>
          <w:p>
            <w:pPr>
              <w:jc w:val="right"/>
              <w:ind w:right="5616"/>
              <w:spacing w:after="0"/>
              <w:rPr>
                <w:sz w:val="20"/>
                <w:szCs w:val="20"/>
                <w:color w:val="auto"/>
              </w:rPr>
            </w:pPr>
            <w:r>
              <w:rPr>
                <w:rFonts w:ascii="Arial" w:cs="Arial" w:eastAsia="Arial" w:hAnsi="Arial"/>
                <w:sz w:val="13"/>
                <w:szCs w:val="13"/>
                <w:color w:val="auto"/>
                <w:w w:val="89"/>
              </w:rPr>
              <w:t>2029</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418</w:t>
            </w:r>
          </w:p>
        </w:tc>
      </w:tr>
      <w:tr>
        <w:trPr>
          <w:trHeight w:val="171"/>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2030</w:t>
            </w:r>
          </w:p>
        </w:tc>
        <w:tc>
          <w:tcPr>
            <w:tcW w:w="1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w:t>
            </w:r>
          </w:p>
        </w:tc>
      </w:tr>
      <w:tr>
        <w:trPr>
          <w:trHeight w:val="161"/>
        </w:trPr>
        <w:tc>
          <w:tcPr>
            <w:tcW w:w="59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527,809</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At December 31, 2025 and 2024, the aggregate amount of demand deposits reclassified to loans as overdrafts was $372 thousand and $403 thousand, respectively.</w:t>
      </w:r>
    </w:p>
    <w:p>
      <w:pPr>
        <w:spacing w:after="0" w:line="120" w:lineRule="exact"/>
        <w:rPr>
          <w:sz w:val="20"/>
          <w:szCs w:val="20"/>
          <w:color w:val="auto"/>
        </w:rPr>
      </w:pPr>
    </w:p>
    <w:p>
      <w:pPr>
        <w:ind w:left="1180" w:hanging="517"/>
        <w:spacing w:after="0"/>
        <w:tabs>
          <w:tab w:leader="none" w:pos="118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FHLB ADVANCES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 December 31, 2025, FHLB advances were $158.3 million and at December 31, 2024 were $163.0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7" w:name="page108"/>
    <w:bookmarkEnd w:id="10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outstanding FHLB advances at December 31, 2025 and 2024 (in thousands):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2025</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40" w:type="dxa"/>
            <w:vAlign w:val="bottom"/>
          </w:tcPr>
          <w:p>
            <w:pPr>
              <w:spacing w:after="0"/>
              <w:rPr>
                <w:sz w:val="13"/>
                <w:szCs w:val="13"/>
                <w:color w:val="auto"/>
              </w:rPr>
            </w:pPr>
          </w:p>
        </w:tc>
        <w:tc>
          <w:tcPr>
            <w:tcW w:w="1960" w:type="dxa"/>
            <w:vAlign w:val="bottom"/>
            <w:gridSpan w:val="3"/>
          </w:tcPr>
          <w:p>
            <w:pPr>
              <w:ind w:left="520"/>
              <w:spacing w:after="0"/>
              <w:rPr>
                <w:sz w:val="20"/>
                <w:szCs w:val="20"/>
                <w:color w:val="auto"/>
              </w:rPr>
            </w:pPr>
            <w:r>
              <w:rPr>
                <w:rFonts w:ascii="Arial" w:cs="Arial" w:eastAsia="Arial" w:hAnsi="Arial"/>
                <w:sz w:val="13"/>
                <w:szCs w:val="13"/>
                <w:b w:val="1"/>
                <w:bCs w:val="1"/>
                <w:color w:val="auto"/>
              </w:rPr>
              <w:t>Maturity Date</w:t>
            </w:r>
          </w:p>
        </w:tc>
        <w:tc>
          <w:tcPr>
            <w:tcW w:w="120" w:type="dxa"/>
            <w:vAlign w:val="bottom"/>
          </w:tcPr>
          <w:p>
            <w:pPr>
              <w:spacing w:after="0"/>
              <w:rPr>
                <w:sz w:val="13"/>
                <w:szCs w:val="13"/>
                <w:color w:val="auto"/>
              </w:rPr>
            </w:pPr>
          </w:p>
        </w:tc>
        <w:tc>
          <w:tcPr>
            <w:tcW w:w="1820" w:type="dxa"/>
            <w:vAlign w:val="bottom"/>
          </w:tcPr>
          <w:p>
            <w:pPr>
              <w:jc w:val="right"/>
              <w:ind w:right="696"/>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3.77%</w:t>
            </w:r>
          </w:p>
        </w:tc>
        <w:tc>
          <w:tcPr>
            <w:tcW w:w="4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March 16, 2026</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104,750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3.88%</w:t>
            </w:r>
          </w:p>
        </w:tc>
        <w:tc>
          <w:tcPr>
            <w:tcW w:w="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6"/>
              </w:rPr>
              <w:t>Variable</w:t>
            </w:r>
          </w:p>
        </w:tc>
        <w:tc>
          <w:tcPr>
            <w:tcW w:w="40" w:type="dxa"/>
            <w:vAlign w:val="bottom"/>
          </w:tcPr>
          <w:p>
            <w:pPr>
              <w:spacing w:after="0"/>
              <w:rPr>
                <w:sz w:val="14"/>
                <w:szCs w:val="14"/>
                <w:color w:val="auto"/>
              </w:rPr>
            </w:pPr>
          </w:p>
        </w:tc>
        <w:tc>
          <w:tcPr>
            <w:tcW w:w="1960" w:type="dxa"/>
            <w:vAlign w:val="bottom"/>
            <w:gridSpan w:val="3"/>
          </w:tcPr>
          <w:p>
            <w:pPr>
              <w:jc w:val="right"/>
              <w:ind w:right="160"/>
              <w:spacing w:after="0"/>
              <w:rPr>
                <w:sz w:val="20"/>
                <w:szCs w:val="20"/>
                <w:color w:val="auto"/>
              </w:rPr>
            </w:pPr>
            <w:r>
              <w:rPr>
                <w:rFonts w:ascii="Arial" w:cs="Arial" w:eastAsia="Arial" w:hAnsi="Arial"/>
                <w:sz w:val="13"/>
                <w:szCs w:val="13"/>
                <w:color w:val="auto"/>
              </w:rPr>
              <w:t>May 22, 2026</w:t>
            </w:r>
          </w:p>
        </w:tc>
        <w:tc>
          <w:tcPr>
            <w:tcW w:w="120" w:type="dxa"/>
            <w:vAlign w:val="bottom"/>
          </w:tcPr>
          <w:p>
            <w:pPr>
              <w:spacing w:after="0"/>
              <w:rPr>
                <w:sz w:val="14"/>
                <w:szCs w:val="14"/>
                <w:color w:val="auto"/>
              </w:rPr>
            </w:pPr>
          </w:p>
        </w:tc>
        <w:tc>
          <w:tcPr>
            <w:tcW w:w="1820" w:type="dxa"/>
            <w:vAlign w:val="bottom"/>
          </w:tcPr>
          <w:p>
            <w:pPr>
              <w:jc w:val="right"/>
              <w:ind w:right="36"/>
              <w:spacing w:after="0"/>
              <w:rPr>
                <w:sz w:val="20"/>
                <w:szCs w:val="20"/>
                <w:color w:val="auto"/>
              </w:rPr>
            </w:pPr>
            <w:r>
              <w:rPr>
                <w:rFonts w:ascii="Arial" w:cs="Arial" w:eastAsia="Arial" w:hAnsi="Arial"/>
                <w:sz w:val="13"/>
                <w:szCs w:val="13"/>
                <w:color w:val="auto"/>
              </w:rPr>
              <w:t>42,500</w:t>
            </w:r>
          </w:p>
        </w:tc>
      </w:tr>
      <w:tr>
        <w:trPr>
          <w:trHeight w:val="165"/>
        </w:trPr>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3.76%</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January 24, 2028</w:t>
            </w: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11,000</w:t>
            </w:r>
          </w:p>
        </w:tc>
      </w:tr>
      <w:tr>
        <w:trPr>
          <w:trHeight w:val="177"/>
        </w:trPr>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158,250</w:t>
            </w:r>
          </w:p>
        </w:tc>
      </w:tr>
      <w:tr>
        <w:trPr>
          <w:trHeight w:val="20"/>
        </w:trPr>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2024</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2"/>
          </w:tcPr>
          <w:p>
            <w:pPr>
              <w:ind w:left="460"/>
              <w:spacing w:after="0"/>
              <w:rPr>
                <w:sz w:val="20"/>
                <w:szCs w:val="20"/>
                <w:color w:val="auto"/>
              </w:rPr>
            </w:pPr>
            <w:r>
              <w:rPr>
                <w:rFonts w:ascii="Arial" w:cs="Arial" w:eastAsia="Arial" w:hAnsi="Arial"/>
                <w:sz w:val="13"/>
                <w:szCs w:val="13"/>
                <w:b w:val="1"/>
                <w:bCs w:val="1"/>
                <w:color w:val="auto"/>
              </w:rPr>
              <w:t>Maturity Date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ind w:left="580"/>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2.05%</w:t>
            </w: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March 27, 2025</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CCEEFF"/>
            </w:tcBorders>
            <w:shd w:val="clear" w:color="auto" w:fill="CCEEFF"/>
          </w:tcPr>
          <w:p>
            <w:pPr>
              <w:ind w:left="1320"/>
              <w:spacing w:after="0"/>
              <w:rPr>
                <w:sz w:val="20"/>
                <w:szCs w:val="20"/>
                <w:color w:val="auto"/>
              </w:rPr>
            </w:pPr>
            <w:r>
              <w:rPr>
                <w:rFonts w:ascii="Arial" w:cs="Arial" w:eastAsia="Arial" w:hAnsi="Arial"/>
                <w:sz w:val="13"/>
                <w:szCs w:val="13"/>
                <w:color w:val="auto"/>
                <w:w w:val="90"/>
              </w:rPr>
              <w:t>10,000</w:t>
            </w:r>
          </w:p>
        </w:tc>
        <w:tc>
          <w:tcPr>
            <w:tcW w:w="120" w:type="dxa"/>
            <w:vAlign w:val="bottom"/>
            <w:tcBorders>
              <w:top w:val="single" w:sz="8" w:color="auto"/>
            </w:tcBorders>
            <w:shd w:val="clear" w:color="auto" w:fill="CCEEFF"/>
          </w:tcPr>
          <w:p>
            <w:pPr>
              <w:spacing w:after="0"/>
              <w:rPr>
                <w:sz w:val="13"/>
                <w:szCs w:val="13"/>
                <w:color w:val="auto"/>
              </w:rPr>
            </w:pPr>
          </w:p>
        </w:tc>
      </w:tr>
      <w:tr>
        <w:trPr>
          <w:trHeight w:val="161"/>
        </w:trPr>
        <w:tc>
          <w:tcPr>
            <w:tcW w:w="1800" w:type="dxa"/>
            <w:vAlign w:val="bottom"/>
          </w:tcPr>
          <w:p>
            <w:pPr>
              <w:jc w:val="center"/>
              <w:spacing w:after="0"/>
              <w:rPr>
                <w:sz w:val="20"/>
                <w:szCs w:val="20"/>
                <w:color w:val="auto"/>
              </w:rPr>
            </w:pPr>
            <w:r>
              <w:rPr>
                <w:rFonts w:ascii="Arial" w:cs="Arial" w:eastAsia="Arial" w:hAnsi="Arial"/>
                <w:sz w:val="13"/>
                <w:szCs w:val="13"/>
                <w:color w:val="auto"/>
                <w:w w:val="92"/>
              </w:rPr>
              <w:t>1.07%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July 18, 2025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3"/>
                <w:szCs w:val="13"/>
                <w:color w:val="auto"/>
              </w:rPr>
              <w:t>6,000</w:t>
            </w:r>
          </w:p>
        </w:tc>
      </w:tr>
      <w:tr>
        <w:trPr>
          <w:trHeight w:val="151"/>
        </w:trPr>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3.76%</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January 24, 2028</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3"/>
                <w:szCs w:val="13"/>
                <w:color w:val="auto"/>
                <w:w w:val="90"/>
              </w:rPr>
              <w:t>11,000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71"/>
        </w:trPr>
        <w:tc>
          <w:tcPr>
            <w:tcW w:w="1800" w:type="dxa"/>
            <w:vAlign w:val="bottom"/>
          </w:tcPr>
          <w:p>
            <w:pPr>
              <w:jc w:val="center"/>
              <w:spacing w:after="0"/>
              <w:rPr>
                <w:sz w:val="20"/>
                <w:szCs w:val="20"/>
                <w:color w:val="auto"/>
              </w:rPr>
            </w:pPr>
            <w:r>
              <w:rPr>
                <w:rFonts w:ascii="Arial" w:cs="Arial" w:eastAsia="Arial" w:hAnsi="Arial"/>
                <w:sz w:val="13"/>
                <w:szCs w:val="13"/>
                <w:color w:val="auto"/>
                <w:w w:val="92"/>
              </w:rPr>
              <w:t>3.77%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April 25, 2028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1320"/>
              <w:spacing w:after="0"/>
              <w:rPr>
                <w:sz w:val="20"/>
                <w:szCs w:val="20"/>
                <w:color w:val="auto"/>
              </w:rPr>
            </w:pPr>
            <w:r>
              <w:rPr>
                <w:rFonts w:ascii="Arial" w:cs="Arial" w:eastAsia="Arial" w:hAnsi="Arial"/>
                <w:sz w:val="13"/>
                <w:szCs w:val="13"/>
                <w:color w:val="auto"/>
              </w:rPr>
              <w:t>50,000</w:t>
            </w:r>
          </w:p>
        </w:tc>
      </w:tr>
      <w:tr>
        <w:trPr>
          <w:trHeight w:val="151"/>
        </w:trPr>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3.68%</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September 13, 2027</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3"/>
                <w:szCs w:val="13"/>
                <w:color w:val="auto"/>
                <w:w w:val="90"/>
              </w:rPr>
              <w:t>21,000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71"/>
        </w:trPr>
        <w:tc>
          <w:tcPr>
            <w:tcW w:w="1800" w:type="dxa"/>
            <w:vAlign w:val="bottom"/>
          </w:tcPr>
          <w:p>
            <w:pPr>
              <w:jc w:val="center"/>
              <w:spacing w:after="0"/>
              <w:rPr>
                <w:sz w:val="20"/>
                <w:szCs w:val="20"/>
                <w:color w:val="auto"/>
              </w:rPr>
            </w:pPr>
            <w:r>
              <w:rPr>
                <w:rFonts w:ascii="Arial" w:cs="Arial" w:eastAsia="Arial" w:hAnsi="Arial"/>
                <w:sz w:val="13"/>
                <w:szCs w:val="13"/>
                <w:color w:val="auto"/>
                <w:w w:val="92"/>
              </w:rPr>
              <w:t>3.79%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March 23, 2026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1320"/>
              <w:spacing w:after="0"/>
              <w:rPr>
                <w:sz w:val="20"/>
                <w:szCs w:val="20"/>
                <w:color w:val="auto"/>
              </w:rPr>
            </w:pPr>
            <w:r>
              <w:rPr>
                <w:rFonts w:ascii="Arial" w:cs="Arial" w:eastAsia="Arial" w:hAnsi="Arial"/>
                <w:sz w:val="13"/>
                <w:szCs w:val="13"/>
                <w:color w:val="auto"/>
              </w:rPr>
              <w:t>20,000</w:t>
            </w:r>
          </w:p>
        </w:tc>
      </w:tr>
      <w:tr>
        <w:trPr>
          <w:trHeight w:val="171"/>
        </w:trPr>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4.65%</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February 13, 2025</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3"/>
                <w:szCs w:val="13"/>
                <w:color w:val="auto"/>
                <w:w w:val="90"/>
              </w:rPr>
              <w:t>45,000</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1"/>
        </w:trPr>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18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163,000</w:t>
            </w:r>
          </w:p>
        </w:tc>
      </w:tr>
      <w:tr>
        <w:trPr>
          <w:trHeight w:val="20"/>
        </w:trPr>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35"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On January 12, 2024, the Company borrowed $80.0 million at a rate of 4.81% with a maturity date of January 10, 2025, under the BTFP program. The Company paid off the $ 80.0 million under the BTFP program during the third quarter 2024. The original maturity of this borrowing under the BTFP program was January 2025, and there are no remaining borrowings by the Company under this program.</w:t>
      </w:r>
    </w:p>
    <w:p>
      <w:pPr>
        <w:spacing w:after="0" w:line="135" w:lineRule="exact"/>
        <w:rPr>
          <w:sz w:val="20"/>
          <w:szCs w:val="20"/>
          <w:color w:val="auto"/>
        </w:rPr>
      </w:pPr>
    </w:p>
    <w:p>
      <w:pPr>
        <w:ind w:left="1180" w:hanging="517"/>
        <w:spacing w:after="0"/>
        <w:tabs>
          <w:tab w:leader="none" w:pos="11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SUBORDINATED NOTES</w:t>
      </w:r>
    </w:p>
    <w:p>
      <w:pPr>
        <w:spacing w:after="0" w:line="202"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On August 14, 2025, the Company entered into a Subordinated Note Purchase Agreement (the “Purchase Agreement”) with certain qualified institutional buyers (the “Purchasers”) pursuant to which the Company sold and issued $40.0 million in aggregate principal amount of its 7.625% Fixed-to-Floating Rate Subordinated Notes due 2035 (the “Notes”). The Notes were issued by the Company to the Purchasers at a price equal to 100% of their face amount. Net proceeds were $39.2 million after an estimated direct issuance cost of approximately $ 760 thousand. Unamortized issuance costs are deferred and amortized over the 10-year Subordinated note term. As of December 31, 2025, the outstanding balance of subordinated notes, net of costs, totaled $39.3 million and the average interest rate paid on the outstanding average balance net of costs was 7.32%.</w:t>
      </w:r>
    </w:p>
    <w:p>
      <w:pPr>
        <w:spacing w:after="0" w:line="141"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Notes have a stated maturity of August 15, 2035, and are redeemable, in whole or in part, on any interest payment date on or after August 15, 2030, and at any time upon the occurrences of certain events. The Notes bear interest at a fixed rate of 7.625% per year, from and including August 14, 2025, to but excluding August 15, 2030 or earlier redemption date. From and including August 15, 2030, to but excluding the maturity date or early redemption date, the interest rate will reset quarterly at a variable rate equal to the then current three-month term secured overnight financing rate (“SOFR”), plus 422 basis points. If three-month SOFR cannot be determined on a given date, a different index shall be determined and used in accordance with the terms of the Notes.</w:t>
      </w:r>
    </w:p>
    <w:p>
      <w:pPr>
        <w:spacing w:after="0" w:line="13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Notes were offered and sold by the Company in a private placement transaction in reliance on exemptions from the registration requirements of the Securities Act, pursuant to Section 4(a)(2) of the Securities Act and Rule 506(b) of Regulation D thereunder. On August 14, 2025, in connection with the sale and issuance of the Notes, the Company entered into a Registration Rights Agreement (the “Registration Rights Agreement”) with the Purchasers. Under the terms of the</w:t>
      </w:r>
    </w:p>
    <w:p>
      <w:pPr>
        <w:spacing w:after="0" w:line="2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8" w:name="page109"/>
    <w:bookmarkEnd w:id="10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Registration Rights Agreement, the Company agreed to take certain actions to provide for the exchange of the Notes for subordinated notes that are registered under the Securities Act and have substantially the same terms as the Notes (the “Exchange Offer”). Under certain circumstances, if the Company fails to meet its obligations under the Registration Rights Agreement, it would be required to pay additional interest to the holders of the Notes.</w:t>
      </w:r>
    </w:p>
    <w:p>
      <w:pPr>
        <w:spacing w:after="0" w:line="124" w:lineRule="exact"/>
        <w:rPr>
          <w:sz w:val="20"/>
          <w:szCs w:val="20"/>
          <w:color w:val="auto"/>
        </w:rPr>
      </w:pPr>
    </w:p>
    <w:p>
      <w:pPr>
        <w:ind w:left="1180" w:hanging="517"/>
        <w:spacing w:after="0"/>
        <w:tabs>
          <w:tab w:leader="none" w:pos="11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EQUITY BASED AND OTHER COMPENSATION PLANS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401(k) Plan</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 has an 401(k) plan (the “Plan”) covering substantially all eligible employees. The Plan includes a provision that the employer may contribute to the accounts of eligible employees for whom a salary deferral is made. The Company contributed $423 thousand and $354 thousand to the Plan during the years ended December 31, 2025 and 2024, respectively; the contributions are included under salaries and employee benefits in the Consolidated Statements of Operations.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Stock-Based Compensation</w:t>
      </w:r>
    </w:p>
    <w:p>
      <w:pPr>
        <w:spacing w:after="0" w:line="159"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In 2015, the Company's stockholders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and, in no event shall an option be exercisable after the expiration of 10 years from the grant date. The 2015 Option Plan had a 10-year life and initially would have terminated in 2025. In July 2020, the stockholders of the Company approved the amendment of the 2015 Option plan to authorize the issuance of an additional 3,000,000 shares of common stock and extending the life of the plan 5 additional years, terminating in 2030. The authorized shares, after being adjusted to reflect the 1 for 5 reverse stock split, totaled 1,000,000 shares. In December 2021, the shareholders of the Company approved the amendment of the 2015 Option Plan to authorize the issuance of an additional 1,400,000 shares of common stock as well as the ability to issue restricted stock grants (up to 600,000 shares) for a total of 2,400,000 shares as well as extending the term until December 2031.</w:t>
      </w:r>
    </w:p>
    <w:p>
      <w:pPr>
        <w:spacing w:after="0" w:line="133"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At December 31, 2025, there were 872,012 shares available for grant under the 2015 Option Plan. At December 31, 2024, there were 996,436 shares available for grant under the 2015 Option Plan.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 Options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Stock-based compensation expense is based on awards that the Company expects will ultimately vest, reduced by estimated forfeitures. Estimated forfeitures consider the voluntary termination trends as well as actual option forfeitures.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compensation expense is reported under salaries and employee benefits in the accompanying Consolidated Statements of Operations. Compensation expense totaling $10 thousand was recognized for the year ended December 31, 2025 and $278 thousand for the year ended December 31, 2024. There was no related tax benefit for the years ended December 31, 2025 and 2024.</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Unrecognized compensation cost remaining on stock-based compensation totaled $ 0 and $10 thousand for the years ended December 31, 2025 and 2024, respectively.</w:t>
      </w:r>
    </w:p>
    <w:p>
      <w:pPr>
        <w:spacing w:after="0" w:line="120" w:lineRule="exact"/>
        <w:rPr>
          <w:sz w:val="20"/>
          <w:szCs w:val="20"/>
          <w:color w:val="auto"/>
        </w:rPr>
      </w:pPr>
    </w:p>
    <w:p>
      <w:pPr>
        <w:jc w:val="both"/>
        <w:ind w:left="660" w:right="619" w:firstLine="256"/>
        <w:spacing w:after="0" w:line="257" w:lineRule="auto"/>
        <w:rPr>
          <w:sz w:val="20"/>
          <w:szCs w:val="20"/>
          <w:color w:val="auto"/>
        </w:rPr>
      </w:pPr>
      <w:r>
        <w:rPr>
          <w:rFonts w:ascii="Arial" w:cs="Arial" w:eastAsia="Arial" w:hAnsi="Arial"/>
          <w:sz w:val="14"/>
          <w:szCs w:val="14"/>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There were no options granted in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09" w:name="page110"/>
    <w:bookmarkEnd w:id="10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stock options for the years ended December 31, 2025 and 2024:</w:t>
      </w:r>
    </w:p>
    <w:p>
      <w:pPr>
        <w:spacing w:after="0" w:line="200" w:lineRule="exact"/>
        <w:rPr>
          <w:sz w:val="20"/>
          <w:szCs w:val="20"/>
          <w:color w:val="auto"/>
        </w:r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8"/>
              </w:rPr>
              <w:t>Weighted Average</w:t>
            </w: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Aggregate Intrinsic</w:t>
            </w:r>
          </w:p>
        </w:tc>
      </w:tr>
      <w:tr>
        <w:trPr>
          <w:trHeight w:val="149"/>
        </w:trPr>
        <w:tc>
          <w:tcPr>
            <w:tcW w:w="2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Weighted Average</w:t>
            </w: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Remaining</w:t>
            </w:r>
          </w:p>
        </w:tc>
        <w:tc>
          <w:tcPr>
            <w:tcW w:w="160" w:type="dxa"/>
            <w:vAlign w:val="bottom"/>
          </w:tcPr>
          <w:p>
            <w:pPr>
              <w:spacing w:after="0"/>
              <w:rPr>
                <w:sz w:val="12"/>
                <w:szCs w:val="12"/>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b w:val="1"/>
                <w:bCs w:val="1"/>
                <w:color w:val="auto"/>
              </w:rPr>
              <w:t>Value (in</w:t>
            </w:r>
          </w:p>
        </w:tc>
      </w:tr>
      <w:tr>
        <w:trPr>
          <w:trHeight w:val="149"/>
        </w:trPr>
        <w:tc>
          <w:tcPr>
            <w:tcW w:w="2480" w:type="dxa"/>
            <w:vAlign w:val="bottom"/>
          </w:tcPr>
          <w:p>
            <w:pPr>
              <w:spacing w:after="0"/>
              <w:rPr>
                <w:sz w:val="12"/>
                <w:szCs w:val="12"/>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 Options</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Exercise Price</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Contractual Years</w:t>
            </w:r>
          </w:p>
        </w:tc>
        <w:tc>
          <w:tcPr>
            <w:tcW w:w="160" w:type="dxa"/>
            <w:vAlign w:val="bottom"/>
          </w:tcPr>
          <w:p>
            <w:pPr>
              <w:spacing w:after="0"/>
              <w:rPr>
                <w:sz w:val="12"/>
                <w:szCs w:val="12"/>
                <w:color w:val="auto"/>
              </w:rPr>
            </w:pPr>
          </w:p>
        </w:tc>
        <w:tc>
          <w:tcPr>
            <w:tcW w:w="1040" w:type="dxa"/>
            <w:vAlign w:val="bottom"/>
          </w:tcPr>
          <w:p>
            <w:pPr>
              <w:jc w:val="right"/>
              <w:ind w:right="196"/>
              <w:spacing w:after="0"/>
              <w:rPr>
                <w:sz w:val="20"/>
                <w:szCs w:val="20"/>
                <w:color w:val="auto"/>
              </w:rPr>
            </w:pPr>
            <w:r>
              <w:rPr>
                <w:rFonts w:ascii="Arial" w:cs="Arial" w:eastAsia="Arial" w:hAnsi="Arial"/>
                <w:sz w:val="13"/>
                <w:szCs w:val="13"/>
                <w:b w:val="1"/>
                <w:bCs w:val="1"/>
                <w:color w:val="auto"/>
              </w:rPr>
              <w:t>thousands)</w:t>
            </w:r>
          </w:p>
        </w:tc>
      </w:tr>
      <w:tr>
        <w:trPr>
          <w:trHeight w:val="161"/>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725,167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10.86</w:t>
            </w:r>
          </w:p>
        </w:tc>
        <w:tc>
          <w:tcPr>
            <w:tcW w:w="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Forfeitures</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626,667</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11.29</w:t>
            </w:r>
          </w:p>
        </w:tc>
        <w:tc>
          <w:tcPr>
            <w:tcW w:w="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192"/>
        </w:trPr>
        <w:tc>
          <w:tcPr>
            <w:tcW w:w="2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2025</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4,458</w:t>
            </w:r>
          </w:p>
        </w:tc>
      </w:tr>
      <w:tr>
        <w:trPr>
          <w:trHeight w:val="171"/>
        </w:trPr>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2024</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947,167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Forfeitures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11.99</w:t>
            </w:r>
          </w:p>
        </w:tc>
        <w:tc>
          <w:tcPr>
            <w:tcW w:w="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r>
      <w:tr>
        <w:trPr>
          <w:trHeight w:val="16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725,167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10.86</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3"/>
        </w:trPr>
        <w:tc>
          <w:tcPr>
            <w:tcW w:w="2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2024</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720,499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4,972</w:t>
            </w:r>
          </w:p>
        </w:tc>
      </w:tr>
    </w:tbl>
    <w:p>
      <w:pPr>
        <w:spacing w:after="0" w:line="32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aggregate intrinsic value in the table above represents the total pre-tax intrinsic value of exercisable options at the dates presented (the difference between the valuation of the Company’s stock and the exercise price, multiplied by the number of options considered in-the-money) that would have been received by the option holders had all option holders exercised their options.</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In 2025 , the Company issued 124,424 shares of Class A common stock to employees and directors as restricted stock awards pursuant to the Company's 2015 Option Plan. Awards under the 2015 Option Plan may not be sold or otherwise transferred until certain restrictions have lapsed. The Company primarily issues restricted stock awards with a 3-year vesting period.</w:t>
      </w:r>
    </w:p>
    <w:p>
      <w:pPr>
        <w:spacing w:after="0" w:line="135"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 2024 , the Company issued 277,922 shares of Class A common stock to employees and directors as restricted stock awards pursuant to the Company's 2015 Option Plan. Awards under the 2015 Option Plan may not be sold or otherwise transferred until certain restrictions have lapsed. The Company primarily issues restricted stock awards with a 3-year vesting period. However, out of the 277,922 shares of Class A common stock issued pursuant to restricted stock awards in 2024, 150,000 shares issued in October 2024 had a modified vesting period. The 150,000 shares vested 33% of the award in a period of two months in 2024, and the 67% remaining vests one-third in 2025 and in 2026.</w:t>
      </w:r>
    </w:p>
    <w:p>
      <w:pPr>
        <w:spacing w:after="0" w:line="139" w:lineRule="exact"/>
        <w:rPr>
          <w:sz w:val="20"/>
          <w:szCs w:val="20"/>
          <w:color w:val="auto"/>
        </w:rPr>
      </w:pPr>
    </w:p>
    <w:p>
      <w:pPr>
        <w:ind w:left="660" w:right="619" w:firstLine="256"/>
        <w:spacing w:after="0" w:line="252" w:lineRule="auto"/>
        <w:rPr>
          <w:sz w:val="20"/>
          <w:szCs w:val="20"/>
          <w:color w:val="auto"/>
        </w:rPr>
      </w:pPr>
      <w:r>
        <w:rPr>
          <w:rFonts w:ascii="Arial" w:cs="Arial" w:eastAsia="Arial" w:hAnsi="Arial"/>
          <w:sz w:val="14"/>
          <w:szCs w:val="14"/>
          <w:color w:val="auto"/>
        </w:rPr>
        <w:t>The total share-based compensation expense for these awards is determined based on the market price of the Company's common stock as of the date of grant applied to the total number of shares granted and is amortized straight line over the vesting period which is generally three years unless the Board of Directors approves a different vesting schedule for the grants. As of December 31, 2025, unearned share -based compensation expense associated with these awards totaled $3.6 million. As of December 31, 2024, unearned share-based compensation expense associated with these awards totaled $4.3 million.</w:t>
      </w:r>
    </w:p>
    <w:p>
      <w:pPr>
        <w:spacing w:after="0" w:line="12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Compensation expense totaling $3.0 million was recognized for the year ended December 31, 2025 and reported under salaries and benefits in the accompanying Consolidated Statement of Operations. Compensation expense totaling $ 1.9 thousand was recognized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0" w:name="page111"/>
    <w:bookmarkEnd w:id="1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restricted stock awards for the years ended December 31, 2025 and 2024:</w:t>
      </w:r>
    </w:p>
    <w:p>
      <w:pPr>
        <w:spacing w:after="0" w:line="200" w:lineRule="exact"/>
        <w:rPr>
          <w:sz w:val="20"/>
          <w:szCs w:val="20"/>
          <w:color w:val="auto"/>
        </w:rPr>
      </w:pP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b w:val="1"/>
                <w:bCs w:val="1"/>
                <w:color w:val="auto"/>
              </w:rPr>
              <w:t>Weighted Average Grant Date</w:t>
            </w:r>
          </w:p>
        </w:tc>
      </w:tr>
      <w:tr>
        <w:trPr>
          <w:trHeight w:val="149"/>
        </w:trPr>
        <w:tc>
          <w:tcPr>
            <w:tcW w:w="3460" w:type="dxa"/>
            <w:vAlign w:val="bottom"/>
          </w:tcPr>
          <w:p>
            <w:pPr>
              <w:spacing w:after="0"/>
              <w:rPr>
                <w:sz w:val="12"/>
                <w:szCs w:val="12"/>
                <w:color w:val="auto"/>
              </w:rPr>
            </w:pPr>
          </w:p>
        </w:tc>
        <w:tc>
          <w:tcPr>
            <w:tcW w:w="1920" w:type="dxa"/>
            <w:vAlign w:val="bottom"/>
            <w:gridSpan w:val="2"/>
          </w:tcPr>
          <w:p>
            <w:pPr>
              <w:ind w:left="420"/>
              <w:spacing w:after="0"/>
              <w:rPr>
                <w:sz w:val="20"/>
                <w:szCs w:val="20"/>
                <w:color w:val="auto"/>
              </w:rPr>
            </w:pPr>
            <w:r>
              <w:rPr>
                <w:rFonts w:ascii="Arial" w:cs="Arial" w:eastAsia="Arial" w:hAnsi="Arial"/>
                <w:sz w:val="13"/>
                <w:szCs w:val="13"/>
                <w:b w:val="1"/>
                <w:bCs w:val="1"/>
                <w:color w:val="auto"/>
              </w:rPr>
              <w:t>Restricted Stock</w:t>
            </w:r>
          </w:p>
        </w:tc>
        <w:tc>
          <w:tcPr>
            <w:tcW w:w="80" w:type="dxa"/>
            <w:vAlign w:val="bottom"/>
          </w:tcPr>
          <w:p>
            <w:pPr>
              <w:spacing w:after="0"/>
              <w:rPr>
                <w:sz w:val="12"/>
                <w:szCs w:val="12"/>
                <w:color w:val="auto"/>
              </w:rPr>
            </w:pPr>
          </w:p>
        </w:tc>
        <w:tc>
          <w:tcPr>
            <w:tcW w:w="1920" w:type="dxa"/>
            <w:vAlign w:val="bottom"/>
          </w:tcPr>
          <w:p>
            <w:pPr>
              <w:ind w:left="600"/>
              <w:spacing w:after="0"/>
              <w:rPr>
                <w:sz w:val="20"/>
                <w:szCs w:val="20"/>
                <w:color w:val="auto"/>
              </w:rPr>
            </w:pPr>
            <w:r>
              <w:rPr>
                <w:rFonts w:ascii="Arial" w:cs="Arial" w:eastAsia="Arial" w:hAnsi="Arial"/>
                <w:sz w:val="13"/>
                <w:szCs w:val="13"/>
                <w:b w:val="1"/>
                <w:bCs w:val="1"/>
                <w:color w:val="auto"/>
              </w:rPr>
              <w:t>Fair Value</w:t>
            </w:r>
          </w:p>
        </w:tc>
      </w:tr>
      <w:tr>
        <w:trPr>
          <w:trHeight w:val="16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2025</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402,076</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3"/>
                <w:szCs w:val="13"/>
                <w:color w:val="auto"/>
              </w:rPr>
              <w:t>13.31</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Granted</w:t>
            </w:r>
          </w:p>
        </w:tc>
        <w:tc>
          <w:tcPr>
            <w:tcW w:w="1860" w:type="dxa"/>
            <w:vAlign w:val="bottom"/>
          </w:tcPr>
          <w:p>
            <w:pPr>
              <w:jc w:val="right"/>
              <w:spacing w:after="0"/>
              <w:rPr>
                <w:sz w:val="20"/>
                <w:szCs w:val="20"/>
                <w:color w:val="auto"/>
              </w:rPr>
            </w:pPr>
            <w:r>
              <w:rPr>
                <w:rFonts w:ascii="Arial" w:cs="Arial" w:eastAsia="Arial" w:hAnsi="Arial"/>
                <w:sz w:val="13"/>
                <w:szCs w:val="13"/>
                <w:color w:val="auto"/>
              </w:rPr>
              <w:t>124,424</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ind w:left="1560"/>
              <w:spacing w:after="0"/>
              <w:rPr>
                <w:sz w:val="20"/>
                <w:szCs w:val="20"/>
                <w:color w:val="auto"/>
              </w:rPr>
            </w:pPr>
            <w:r>
              <w:rPr>
                <w:rFonts w:ascii="Arial" w:cs="Arial" w:eastAsia="Arial" w:hAnsi="Arial"/>
                <w:sz w:val="13"/>
                <w:szCs w:val="13"/>
                <w:color w:val="auto"/>
              </w:rPr>
              <w:t>18.78</w:t>
            </w:r>
          </w:p>
        </w:tc>
      </w:tr>
      <w:tr>
        <w:trPr>
          <w:trHeight w:val="171"/>
        </w:trPr>
        <w:tc>
          <w:tcPr>
            <w:tcW w:w="3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shd w:val="clear" w:color="auto" w:fill="CCEEFF"/>
          </w:tcPr>
          <w:p>
            <w:pPr>
              <w:ind w:left="1840"/>
              <w:spacing w:after="0"/>
              <w:rPr>
                <w:sz w:val="20"/>
                <w:szCs w:val="20"/>
                <w:color w:val="auto"/>
              </w:rPr>
            </w:pPr>
            <w:r>
              <w:rPr>
                <w:rFonts w:ascii="Arial" w:cs="Arial" w:eastAsia="Arial" w:hAnsi="Arial"/>
                <w:sz w:val="13"/>
                <w:szCs w:val="13"/>
                <w:color w:val="auto"/>
              </w:rPr>
              <w:t>-</w:t>
            </w:r>
          </w:p>
        </w:tc>
      </w:tr>
      <w:tr>
        <w:trPr>
          <w:trHeight w:val="171"/>
        </w:trPr>
        <w:tc>
          <w:tcPr>
            <w:tcW w:w="34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Vested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(120,237)</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bottom w:val="single" w:sz="8" w:color="CCEEFF"/>
            </w:tcBorders>
          </w:tcPr>
          <w:p>
            <w:pPr>
              <w:ind w:left="1560"/>
              <w:spacing w:after="0"/>
              <w:rPr>
                <w:sz w:val="20"/>
                <w:szCs w:val="20"/>
                <w:color w:val="auto"/>
              </w:rPr>
            </w:pPr>
            <w:r>
              <w:rPr>
                <w:rFonts w:ascii="Arial" w:cs="Arial" w:eastAsia="Arial" w:hAnsi="Arial"/>
                <w:sz w:val="13"/>
                <w:szCs w:val="13"/>
                <w:color w:val="auto"/>
              </w:rPr>
              <w:t>13.98</w:t>
            </w:r>
          </w:p>
        </w:tc>
      </w:tr>
      <w:tr>
        <w:trPr>
          <w:trHeight w:val="161"/>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406,263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14.80</w:t>
            </w:r>
          </w:p>
        </w:tc>
      </w:tr>
      <w:tr>
        <w:trPr>
          <w:trHeight w:val="20"/>
        </w:trPr>
        <w:tc>
          <w:tcPr>
            <w:tcW w:w="3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b w:val="1"/>
                <w:bCs w:val="1"/>
                <w:color w:val="auto"/>
              </w:rPr>
              <w:t>Weighted Average Grant Date</w:t>
            </w:r>
          </w:p>
        </w:tc>
      </w:tr>
      <w:tr>
        <w:trPr>
          <w:trHeight w:val="160"/>
        </w:trPr>
        <w:tc>
          <w:tcPr>
            <w:tcW w:w="3460" w:type="dxa"/>
            <w:vAlign w:val="bottom"/>
          </w:tcPr>
          <w:p>
            <w:pPr>
              <w:spacing w:after="0"/>
              <w:rPr>
                <w:sz w:val="13"/>
                <w:szCs w:val="13"/>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Restricted Stock</w:t>
            </w:r>
          </w:p>
        </w:tc>
        <w:tc>
          <w:tcPr>
            <w:tcW w:w="80" w:type="dxa"/>
            <w:vAlign w:val="bottom"/>
          </w:tcPr>
          <w:p>
            <w:pPr>
              <w:spacing w:after="0"/>
              <w:rPr>
                <w:sz w:val="13"/>
                <w:szCs w:val="13"/>
                <w:color w:val="auto"/>
              </w:rPr>
            </w:pPr>
          </w:p>
        </w:tc>
        <w:tc>
          <w:tcPr>
            <w:tcW w:w="1920" w:type="dxa"/>
            <w:vAlign w:val="bottom"/>
          </w:tcPr>
          <w:p>
            <w:pPr>
              <w:ind w:left="600"/>
              <w:spacing w:after="0"/>
              <w:rPr>
                <w:sz w:val="20"/>
                <w:szCs w:val="20"/>
                <w:color w:val="auto"/>
              </w:rPr>
            </w:pPr>
            <w:r>
              <w:rPr>
                <w:rFonts w:ascii="Arial" w:cs="Arial" w:eastAsia="Arial" w:hAnsi="Arial"/>
                <w:sz w:val="13"/>
                <w:szCs w:val="13"/>
                <w:b w:val="1"/>
                <w:bCs w:val="1"/>
                <w:color w:val="auto"/>
              </w:rPr>
              <w:t>Fair Value</w:t>
            </w:r>
          </w:p>
        </w:tc>
      </w:tr>
      <w:tr>
        <w:trPr>
          <w:trHeight w:val="15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218,422</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3"/>
                <w:szCs w:val="13"/>
                <w:color w:val="auto"/>
              </w:rPr>
              <w:t>12.19</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Granted</w:t>
            </w:r>
          </w:p>
        </w:tc>
        <w:tc>
          <w:tcPr>
            <w:tcW w:w="1860" w:type="dxa"/>
            <w:vAlign w:val="bottom"/>
          </w:tcPr>
          <w:p>
            <w:pPr>
              <w:jc w:val="right"/>
              <w:spacing w:after="0"/>
              <w:rPr>
                <w:sz w:val="20"/>
                <w:szCs w:val="20"/>
                <w:color w:val="auto"/>
              </w:rPr>
            </w:pPr>
            <w:r>
              <w:rPr>
                <w:rFonts w:ascii="Arial" w:cs="Arial" w:eastAsia="Arial" w:hAnsi="Arial"/>
                <w:sz w:val="13"/>
                <w:szCs w:val="13"/>
                <w:color w:val="auto"/>
              </w:rPr>
              <w:t>277,922</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ind w:left="1560"/>
              <w:spacing w:after="0"/>
              <w:rPr>
                <w:sz w:val="20"/>
                <w:szCs w:val="20"/>
                <w:color w:val="auto"/>
              </w:rPr>
            </w:pPr>
            <w:r>
              <w:rPr>
                <w:rFonts w:ascii="Arial" w:cs="Arial" w:eastAsia="Arial" w:hAnsi="Arial"/>
                <w:sz w:val="13"/>
                <w:szCs w:val="13"/>
                <w:color w:val="auto"/>
              </w:rPr>
              <w:t>14.33</w:t>
            </w:r>
          </w:p>
        </w:tc>
      </w:tr>
      <w:tr>
        <w:trPr>
          <w:trHeight w:val="171"/>
        </w:trPr>
        <w:tc>
          <w:tcPr>
            <w:tcW w:w="3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12.63</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Vested</w:t>
            </w:r>
          </w:p>
        </w:tc>
        <w:tc>
          <w:tcPr>
            <w:tcW w:w="1920" w:type="dxa"/>
            <w:vAlign w:val="bottom"/>
            <w:gridSpan w:val="2"/>
          </w:tcPr>
          <w:p>
            <w:pPr>
              <w:jc w:val="right"/>
              <w:ind w:right="60"/>
              <w:spacing w:after="0"/>
              <w:rPr>
                <w:sz w:val="20"/>
                <w:szCs w:val="20"/>
                <w:color w:val="auto"/>
              </w:rPr>
            </w:pPr>
            <w:r>
              <w:rPr>
                <w:rFonts w:ascii="Arial" w:cs="Arial" w:eastAsia="Arial" w:hAnsi="Arial"/>
                <w:sz w:val="13"/>
                <w:szCs w:val="13"/>
                <w:color w:val="auto"/>
              </w:rPr>
              <w:t>(85,643)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ind w:left="1560"/>
              <w:spacing w:after="0"/>
              <w:rPr>
                <w:sz w:val="20"/>
                <w:szCs w:val="20"/>
                <w:color w:val="auto"/>
              </w:rPr>
            </w:pPr>
            <w:r>
              <w:rPr>
                <w:rFonts w:ascii="Arial" w:cs="Arial" w:eastAsia="Arial" w:hAnsi="Arial"/>
                <w:sz w:val="13"/>
                <w:szCs w:val="13"/>
                <w:color w:val="auto"/>
              </w:rPr>
              <w:t>13.84</w:t>
            </w:r>
          </w:p>
        </w:tc>
      </w:tr>
      <w:tr>
        <w:trPr>
          <w:trHeight w:val="172"/>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2024</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402,076</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CCEEFF"/>
            </w:tcBorders>
            <w:shd w:val="clear" w:color="auto" w:fill="CCEEFF"/>
          </w:tcPr>
          <w:p>
            <w:pPr>
              <w:ind w:left="1560"/>
              <w:spacing w:after="0"/>
              <w:rPr>
                <w:sz w:val="20"/>
                <w:szCs w:val="20"/>
                <w:color w:val="auto"/>
              </w:rPr>
            </w:pPr>
            <w:r>
              <w:rPr>
                <w:rFonts w:ascii="Arial" w:cs="Arial" w:eastAsia="Arial" w:hAnsi="Arial"/>
                <w:sz w:val="13"/>
                <w:szCs w:val="13"/>
                <w:color w:val="auto"/>
              </w:rPr>
              <w:t>13.31</w:t>
            </w:r>
          </w:p>
        </w:tc>
      </w:tr>
      <w:tr>
        <w:trPr>
          <w:trHeight w:val="20"/>
        </w:trPr>
        <w:tc>
          <w:tcPr>
            <w:tcW w:w="3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327" w:lineRule="exact"/>
        <w:rPr>
          <w:sz w:val="20"/>
          <w:szCs w:val="20"/>
          <w:color w:val="auto"/>
        </w:rPr>
      </w:pPr>
    </w:p>
    <w:p>
      <w:pPr>
        <w:ind w:left="1040" w:hanging="377"/>
        <w:spacing w:after="0"/>
        <w:tabs>
          <w:tab w:leader="none" w:pos="104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27"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99" w:lineRule="exact"/>
        <w:rPr>
          <w:sz w:val="20"/>
          <w:szCs w:val="20"/>
          <w:color w:val="auto"/>
        </w:rPr>
      </w:pPr>
    </w:p>
    <w:p>
      <w:pPr>
        <w:jc w:val="both"/>
        <w:ind w:left="660" w:right="639" w:firstLine="256"/>
        <w:spacing w:after="0" w:line="255" w:lineRule="auto"/>
        <w:rPr>
          <w:sz w:val="20"/>
          <w:szCs w:val="20"/>
          <w:color w:val="auto"/>
        </w:rPr>
      </w:pPr>
      <w:r>
        <w:rPr>
          <w:rFonts w:ascii="Arial" w:cs="Arial" w:eastAsia="Arial" w:hAnsi="Arial"/>
          <w:sz w:val="14"/>
          <w:szCs w:val="14"/>
          <w:color w:val="auto"/>
        </w:rPr>
        <w:t>The Company records a liability for expected credit losses on off-balance-sheet credit exposure in accordance with ASC 326. The Company uses the loss rate and exposure of default framework to estimate a reserve for unfunded commitments. Loss rates for the expected funded balances are determined based on the associated pooled loan analysis loss rate and the exposure at default is based on an estimated utilization given default. The off-balance sheet commitment allowance as of December 31, 2025 was $752 thousand and as of December 31, 2024 was $ 571 thousand.</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2025 and December 31, 2024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49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r>
      <w:tr>
        <w:trPr>
          <w:trHeight w:val="161"/>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161,606</w:t>
            </w:r>
          </w:p>
        </w:tc>
        <w:tc>
          <w:tcPr>
            <w:tcW w:w="60" w:type="dxa"/>
            <w:vAlign w:val="bottom"/>
            <w:gridSpan w:val="2"/>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122,578</w:t>
            </w:r>
          </w:p>
        </w:tc>
      </w:tr>
      <w:tr>
        <w:trPr>
          <w:trHeight w:val="171"/>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2,700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5,389</w:t>
            </w:r>
          </w:p>
        </w:tc>
      </w:tr>
      <w:tr>
        <w:trPr>
          <w:trHeight w:val="172"/>
        </w:trPr>
        <w:tc>
          <w:tcPr>
            <w:tcW w:w="100" w:type="dxa"/>
            <w:vAlign w:val="bottom"/>
            <w:tcBorders>
              <w:bottom w:val="single" w:sz="8" w:color="CCEEFF"/>
            </w:tcBorders>
            <w:shd w:val="clear" w:color="auto" w:fill="CCEEFF"/>
          </w:tcPr>
          <w:p>
            <w:pPr>
              <w:spacing w:after="0"/>
              <w:rPr>
                <w:sz w:val="14"/>
                <w:szCs w:val="14"/>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164,306</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127,967</w:t>
            </w: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200" w:lineRule="exact"/>
        <w:rPr>
          <w:sz w:val="20"/>
          <w:szCs w:val="20"/>
          <w:color w:val="auto"/>
        </w:rPr>
      </w:pPr>
    </w:p>
    <w:p>
      <w:pPr>
        <w:spacing w:after="0" w:line="280"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1" w:name="page112"/>
    <w:bookmarkEnd w:id="1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hanging="397"/>
        <w:spacing w:after="0"/>
        <w:tabs>
          <w:tab w:leader="none" w:pos="106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Rate Swaps Designated as Cash Flow Hedges</w:t>
      </w:r>
    </w:p>
    <w:p>
      <w:pPr>
        <w:spacing w:after="0" w:line="159"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In July 2025, the Company entered into a two-year costless collar hedge with a notional amount of $50 million to manage exposure to interest rate volatility on a three-month brokered CD. The derivative is based on the USD SOFR overnight index and establishes a cap rate of 4.50% and a floor rate of 1.875%, effectively creating a defined range of interest rate outcomes without requiring an upfront premium. The hedge was designated as a cash flow hedge under ASC 815, Derivatives and Hedging, and is being accounted for accordingly. Changes in the fair value of the derivative will be recorded in other comprehensive income (loss) to the extent the hedge remains effective.</w:t>
      </w:r>
    </w:p>
    <w:p>
      <w:pPr>
        <w:spacing w:after="0" w:line="138"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 August 2025, the Company entered into a two-year costless collar hedge with a notional amount of $50 million to manage exposure to interest rate volatility on a three-month brokered CD. The derivative is based on the USD SOFR overnight index and establishes a cap rate of 4.50% and a floor rate of 1.965%, effectively creating a defined range of interest rate outcomes without requiring an upfront premium. The hedge was designated as a cash flow hedge under ASC 815, Derivatives and Hedging, and is being accounted for accordingly. Changes in the fair value of the derivative will be recorded in other comprehensive income (loss) to the extent the hedge remains effective.</w:t>
      </w:r>
    </w:p>
    <w:p>
      <w:pPr>
        <w:spacing w:after="0" w:line="139"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As of December 31, 2025, the Company had one interest rate swap agreements with a notional aggregate amount of $25 million that were designated as cash flow hedges of certificates of deposit. The interest rate swap agreements have a maturity of 0.42 years, a weighted average fixed-rate paid of 3.47%, and with a weighted average 3-month compound USD SOFR being received. The company unwound one interest rate swap designated as a cash flow hedge of certificates of deposits with notional amount of $25 million during the quarter ended December 31, 2025. The decision to unwind this swap was driven by changes in interest rate forecasts and asset-liability management strategies. The early termination income to unwind the fair value swaps totaled $ 5 thousand. The original maturity of the cash flow interest rate swap was April 2026.</w:t>
      </w:r>
    </w:p>
    <w:p>
      <w:pPr>
        <w:spacing w:after="0" w:line="126"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2024, the Company had two interest rate swap agreements with a notional aggregate amount of $50 million that were designated as cash flow hedges of certificates of deposit. The interest rate swap agreements have an average maturity of 1.38 years, the weighted average fixed-rate paid is 3.59%, with the weighted average 3-month compound USD SOFR being received.</w:t>
      </w:r>
    </w:p>
    <w:p>
      <w:pPr>
        <w:spacing w:after="0" w:line="12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changes in fair value on these interest rate swaps are recorded in other assets or accrued interest and other liabilities with a corresponding recognition in other comprehensive income (loss) and subsequently reclassified to earnings when gains or losses are realized.</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Hedges</w:t>
      </w:r>
    </w:p>
    <w:p>
      <w:pPr>
        <w:spacing w:after="0" w:line="15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During the third quarter in 2024, the Company unwound four fair value interest rate swaps with a notional aggregate amount of $200 million. The decision to unwind these swaps was driven by changes in interest rate forecasts and asset-liability management strategies. The early termination fee to unwind the fair value swaps totaled $ 3.7 million. The termination fees allocated to each loan category are amortized over the remining life of the hedge loans on a monthly straight-line basis with full recognition of the unamortized cost upon the early payoff of the hedge loan. The amortization of the termination fee is reflected in the loan interest income line in the Company’s Consolidated Statement of Operations. The original maturities of these fair value interest swaps were between 2025 and 2026. The fair value interest rate swap agreements had an average maturity of 1.51 years at the date of termination.</w:t>
      </w:r>
    </w:p>
    <w:p>
      <w:pPr>
        <w:spacing w:after="0" w:line="333"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2" w:name="page113"/>
    <w:bookmarkEnd w:id="1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also enters into interest rate swaps with its loan customers. The Company had 94 and 60 interest rate swaps with loan customers with a notional aggregate amount of $310.8 million and $206.3 million at December 31, 2025 and 2024, respectively. These interest rate swaps have maturity dates of between 2026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customer related interest rate swaps at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Fair Value</w:t>
            </w:r>
          </w:p>
        </w:tc>
      </w:tr>
      <w:tr>
        <w:trPr>
          <w:trHeight w:val="215"/>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b w:val="1"/>
                <w:bCs w:val="1"/>
                <w:color w:val="auto"/>
              </w:rPr>
              <w:t>Notional</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Collateral</w:t>
            </w: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4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2"/>
                <w:szCs w:val="12"/>
                <w:color w:val="auto"/>
              </w:rPr>
            </w:pPr>
          </w:p>
        </w:tc>
        <w:tc>
          <w:tcPr>
            <w:tcW w:w="1780" w:type="dxa"/>
            <w:vAlign w:val="bottom"/>
            <w:gridSpan w:val="2"/>
          </w:tcPr>
          <w:p>
            <w:pPr>
              <w:ind w:left="140"/>
              <w:spacing w:after="0"/>
              <w:rPr>
                <w:sz w:val="20"/>
                <w:szCs w:val="20"/>
                <w:color w:val="auto"/>
              </w:rPr>
            </w:pPr>
            <w:r>
              <w:rPr>
                <w:rFonts w:ascii="Arial" w:cs="Arial" w:eastAsia="Arial" w:hAnsi="Arial"/>
                <w:sz w:val="13"/>
                <w:szCs w:val="13"/>
                <w:b w:val="1"/>
                <w:bCs w:val="1"/>
                <w:color w:val="auto"/>
              </w:rPr>
              <w:t>Balance Sheet Location</w:t>
            </w:r>
          </w:p>
        </w:tc>
        <w:tc>
          <w:tcPr>
            <w:tcW w:w="100" w:type="dxa"/>
            <w:vAlign w:val="bottom"/>
          </w:tcPr>
          <w:p>
            <w:pPr>
              <w:spacing w:after="0"/>
              <w:rPr>
                <w:sz w:val="12"/>
                <w:szCs w:val="12"/>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b w:val="1"/>
                <w:bCs w:val="1"/>
                <w:color w:val="auto"/>
              </w:rPr>
              <w:t>Asset</w:t>
            </w:r>
          </w:p>
        </w:tc>
        <w:tc>
          <w:tcPr>
            <w:tcW w:w="60" w:type="dxa"/>
            <w:vAlign w:val="bottom"/>
          </w:tcPr>
          <w:p>
            <w:pPr>
              <w:spacing w:after="0"/>
              <w:rPr>
                <w:sz w:val="12"/>
                <w:szCs w:val="12"/>
                <w:color w:val="auto"/>
              </w:rPr>
            </w:pPr>
          </w:p>
        </w:tc>
        <w:tc>
          <w:tcPr>
            <w:tcW w:w="6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Liability</w:t>
            </w:r>
          </w:p>
        </w:tc>
      </w:tr>
      <w:tr>
        <w:trPr>
          <w:trHeight w:val="161"/>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right w:val="single" w:sz="8" w:color="CCEEFF"/>
            </w:tcBorders>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3"/>
                <w:szCs w:val="13"/>
                <w:color w:val="auto"/>
              </w:rPr>
              <w:t>Derivatives Designated as Cash Flow Hedges: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2"/>
        </w:trPr>
        <w:tc>
          <w:tcPr>
            <w:tcW w:w="3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right w:val="single" w:sz="8" w:color="CCEEFF"/>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w w:val="99"/>
              </w:rPr>
              <w:t>Other assets/Accrued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49"/>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7"/>
                <w:shd w:val="clear" w:color="auto" w:fill="CCEEFF"/>
              </w:rPr>
              <w:t>125,000</w:t>
            </w:r>
          </w:p>
        </w:tc>
        <w:tc>
          <w:tcPr>
            <w:tcW w:w="8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and other liabilities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7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Derivatives not designated as hedging instruments: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82"/>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Arial" w:cs="Arial" w:eastAsia="Arial" w:hAnsi="Arial"/>
                <w:sz w:val="13"/>
                <w:szCs w:val="13"/>
                <w:color w:val="auto"/>
              </w:rPr>
              <w:t>Other assets/Accrued interest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60"/>
        </w:trPr>
        <w:tc>
          <w:tcPr>
            <w:tcW w:w="3060" w:type="dxa"/>
            <w:vAlign w:val="bottom"/>
          </w:tcPr>
          <w:p>
            <w:pPr>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ind w:left="160"/>
              <w:spacing w:after="0"/>
              <w:rPr>
                <w:sz w:val="20"/>
                <w:szCs w:val="20"/>
                <w:color w:val="auto"/>
              </w:rPr>
            </w:pPr>
            <w:r>
              <w:rPr>
                <w:rFonts w:ascii="Arial" w:cs="Arial" w:eastAsia="Arial" w:hAnsi="Arial"/>
                <w:sz w:val="13"/>
                <w:szCs w:val="13"/>
                <w:color w:val="auto"/>
                <w:w w:val="97"/>
              </w:rPr>
              <w:t>310,761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5,769</w:t>
            </w:r>
          </w:p>
        </w:tc>
        <w:tc>
          <w:tcPr>
            <w:tcW w:w="60" w:type="dxa"/>
            <w:vAlign w:val="bottom"/>
          </w:tcPr>
          <w:p>
            <w:pPr>
              <w:spacing w:after="0"/>
              <w:rPr>
                <w:sz w:val="13"/>
                <w:szCs w:val="13"/>
                <w:color w:val="auto"/>
              </w:rPr>
            </w:pPr>
          </w:p>
        </w:tc>
        <w:tc>
          <w:tcPr>
            <w:tcW w:w="1780" w:type="dxa"/>
            <w:vAlign w:val="bottom"/>
            <w:gridSpan w:val="2"/>
          </w:tcPr>
          <w:p>
            <w:pPr>
              <w:spacing w:after="0"/>
              <w:rPr>
                <w:sz w:val="20"/>
                <w:szCs w:val="20"/>
                <w:color w:val="auto"/>
              </w:rPr>
            </w:pPr>
            <w:r>
              <w:rPr>
                <w:rFonts w:ascii="Arial" w:cs="Arial" w:eastAsia="Arial" w:hAnsi="Arial"/>
                <w:sz w:val="13"/>
                <w:szCs w:val="13"/>
                <w:color w:val="auto"/>
              </w:rPr>
              <w:t>and other liabilities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9,753</w:t>
            </w:r>
          </w:p>
        </w:tc>
        <w:tc>
          <w:tcPr>
            <w:tcW w:w="2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9,753</w:t>
            </w:r>
          </w:p>
        </w:tc>
      </w:tr>
      <w:tr>
        <w:trPr>
          <w:trHeight w:val="171"/>
        </w:trPr>
        <w:tc>
          <w:tcPr>
            <w:tcW w:w="3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3"/>
                <w:szCs w:val="13"/>
                <w:b w:val="1"/>
                <w:bCs w:val="1"/>
                <w:color w:val="auto"/>
              </w:rPr>
              <w:t>December 31, 2024: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Derivatives Designated as Cash Flow Hedges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3"/>
                <w:szCs w:val="13"/>
                <w:color w:val="auto"/>
              </w:rPr>
              <w:t>Interest rate swaps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ind w:left="220"/>
              <w:spacing w:after="0"/>
              <w:rPr>
                <w:sz w:val="20"/>
                <w:szCs w:val="20"/>
                <w:color w:val="auto"/>
              </w:rPr>
            </w:pPr>
            <w:r>
              <w:rPr>
                <w:rFonts w:ascii="Arial" w:cs="Arial" w:eastAsia="Arial" w:hAnsi="Arial"/>
                <w:sz w:val="13"/>
                <w:szCs w:val="13"/>
                <w:color w:val="auto"/>
              </w:rPr>
              <w:t>50,000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321</w:t>
            </w:r>
          </w:p>
        </w:tc>
        <w:tc>
          <w:tcPr>
            <w:tcW w:w="2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3"/>
                <w:szCs w:val="13"/>
                <w:color w:val="auto"/>
              </w:rPr>
              <w:t>Derivatives not designated as hedging instruments: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2"/>
        </w:trPr>
        <w:tc>
          <w:tcPr>
            <w:tcW w:w="3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right w:val="single" w:sz="8" w:color="CCEEFF"/>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w w:val="99"/>
              </w:rPr>
              <w:t>Other assets/Accrued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49"/>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7"/>
                <w:shd w:val="clear" w:color="auto" w:fill="CCEEFF"/>
              </w:rPr>
              <w:t>206,258</w:t>
            </w:r>
          </w:p>
        </w:tc>
        <w:tc>
          <w:tcPr>
            <w:tcW w:w="8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4,943</w:t>
            </w: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and other liabilities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6,869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shd w:val="clear" w:color="auto" w:fill="CCEEFF"/>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6,869</w:t>
            </w:r>
          </w:p>
        </w:tc>
      </w:tr>
    </w:tbl>
    <w:p>
      <w:pPr>
        <w:spacing w:after="0" w:line="157" w:lineRule="exact"/>
        <w:rPr>
          <w:sz w:val="20"/>
          <w:szCs w:val="20"/>
          <w:color w:val="auto"/>
        </w:rPr>
      </w:pPr>
    </w:p>
    <w:p>
      <w:pPr>
        <w:ind w:left="1060" w:hanging="397"/>
        <w:spacing w:after="0"/>
        <w:tabs>
          <w:tab w:leader="none" w:pos="10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1"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3" w:name="page114"/>
    <w:bookmarkEnd w:id="1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34"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5"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24" w:lineRule="exact"/>
        <w:rPr>
          <w:sz w:val="20"/>
          <w:szCs w:val="20"/>
          <w:color w:val="auto"/>
        </w:rPr>
      </w:pPr>
    </w:p>
    <w:p>
      <w:pPr>
        <w:jc w:val="both"/>
        <w:ind w:left="1180" w:right="699"/>
        <w:spacing w:after="0" w:line="256"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4"/>
          <w:szCs w:val="14"/>
          <w:color w:val="auto"/>
        </w:rPr>
        <w:t>When instruments are traded in secondary markets and quoted market prices do not exist for</w:t>
      </w:r>
      <w:r>
        <w:rPr>
          <w:rFonts w:ascii="Arial" w:cs="Arial" w:eastAsia="Arial" w:hAnsi="Arial"/>
          <w:sz w:val="14"/>
          <w:szCs w:val="14"/>
          <w:b w:val="1"/>
          <w:bCs w:val="1"/>
          <w:color w:val="auto"/>
        </w:rPr>
        <w:t xml:space="preserve"> </w:t>
      </w:r>
      <w:r>
        <w:rPr>
          <w:rFonts w:ascii="Arial" w:cs="Arial" w:eastAsia="Arial" w:hAnsi="Arial"/>
          <w:sz w:val="14"/>
          <w:szCs w:val="14"/>
          <w:color w:val="auto"/>
        </w:rPr>
        <w:t>such securities, management generally relies on prices obtained from independent vendors or third-party broker -dealers.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9"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2025 and 2024 for each of the fair value hierarchy levels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2025</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61"/>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jc w:val="right"/>
              <w:ind w:right="112"/>
              <w:spacing w:after="0"/>
              <w:rPr>
                <w:sz w:val="20"/>
                <w:szCs w:val="20"/>
                <w:color w:val="auto"/>
              </w:rPr>
            </w:pPr>
            <w:r>
              <w:rPr>
                <w:rFonts w:ascii="Arial" w:cs="Arial" w:eastAsia="Arial" w:hAnsi="Arial"/>
                <w:sz w:val="13"/>
                <w:szCs w:val="13"/>
                <w:b w:val="1"/>
                <w:bCs w:val="1"/>
                <w:color w:val="auto"/>
                <w:w w:val="99"/>
              </w:rPr>
              <w:t>Level 1</w:t>
            </w: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680" w:type="dxa"/>
            <w:vAlign w:val="bottom"/>
            <w:gridSpan w:val="6"/>
          </w:tcPr>
          <w:p>
            <w:pPr>
              <w:jc w:val="right"/>
              <w:ind w:right="136"/>
              <w:spacing w:after="0"/>
              <w:rPr>
                <w:sz w:val="20"/>
                <w:szCs w:val="20"/>
                <w:color w:val="auto"/>
              </w:rPr>
            </w:pPr>
            <w:r>
              <w:rPr>
                <w:rFonts w:ascii="Arial" w:cs="Arial" w:eastAsia="Arial" w:hAnsi="Arial"/>
                <w:sz w:val="13"/>
                <w:szCs w:val="13"/>
                <w:b w:val="1"/>
                <w:bCs w:val="1"/>
                <w:color w:val="auto"/>
              </w:rPr>
              <w:t>Level 3</w:t>
            </w:r>
          </w:p>
        </w:tc>
        <w:tc>
          <w:tcPr>
            <w:tcW w:w="58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660" w:type="dxa"/>
            <w:vAlign w:val="bottom"/>
            <w:gridSpan w:val="4"/>
          </w:tcPr>
          <w:p>
            <w:pPr>
              <w:jc w:val="right"/>
              <w:ind w:right="96"/>
              <w:spacing w:after="0"/>
              <w:rPr>
                <w:sz w:val="20"/>
                <w:szCs w:val="20"/>
                <w:color w:val="auto"/>
              </w:rPr>
            </w:pPr>
            <w:r>
              <w:rPr>
                <w:rFonts w:ascii="Arial" w:cs="Arial" w:eastAsia="Arial" w:hAnsi="Arial"/>
                <w:sz w:val="13"/>
                <w:szCs w:val="13"/>
                <w:b w:val="1"/>
                <w:bCs w:val="1"/>
                <w:color w:val="auto"/>
              </w:rPr>
              <w:t>Level 1</w:t>
            </w: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680" w:type="dxa"/>
            <w:vAlign w:val="bottom"/>
            <w:gridSpan w:val="6"/>
          </w:tcPr>
          <w:p>
            <w:pPr>
              <w:jc w:val="right"/>
              <w:ind w:right="136"/>
              <w:spacing w:after="0"/>
              <w:rPr>
                <w:sz w:val="20"/>
                <w:szCs w:val="20"/>
                <w:color w:val="auto"/>
              </w:rPr>
            </w:pPr>
            <w:r>
              <w:rPr>
                <w:rFonts w:ascii="Arial" w:cs="Arial" w:eastAsia="Arial" w:hAnsi="Arial"/>
                <w:sz w:val="13"/>
                <w:szCs w:val="13"/>
                <w:b w:val="1"/>
                <w:bCs w:val="1"/>
                <w:color w:val="auto"/>
              </w:rPr>
              <w:t>Level 3</w:t>
            </w:r>
          </w:p>
        </w:tc>
        <w:tc>
          <w:tcPr>
            <w:tcW w:w="60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61"/>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14,144</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14,144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4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12,625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12,625</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75,828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75,828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78,905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78,905</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29,917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29,917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46,933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46,933</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168,108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168,108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78,739</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4,263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4,263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19,311</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15,230</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15,230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23,708</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23,708</w:t>
            </w:r>
          </w:p>
        </w:tc>
      </w:tr>
      <w:tr>
        <w:trPr>
          <w:trHeight w:val="161"/>
        </w:trPr>
        <w:tc>
          <w:tcPr>
            <w:tcW w:w="2540" w:type="dxa"/>
            <w:vAlign w:val="bottom"/>
          </w:tcPr>
          <w:p>
            <w:pPr>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307,490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307,490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260,221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260,221</w:t>
            </w:r>
          </w:p>
        </w:tc>
      </w:tr>
      <w:tr>
        <w:trPr>
          <w:trHeight w:val="17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9,767</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w:t>
            </w:r>
          </w:p>
        </w:tc>
      </w:tr>
      <w:tr>
        <w:trPr>
          <w:trHeight w:val="20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317,257</w:t>
            </w:r>
          </w:p>
        </w:tc>
        <w:tc>
          <w:tcPr>
            <w:tcW w:w="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317,257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ind w:left="34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267,411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267,411</w:t>
            </w:r>
          </w:p>
        </w:tc>
      </w:tr>
      <w:tr>
        <w:trPr>
          <w:trHeight w:val="153"/>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Derivative liabilities</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9,786</w:t>
            </w: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9,786</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6,869</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6,869</w:t>
            </w:r>
          </w:p>
        </w:tc>
      </w:tr>
      <w:tr>
        <w:trPr>
          <w:trHeight w:val="172"/>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9,786</w:t>
            </w:r>
          </w:p>
        </w:tc>
        <w:tc>
          <w:tcPr>
            <w:tcW w:w="20" w:type="dxa"/>
            <w:vAlign w:val="bottom"/>
          </w:tcPr>
          <w:p>
            <w:pPr>
              <w:spacing w:after="0"/>
              <w:rPr>
                <w:sz w:val="14"/>
                <w:szCs w:val="1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color w:val="auto"/>
              </w:rPr>
              <w:t>-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9,786</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6,869</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color w:val="auto"/>
              </w:rPr>
              <w:t>-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6,869</w:t>
            </w: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4" w:name="page115"/>
    <w:bookmarkEnd w:id="1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at December 31, 2025 and 2024 are as follows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7"/>
          </w:tcPr>
          <w:p>
            <w:pPr>
              <w:jc w:val="right"/>
              <w:ind w:right="16"/>
              <w:spacing w:after="0"/>
              <w:rPr>
                <w:sz w:val="20"/>
                <w:szCs w:val="20"/>
                <w:color w:val="auto"/>
              </w:rPr>
            </w:pPr>
            <w:r>
              <w:rPr>
                <w:rFonts w:ascii="Arial" w:cs="Arial" w:eastAsia="Arial" w:hAnsi="Arial"/>
                <w:sz w:val="13"/>
                <w:szCs w:val="13"/>
                <w:b w:val="1"/>
                <w:bCs w:val="1"/>
                <w:color w:val="auto"/>
              </w:rPr>
              <w:t>Fair Value Hierarchy</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94"/>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Fair Value</w:t>
            </w:r>
          </w:p>
        </w:tc>
      </w:tr>
      <w:tr>
        <w:trPr>
          <w:trHeight w:val="149"/>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61"/>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2"/>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6,027</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6,027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6,027</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32,450</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32,450</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32,450</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153,941</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142,508</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142,508</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2,163,757</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2,210,781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2,210,781</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11,661</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1,443</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10,218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11,661</w:t>
            </w: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2"/>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Non-interest bearing demand deposits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583,860</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583,860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583,860</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Savings and money market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1,186,422</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1,186,422</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1,186,422</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Interest-bearing demand deposits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46,989</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46,989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46,989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527,809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527,575</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527,575</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158,250</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158,342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158,342</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Subordinated notes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39,300</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40,131</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40,131</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3,984</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3,984</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3,984</w:t>
            </w: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2"/>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6,986</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6,986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6,986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70,049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70,049</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70,049</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164,694</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145,540</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145,540</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1,948,778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1,950,646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1,950,646</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10,945</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9,573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10,945</w:t>
            </w: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2"/>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575,159</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575,159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575,159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Money market and savings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1,180,809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1,180,809</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1,180,809</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50,648</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50,648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50,648</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367,388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366,479</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366,479</w:t>
            </w:r>
          </w:p>
        </w:tc>
      </w:tr>
      <w:tr>
        <w:trPr>
          <w:trHeight w:val="15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163,000</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161,375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161,375</w:t>
            </w:r>
          </w:p>
        </w:tc>
      </w:tr>
      <w:tr>
        <w:trPr>
          <w:trHeight w:val="179"/>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2,125</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2,125</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2,125</w:t>
            </w:r>
          </w:p>
        </w:tc>
      </w:tr>
    </w:tbl>
    <w:p>
      <w:pPr>
        <w:spacing w:after="0" w:line="138"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b w:val="1"/>
          <w:bCs w:val="1"/>
          <w:color w:val="auto"/>
        </w:rPr>
        <w:t xml:space="preserve">Collateral Dependent Loans Measured for Expected Credit Losses: </w:t>
      </w:r>
      <w:r>
        <w:rPr>
          <w:rFonts w:ascii="Arial" w:cs="Arial" w:eastAsia="Arial" w:hAnsi="Arial"/>
          <w:sz w:val="14"/>
          <w:szCs w:val="14"/>
          <w:color w:val="auto"/>
        </w:rPr>
        <w:t>Fair values of collateral-dependent yacht loans</w:t>
      </w:r>
      <w:r>
        <w:rPr>
          <w:rFonts w:ascii="Arial" w:cs="Arial" w:eastAsia="Arial" w:hAnsi="Arial"/>
          <w:sz w:val="14"/>
          <w:szCs w:val="14"/>
          <w:b w:val="1"/>
          <w:bCs w:val="1"/>
          <w:color w:val="auto"/>
        </w:rPr>
        <w:t xml:space="preserve"> </w:t>
      </w:r>
      <w:r>
        <w:rPr>
          <w:rFonts w:ascii="Arial" w:cs="Arial" w:eastAsia="Arial" w:hAnsi="Arial"/>
          <w:sz w:val="14"/>
          <w:szCs w:val="14"/>
          <w:color w:val="auto"/>
        </w:rPr>
        <w:t>and real estate loans are based on recent boat and real estate appraisals less estimated costs of sale, repossession, and/or holding costs. Appraisals are made by a third party, and its evaluation may use either a comparative sales, cost and/or income approach or a combination of methodologies.</w:t>
      </w:r>
    </w:p>
    <w:p>
      <w:pPr>
        <w:spacing w:after="0" w:line="135"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fair value of collateral dependent loans considered Level 3 in the fair value hierarchy was $ 2.6 million with no specific reserved as of December 31, 2025 and $2.0 million with a specific reserve of $651 thousand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5" w:name="page116"/>
    <w:bookmarkEnd w:id="1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presents quantitative information about level 3 fair value measurements for assets measured at fair value on a non-recurring basis at December 31, 2025 and 2024:</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December 31, 2025</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2"/>
          </w:tcPr>
          <w:p>
            <w:pPr>
              <w:ind w:left="480"/>
              <w:spacing w:after="0"/>
              <w:rPr>
                <w:sz w:val="20"/>
                <w:szCs w:val="20"/>
                <w:color w:val="auto"/>
              </w:rPr>
            </w:pPr>
            <w:r>
              <w:rPr>
                <w:rFonts w:ascii="Arial" w:cs="Arial" w:eastAsia="Arial" w:hAnsi="Arial"/>
                <w:sz w:val="11"/>
                <w:szCs w:val="11"/>
                <w:b w:val="1"/>
                <w:bCs w:val="1"/>
                <w:color w:val="auto"/>
              </w:rPr>
              <w:t>Range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61"/>
        </w:trPr>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Financial Instrument</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Fair Value</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Valuation Technique(s)</w:t>
            </w:r>
          </w:p>
        </w:tc>
        <w:tc>
          <w:tcPr>
            <w:tcW w:w="60" w:type="dxa"/>
            <w:vAlign w:val="bottom"/>
          </w:tcPr>
          <w:p>
            <w:pPr>
              <w:spacing w:after="0"/>
              <w:rPr>
                <w:sz w:val="13"/>
                <w:szCs w:val="13"/>
                <w:color w:val="auto"/>
              </w:rPr>
            </w:pPr>
          </w:p>
        </w:tc>
        <w:tc>
          <w:tcPr>
            <w:tcW w:w="16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Unobservable Input(s)</w:t>
            </w:r>
          </w:p>
        </w:tc>
        <w:tc>
          <w:tcPr>
            <w:tcW w:w="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Minimum</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Maximum</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spacing w:after="0"/>
              <w:rPr>
                <w:sz w:val="20"/>
                <w:szCs w:val="20"/>
                <w:color w:val="auto"/>
              </w:rPr>
            </w:pPr>
            <w:r>
              <w:rPr>
                <w:rFonts w:ascii="Arial" w:cs="Arial" w:eastAsia="Arial" w:hAnsi="Arial"/>
                <w:sz w:val="11"/>
                <w:szCs w:val="11"/>
                <w:color w:val="auto"/>
              </w:rPr>
              <w:t>Collateral dependent loans -</w:t>
            </w:r>
          </w:p>
        </w:tc>
        <w:tc>
          <w:tcPr>
            <w:tcW w:w="840" w:type="dxa"/>
            <w:vAlign w:val="bottom"/>
            <w:gridSpan w:val="2"/>
            <w:vMerge w:val="restart"/>
            <w:shd w:val="clear" w:color="auto" w:fill="CCEEFF"/>
          </w:tcPr>
          <w:p>
            <w:pPr>
              <w:ind w:left="200"/>
              <w:spacing w:after="0"/>
              <w:rPr>
                <w:sz w:val="20"/>
                <w:szCs w:val="20"/>
                <w:color w:val="auto"/>
              </w:rPr>
            </w:pPr>
            <w:r>
              <w:rPr>
                <w:rFonts w:ascii="Arial" w:cs="Arial" w:eastAsia="Arial" w:hAnsi="Arial"/>
                <w:sz w:val="11"/>
                <w:szCs w:val="11"/>
                <w:color w:val="auto"/>
              </w:rPr>
              <w:t>$ 2,583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Sales comparison approach</w:t>
            </w:r>
          </w:p>
        </w:tc>
        <w:tc>
          <w:tcPr>
            <w:tcW w:w="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Third party appraisals</w:t>
            </w:r>
          </w:p>
        </w:tc>
        <w:tc>
          <w:tcPr>
            <w:tcW w:w="680" w:type="dxa"/>
            <w:vAlign w:val="bottom"/>
            <w:gridSpan w:val="2"/>
            <w:vMerge w:val="restart"/>
            <w:shd w:val="clear" w:color="auto" w:fill="CCEEFF"/>
          </w:tcPr>
          <w:p>
            <w:pPr>
              <w:jc w:val="center"/>
              <w:ind w:left="3"/>
              <w:spacing w:after="0"/>
              <w:rPr>
                <w:sz w:val="20"/>
                <w:szCs w:val="20"/>
                <w:color w:val="auto"/>
              </w:rPr>
            </w:pPr>
            <w:r>
              <w:rPr>
                <w:rFonts w:ascii="Arial" w:cs="Arial" w:eastAsia="Arial" w:hAnsi="Arial"/>
                <w:sz w:val="11"/>
                <w:szCs w:val="11"/>
                <w:color w:val="auto"/>
              </w:rPr>
              <w:t>0%</w:t>
            </w:r>
          </w:p>
        </w:tc>
        <w:tc>
          <w:tcPr>
            <w:tcW w:w="680" w:type="dxa"/>
            <w:vAlign w:val="bottom"/>
            <w:vMerge w:val="restart"/>
            <w:shd w:val="clear" w:color="auto" w:fill="CCEEFF"/>
          </w:tcPr>
          <w:p>
            <w:pPr>
              <w:jc w:val="right"/>
              <w:ind w:right="203"/>
              <w:spacing w:after="0"/>
              <w:rPr>
                <w:sz w:val="20"/>
                <w:szCs w:val="20"/>
                <w:color w:val="auto"/>
              </w:rPr>
            </w:pPr>
            <w:r>
              <w:rPr>
                <w:rFonts w:ascii="Arial" w:cs="Arial" w:eastAsia="Arial" w:hAnsi="Arial"/>
                <w:sz w:val="11"/>
                <w:szCs w:val="11"/>
                <w:color w:val="auto"/>
              </w:rPr>
              <w:t>0%</w:t>
            </w:r>
          </w:p>
        </w:tc>
        <w:tc>
          <w:tcPr>
            <w:tcW w:w="68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60"/>
        </w:trPr>
        <w:tc>
          <w:tcPr>
            <w:tcW w:w="14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residential loans</w:t>
            </w:r>
          </w:p>
        </w:tc>
        <w:tc>
          <w:tcPr>
            <w:tcW w:w="840" w:type="dxa"/>
            <w:vAlign w:val="bottom"/>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2"/>
          </w:tcPr>
          <w:p>
            <w:pPr>
              <w:ind w:left="480"/>
              <w:spacing w:after="0"/>
              <w:rPr>
                <w:sz w:val="20"/>
                <w:szCs w:val="20"/>
                <w:color w:val="auto"/>
              </w:rPr>
            </w:pPr>
            <w:r>
              <w:rPr>
                <w:rFonts w:ascii="Arial" w:cs="Arial" w:eastAsia="Arial" w:hAnsi="Arial"/>
                <w:sz w:val="11"/>
                <w:szCs w:val="11"/>
                <w:b w:val="1"/>
                <w:bCs w:val="1"/>
                <w:color w:val="auto"/>
              </w:rPr>
              <w:t>Range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9"/>
        </w:trPr>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Financial Instrument</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Fair Value</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Valuation Technique(s)</w:t>
            </w:r>
          </w:p>
        </w:tc>
        <w:tc>
          <w:tcPr>
            <w:tcW w:w="6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Unobservable Input(s)</w:t>
            </w: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Minimum</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Maximum</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20"/>
                <w:szCs w:val="20"/>
                <w:color w:val="auto"/>
              </w:rPr>
            </w:pPr>
            <w:r>
              <w:rPr>
                <w:rFonts w:ascii="Arial" w:cs="Arial" w:eastAsia="Arial" w:hAnsi="Arial"/>
                <w:sz w:val="11"/>
                <w:szCs w:val="11"/>
                <w:color w:val="auto"/>
              </w:rPr>
              <w:t>Collateral dependent loans -</w:t>
            </w:r>
          </w:p>
        </w:tc>
        <w:tc>
          <w:tcPr>
            <w:tcW w:w="840" w:type="dxa"/>
            <w:vAlign w:val="bottom"/>
            <w:gridSpan w:val="2"/>
            <w:vMerge w:val="restart"/>
            <w:shd w:val="clear" w:color="auto" w:fill="CCEEFF"/>
          </w:tcPr>
          <w:p>
            <w:pPr>
              <w:ind w:left="200"/>
              <w:spacing w:after="0"/>
              <w:rPr>
                <w:sz w:val="20"/>
                <w:szCs w:val="20"/>
                <w:color w:val="auto"/>
              </w:rPr>
            </w:pPr>
            <w:r>
              <w:rPr>
                <w:rFonts w:ascii="Arial" w:cs="Arial" w:eastAsia="Arial" w:hAnsi="Arial"/>
                <w:sz w:val="11"/>
                <w:szCs w:val="11"/>
                <w:color w:val="auto"/>
              </w:rPr>
              <w:t>$ 1,650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Sales comparison approach</w:t>
            </w:r>
          </w:p>
        </w:tc>
        <w:tc>
          <w:tcPr>
            <w:tcW w:w="60" w:type="dxa"/>
            <w:vAlign w:val="bottom"/>
            <w:shd w:val="clear" w:color="auto" w:fill="CCEEFF"/>
          </w:tcPr>
          <w:p>
            <w:pPr>
              <w:spacing w:after="0"/>
              <w:rPr>
                <w:sz w:val="19"/>
                <w:szCs w:val="19"/>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1"/>
                <w:szCs w:val="11"/>
                <w:color w:val="auto"/>
              </w:rPr>
              <w:t>Adjustment for differences</w:t>
            </w:r>
          </w:p>
        </w:tc>
        <w:tc>
          <w:tcPr>
            <w:tcW w:w="680" w:type="dxa"/>
            <w:vAlign w:val="bottom"/>
            <w:gridSpan w:val="2"/>
            <w:vMerge w:val="restart"/>
            <w:shd w:val="clear" w:color="auto" w:fill="CCEEFF"/>
          </w:tcPr>
          <w:p>
            <w:pPr>
              <w:jc w:val="center"/>
              <w:ind w:left="3"/>
              <w:spacing w:after="0"/>
              <w:rPr>
                <w:sz w:val="20"/>
                <w:szCs w:val="20"/>
                <w:color w:val="auto"/>
              </w:rPr>
            </w:pPr>
            <w:r>
              <w:rPr>
                <w:rFonts w:ascii="Arial" w:cs="Arial" w:eastAsia="Arial" w:hAnsi="Arial"/>
                <w:sz w:val="11"/>
                <w:szCs w:val="11"/>
                <w:color w:val="auto"/>
                <w:w w:val="99"/>
              </w:rPr>
              <w:t>11%</w:t>
            </w:r>
          </w:p>
        </w:tc>
        <w:tc>
          <w:tcPr>
            <w:tcW w:w="68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color w:val="auto"/>
              </w:rPr>
              <w:t>31%</w:t>
            </w:r>
          </w:p>
        </w:tc>
        <w:tc>
          <w:tcPr>
            <w:tcW w:w="68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71"/>
        </w:trPr>
        <w:tc>
          <w:tcPr>
            <w:tcW w:w="14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consumer boat loans</w:t>
            </w:r>
          </w:p>
        </w:tc>
        <w:tc>
          <w:tcPr>
            <w:tcW w:w="84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between the comparable sales</w:t>
            </w:r>
          </w:p>
        </w:tc>
        <w:tc>
          <w:tcPr>
            <w:tcW w:w="680" w:type="dxa"/>
            <w:vAlign w:val="bottom"/>
            <w:gridSpan w:val="2"/>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4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60" w:hanging="397"/>
        <w:spacing w:after="0"/>
        <w:tabs>
          <w:tab w:leader="none" w:pos="10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During the year ended December 31, 2025, the Company repurchased 2.0 million shares of Class A common stock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 During the year ended December 31, 2025 pursuant to the Company’s publicly announced repurchase programs the Company repurchased 9,671 shares of Class A common stock at a weighted average price per share of $17.91. The aggregate purchase price for these transactions was approximately $174 thousand including transaction costs. As of December 31, 2025, 528,309 shares remained authorized for repurchase under the Company’s two stock repurchase programs.</w:t>
      </w:r>
    </w:p>
    <w:p>
      <w:pPr>
        <w:spacing w:after="0" w:line="141"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year ended December 31, 2024, the Company repurchased 42,100 shares of Class A common stock at a weighted average price per share of $ 11.85 . The aggregate purchase price for these transactions was approximately $ 501 thousand, including transaction costs. As of December 31, 2024, 537,980 shares remained authorized for repurchase under the Company’s two stock repurchase programs.</w:t>
      </w:r>
    </w:p>
    <w:p>
      <w:pPr>
        <w:spacing w:after="0" w:line="124"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In 2025, the Company issued 124,424 shares of Class A common stock to employees and directors as restricted stock awards pursuant to the Company's 2015 Option Plan.</w:t>
      </w:r>
    </w:p>
    <w:p>
      <w:pPr>
        <w:spacing w:after="0" w:line="99"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In 2024, the Company issued 277,922 shares of Class A common stock to employees and directors as restricted stock awards pursuant to the Company's 2015 Option Plan.</w:t>
      </w:r>
    </w:p>
    <w:p>
      <w:pPr>
        <w:spacing w:after="0" w:line="99"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Shares of the Company’s Class A common stock issued and outstanding as of December 31, 2025 and December 31, 2024 were 18,137,885 and 19,924,632, respectively.</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Declaration of dividends by the Board is required before dividend payments are made. The Company is limited in the amount of cash dividends that it may pay. Payment of dividends is generally limited to the Company’s net income of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by the Company. It is likely that these factors would further limit the amount of dividends which the Company could declare. In addition, bank regulators have the authority to prohibit banks and bank holding companies from paying dividends if they deem such payment to be an unsafe or unsound practice.</w:t>
      </w:r>
    </w:p>
    <w:p>
      <w:pPr>
        <w:spacing w:after="0" w:line="387"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6" w:name="page117"/>
    <w:bookmarkEnd w:id="1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of December 31, 2025, the Company was not subject to any formal supervisory restrictions on its ability to pay dividends but has agreed to notify the Federal Reserve Bank of Atlanta in advance of any proposed dividend to the Company's shareholders in light of the Bank's negative retained earnings. In addition, under applicable FDIC regulations and policy, because the Bank has negative retained earnings, it must obtain the prior approval of the FDIC before effecting a cash dividend or other capital distribution.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details the dividends declared and paid by the Company for the periods presented:</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2"/>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1"/>
        </w:trPr>
        <w:tc>
          <w:tcPr>
            <w:tcW w:w="150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Declaration Date</w:t>
            </w:r>
          </w:p>
        </w:tc>
        <w:tc>
          <w:tcPr>
            <w:tcW w:w="1480" w:type="dxa"/>
            <w:vAlign w:val="bottom"/>
            <w:tcBorders>
              <w:top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Record Date</w:t>
            </w:r>
          </w:p>
        </w:tc>
        <w:tc>
          <w:tcPr>
            <w:tcW w:w="20" w:type="dxa"/>
            <w:vAlign w:val="bottom"/>
          </w:tcPr>
          <w:p>
            <w:pPr>
              <w:spacing w:after="0"/>
              <w:rPr>
                <w:sz w:val="14"/>
                <w:szCs w:val="14"/>
                <w:color w:val="auto"/>
              </w:rPr>
            </w:pPr>
          </w:p>
        </w:tc>
        <w:tc>
          <w:tcPr>
            <w:tcW w:w="1400" w:type="dxa"/>
            <w:vAlign w:val="bottom"/>
            <w:tcBorders>
              <w:top w:val="single" w:sz="8" w:color="auto"/>
            </w:tcBorders>
          </w:tcPr>
          <w:p>
            <w:pPr>
              <w:ind w:left="280"/>
              <w:spacing w:after="0"/>
              <w:rPr>
                <w:sz w:val="20"/>
                <w:szCs w:val="20"/>
                <w:color w:val="auto"/>
              </w:rPr>
            </w:pPr>
            <w:r>
              <w:rPr>
                <w:rFonts w:ascii="Arial" w:cs="Arial" w:eastAsia="Arial" w:hAnsi="Arial"/>
                <w:sz w:val="13"/>
                <w:szCs w:val="13"/>
                <w:b w:val="1"/>
                <w:bCs w:val="1"/>
                <w:color w:val="auto"/>
              </w:rPr>
              <w:t>Payment Date</w:t>
            </w: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Dividend Per Share</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Dividend Amount</w:t>
            </w:r>
          </w:p>
        </w:tc>
      </w:tr>
      <w:tr>
        <w:trPr>
          <w:trHeight w:val="151"/>
        </w:trPr>
        <w:tc>
          <w:tcPr>
            <w:tcW w:w="1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January 21, 2025</w:t>
            </w:r>
          </w:p>
        </w:tc>
        <w:tc>
          <w:tcPr>
            <w:tcW w:w="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February 14, 2025</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March 5, 2025</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0.10</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4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2.0 million</w:t>
            </w:r>
          </w:p>
        </w:tc>
      </w:tr>
      <w:tr>
        <w:trPr>
          <w:trHeight w:val="171"/>
        </w:trPr>
        <w:tc>
          <w:tcPr>
            <w:tcW w:w="1500" w:type="dxa"/>
            <w:vAlign w:val="bottom"/>
            <w:gridSpan w:val="2"/>
          </w:tcPr>
          <w:p>
            <w:pPr>
              <w:ind w:left="40"/>
              <w:spacing w:after="0"/>
              <w:rPr>
                <w:sz w:val="20"/>
                <w:szCs w:val="20"/>
                <w:color w:val="auto"/>
              </w:rPr>
            </w:pPr>
            <w:r>
              <w:rPr>
                <w:rFonts w:ascii="Arial" w:cs="Arial" w:eastAsia="Arial" w:hAnsi="Arial"/>
                <w:sz w:val="13"/>
                <w:szCs w:val="13"/>
                <w:color w:val="auto"/>
              </w:rPr>
              <w:t>April 21, 2025</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May 15, 2025</w:t>
            </w:r>
          </w:p>
        </w:tc>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June 5, 2025</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496"/>
              <w:spacing w:after="0"/>
              <w:rPr>
                <w:sz w:val="20"/>
                <w:szCs w:val="20"/>
                <w:color w:val="auto"/>
              </w:rPr>
            </w:pPr>
            <w:r>
              <w:rPr>
                <w:rFonts w:ascii="Arial" w:cs="Arial" w:eastAsia="Arial" w:hAnsi="Arial"/>
                <w:sz w:val="13"/>
                <w:szCs w:val="13"/>
                <w:color w:val="auto"/>
              </w:rPr>
              <w:t>0.10</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440" w:type="dxa"/>
            <w:vAlign w:val="bottom"/>
          </w:tcPr>
          <w:p>
            <w:pPr>
              <w:ind w:left="420"/>
              <w:spacing w:after="0"/>
              <w:rPr>
                <w:sz w:val="20"/>
                <w:szCs w:val="20"/>
                <w:color w:val="auto"/>
              </w:rPr>
            </w:pPr>
            <w:r>
              <w:rPr>
                <w:rFonts w:ascii="Arial" w:cs="Arial" w:eastAsia="Arial" w:hAnsi="Arial"/>
                <w:sz w:val="13"/>
                <w:szCs w:val="13"/>
                <w:color w:val="auto"/>
              </w:rPr>
              <w:t>2.0 million</w:t>
            </w:r>
          </w:p>
        </w:tc>
      </w:tr>
      <w:tr>
        <w:trPr>
          <w:trHeight w:val="171"/>
        </w:trPr>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July 21, 2025</w:t>
            </w: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August 15, 2025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September 5, 2025</w:t>
            </w:r>
          </w:p>
        </w:tc>
        <w:tc>
          <w:tcPr>
            <w:tcW w:w="80" w:type="dxa"/>
            <w:vAlign w:val="bottom"/>
            <w:gridSpan w:val="2"/>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0.10</w:t>
            </w:r>
          </w:p>
        </w:tc>
        <w:tc>
          <w:tcPr>
            <w:tcW w:w="100" w:type="dxa"/>
            <w:vAlign w:val="bottom"/>
            <w:gridSpan w:val="2"/>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4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2.0 million</w:t>
            </w:r>
          </w:p>
        </w:tc>
      </w:tr>
      <w:tr>
        <w:trPr>
          <w:trHeight w:val="189"/>
        </w:trPr>
        <w:tc>
          <w:tcPr>
            <w:tcW w:w="1500" w:type="dxa"/>
            <w:vAlign w:val="bottom"/>
            <w:gridSpan w:val="2"/>
          </w:tcPr>
          <w:p>
            <w:pPr>
              <w:ind w:left="40"/>
              <w:spacing w:after="0"/>
              <w:rPr>
                <w:sz w:val="20"/>
                <w:szCs w:val="20"/>
                <w:color w:val="auto"/>
              </w:rPr>
            </w:pPr>
            <w:r>
              <w:rPr>
                <w:rFonts w:ascii="Arial" w:cs="Arial" w:eastAsia="Arial" w:hAnsi="Arial"/>
                <w:sz w:val="13"/>
                <w:szCs w:val="13"/>
                <w:color w:val="auto"/>
              </w:rPr>
              <w:t>October 20, 2025</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November 14, 2025</w:t>
            </w:r>
          </w:p>
        </w:tc>
        <w:tc>
          <w:tcPr>
            <w:tcW w:w="20" w:type="dxa"/>
            <w:vAlign w:val="bottom"/>
          </w:tcPr>
          <w:p>
            <w:pPr>
              <w:spacing w:after="0"/>
              <w:rPr>
                <w:sz w:val="16"/>
                <w:szCs w:val="16"/>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December 5, 2025</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496"/>
              <w:spacing w:after="0"/>
              <w:rPr>
                <w:sz w:val="20"/>
                <w:szCs w:val="20"/>
                <w:color w:val="auto"/>
              </w:rPr>
            </w:pPr>
            <w:r>
              <w:rPr>
                <w:rFonts w:ascii="Arial" w:cs="Arial" w:eastAsia="Arial" w:hAnsi="Arial"/>
                <w:sz w:val="13"/>
                <w:szCs w:val="13"/>
                <w:color w:val="auto"/>
              </w:rPr>
              <w:t>0.10</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440" w:type="dxa"/>
            <w:vAlign w:val="bottom"/>
          </w:tcPr>
          <w:p>
            <w:pPr>
              <w:ind w:left="420"/>
              <w:spacing w:after="0"/>
              <w:rPr>
                <w:sz w:val="20"/>
                <w:szCs w:val="20"/>
                <w:color w:val="auto"/>
              </w:rPr>
            </w:pPr>
            <w:r>
              <w:rPr>
                <w:rFonts w:ascii="Arial" w:cs="Arial" w:eastAsia="Arial" w:hAnsi="Arial"/>
                <w:sz w:val="13"/>
                <w:szCs w:val="13"/>
                <w:color w:val="auto"/>
              </w:rPr>
              <w:t>1.8 million</w:t>
            </w:r>
          </w:p>
        </w:tc>
      </w:tr>
    </w:tbl>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2"/>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1"/>
        </w:trPr>
        <w:tc>
          <w:tcPr>
            <w:tcW w:w="150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Declaration Date</w:t>
            </w:r>
          </w:p>
        </w:tc>
        <w:tc>
          <w:tcPr>
            <w:tcW w:w="1480" w:type="dxa"/>
            <w:vAlign w:val="bottom"/>
            <w:tcBorders>
              <w:top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Record Date</w:t>
            </w:r>
          </w:p>
        </w:tc>
        <w:tc>
          <w:tcPr>
            <w:tcW w:w="20" w:type="dxa"/>
            <w:vAlign w:val="bottom"/>
          </w:tcPr>
          <w:p>
            <w:pPr>
              <w:spacing w:after="0"/>
              <w:rPr>
                <w:sz w:val="14"/>
                <w:szCs w:val="14"/>
                <w:color w:val="auto"/>
              </w:rPr>
            </w:pPr>
          </w:p>
        </w:tc>
        <w:tc>
          <w:tcPr>
            <w:tcW w:w="1400" w:type="dxa"/>
            <w:vAlign w:val="bottom"/>
            <w:tcBorders>
              <w:top w:val="single" w:sz="8" w:color="auto"/>
            </w:tcBorders>
          </w:tcPr>
          <w:p>
            <w:pPr>
              <w:ind w:left="280"/>
              <w:spacing w:after="0"/>
              <w:rPr>
                <w:sz w:val="20"/>
                <w:szCs w:val="20"/>
                <w:color w:val="auto"/>
              </w:rPr>
            </w:pPr>
            <w:r>
              <w:rPr>
                <w:rFonts w:ascii="Arial" w:cs="Arial" w:eastAsia="Arial" w:hAnsi="Arial"/>
                <w:sz w:val="13"/>
                <w:szCs w:val="13"/>
                <w:b w:val="1"/>
                <w:bCs w:val="1"/>
                <w:color w:val="auto"/>
              </w:rPr>
              <w:t>Payment Date</w:t>
            </w: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Dividend Per Share</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Dividend Amount</w:t>
            </w:r>
          </w:p>
        </w:tc>
      </w:tr>
      <w:tr>
        <w:trPr>
          <w:trHeight w:val="161"/>
        </w:trPr>
        <w:tc>
          <w:tcPr>
            <w:tcW w:w="1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January 22, 2024</w:t>
            </w:r>
          </w:p>
        </w:tc>
        <w:tc>
          <w:tcPr>
            <w:tcW w:w="6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February 15, 2024</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March 5, 2024</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0.05</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4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1.0 million</w:t>
            </w:r>
          </w:p>
        </w:tc>
      </w:tr>
      <w:tr>
        <w:trPr>
          <w:trHeight w:val="171"/>
        </w:trPr>
        <w:tc>
          <w:tcPr>
            <w:tcW w:w="1500" w:type="dxa"/>
            <w:vAlign w:val="bottom"/>
            <w:gridSpan w:val="2"/>
          </w:tcPr>
          <w:p>
            <w:pPr>
              <w:ind w:left="40"/>
              <w:spacing w:after="0"/>
              <w:rPr>
                <w:sz w:val="20"/>
                <w:szCs w:val="20"/>
                <w:color w:val="auto"/>
              </w:rPr>
            </w:pPr>
            <w:r>
              <w:rPr>
                <w:rFonts w:ascii="Arial" w:cs="Arial" w:eastAsia="Arial" w:hAnsi="Arial"/>
                <w:sz w:val="13"/>
                <w:szCs w:val="13"/>
                <w:color w:val="auto"/>
              </w:rPr>
              <w:t>April 22, 2024</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May 15, 2024</w:t>
            </w:r>
          </w:p>
        </w:tc>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June 5, 2024</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496"/>
              <w:spacing w:after="0"/>
              <w:rPr>
                <w:sz w:val="20"/>
                <w:szCs w:val="20"/>
                <w:color w:val="auto"/>
              </w:rPr>
            </w:pPr>
            <w:r>
              <w:rPr>
                <w:rFonts w:ascii="Arial" w:cs="Arial" w:eastAsia="Arial" w:hAnsi="Arial"/>
                <w:sz w:val="13"/>
                <w:szCs w:val="13"/>
                <w:color w:val="auto"/>
              </w:rPr>
              <w:t>0.05</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440" w:type="dxa"/>
            <w:vAlign w:val="bottom"/>
          </w:tcPr>
          <w:p>
            <w:pPr>
              <w:ind w:left="420"/>
              <w:spacing w:after="0"/>
              <w:rPr>
                <w:sz w:val="20"/>
                <w:szCs w:val="20"/>
                <w:color w:val="auto"/>
              </w:rPr>
            </w:pPr>
            <w:r>
              <w:rPr>
                <w:rFonts w:ascii="Arial" w:cs="Arial" w:eastAsia="Arial" w:hAnsi="Arial"/>
                <w:sz w:val="13"/>
                <w:szCs w:val="13"/>
                <w:color w:val="auto"/>
              </w:rPr>
              <w:t>1.0 million</w:t>
            </w:r>
          </w:p>
        </w:tc>
      </w:tr>
      <w:tr>
        <w:trPr>
          <w:trHeight w:val="171"/>
        </w:trPr>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July 22, 2024</w:t>
            </w: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August 15, 2024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September 5, 2024</w:t>
            </w:r>
          </w:p>
        </w:tc>
        <w:tc>
          <w:tcPr>
            <w:tcW w:w="80" w:type="dxa"/>
            <w:vAlign w:val="bottom"/>
            <w:gridSpan w:val="2"/>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0.05</w:t>
            </w:r>
          </w:p>
        </w:tc>
        <w:tc>
          <w:tcPr>
            <w:tcW w:w="100" w:type="dxa"/>
            <w:vAlign w:val="bottom"/>
            <w:gridSpan w:val="2"/>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4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1.0 million</w:t>
            </w:r>
          </w:p>
        </w:tc>
      </w:tr>
      <w:tr>
        <w:trPr>
          <w:trHeight w:val="189"/>
        </w:trPr>
        <w:tc>
          <w:tcPr>
            <w:tcW w:w="1500" w:type="dxa"/>
            <w:vAlign w:val="bottom"/>
            <w:gridSpan w:val="2"/>
          </w:tcPr>
          <w:p>
            <w:pPr>
              <w:ind w:left="40"/>
              <w:spacing w:after="0"/>
              <w:rPr>
                <w:sz w:val="20"/>
                <w:szCs w:val="20"/>
                <w:color w:val="auto"/>
              </w:rPr>
            </w:pPr>
            <w:r>
              <w:rPr>
                <w:rFonts w:ascii="Arial" w:cs="Arial" w:eastAsia="Arial" w:hAnsi="Arial"/>
                <w:sz w:val="13"/>
                <w:szCs w:val="13"/>
                <w:color w:val="auto"/>
              </w:rPr>
              <w:t>October 28, 2024</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November 15, 2024</w:t>
            </w:r>
          </w:p>
        </w:tc>
        <w:tc>
          <w:tcPr>
            <w:tcW w:w="20" w:type="dxa"/>
            <w:vAlign w:val="bottom"/>
          </w:tcPr>
          <w:p>
            <w:pPr>
              <w:spacing w:after="0"/>
              <w:rPr>
                <w:sz w:val="16"/>
                <w:szCs w:val="16"/>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December 5, 2024</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496"/>
              <w:spacing w:after="0"/>
              <w:rPr>
                <w:sz w:val="20"/>
                <w:szCs w:val="20"/>
                <w:color w:val="auto"/>
              </w:rPr>
            </w:pPr>
            <w:r>
              <w:rPr>
                <w:rFonts w:ascii="Arial" w:cs="Arial" w:eastAsia="Arial" w:hAnsi="Arial"/>
                <w:sz w:val="13"/>
                <w:szCs w:val="13"/>
                <w:color w:val="auto"/>
              </w:rPr>
              <w:t>0.05</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1440" w:type="dxa"/>
            <w:vAlign w:val="bottom"/>
          </w:tcPr>
          <w:p>
            <w:pPr>
              <w:ind w:left="420"/>
              <w:spacing w:after="0"/>
              <w:rPr>
                <w:sz w:val="20"/>
                <w:szCs w:val="20"/>
                <w:color w:val="auto"/>
              </w:rPr>
            </w:pPr>
            <w:r>
              <w:rPr>
                <w:rFonts w:ascii="Arial" w:cs="Arial" w:eastAsia="Arial" w:hAnsi="Arial"/>
                <w:sz w:val="13"/>
                <w:szCs w:val="13"/>
                <w:color w:val="auto"/>
              </w:rPr>
              <w:t>0.9 million</w:t>
            </w:r>
          </w:p>
        </w:tc>
      </w:tr>
    </w:tbl>
    <w:p>
      <w:pPr>
        <w:spacing w:after="0" w:line="29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December 31, 2025 and December 31, 2024. At December 31, 2025, the total risk-based capital ratios for the Company and the Bank were 13.91% and 13.67%, respectively.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21, “Subsequent Events”, for information regarding dividends declared in January 2026.</w:t>
      </w:r>
    </w:p>
    <w:p>
      <w:pPr>
        <w:spacing w:after="0" w:line="340" w:lineRule="exact"/>
        <w:rPr>
          <w:sz w:val="20"/>
          <w:szCs w:val="20"/>
          <w:color w:val="auto"/>
        </w:rPr>
      </w:pPr>
    </w:p>
    <w:p>
      <w:pPr>
        <w:ind w:left="1060" w:hanging="397"/>
        <w:spacing w:after="0"/>
        <w:tabs>
          <w:tab w:leader="none" w:pos="10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2"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 ve.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net income available to common stockholders for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2025 and 2024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For the years ended December 31,</w:t>
            </w:r>
          </w:p>
        </w:tc>
      </w:tr>
      <w:tr>
        <w:trPr>
          <w:trHeight w:val="161"/>
        </w:trPr>
        <w:tc>
          <w:tcPr>
            <w:tcW w:w="4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26,100</w:t>
            </w:r>
          </w:p>
        </w:tc>
        <w:tc>
          <w:tcPr>
            <w:tcW w:w="80" w:type="dxa"/>
            <w:vAlign w:val="bottom"/>
            <w:gridSpan w:val="2"/>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24,674</w:t>
            </w:r>
          </w:p>
        </w:tc>
      </w:tr>
      <w:tr>
        <w:trPr>
          <w:trHeight w:val="161"/>
        </w:trPr>
        <w:tc>
          <w:tcPr>
            <w:tcW w:w="4800" w:type="dxa"/>
            <w:vAlign w:val="bottom"/>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26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1160" w:type="dxa"/>
            <w:vAlign w:val="bottom"/>
          </w:tcPr>
          <w:p>
            <w:pPr>
              <w:ind w:left="740"/>
              <w:spacing w:after="0"/>
              <w:rPr>
                <w:sz w:val="20"/>
                <w:szCs w:val="20"/>
                <w:color w:val="auto"/>
              </w:rPr>
            </w:pPr>
            <w:r>
              <w:rPr>
                <w:rFonts w:ascii="Arial" w:cs="Arial" w:eastAsia="Arial" w:hAnsi="Arial"/>
                <w:sz w:val="13"/>
                <w:szCs w:val="13"/>
                <w:color w:val="auto"/>
              </w:rPr>
              <w:t>26,100</w:t>
            </w:r>
          </w:p>
        </w:tc>
        <w:tc>
          <w:tcPr>
            <w:tcW w:w="380" w:type="dxa"/>
            <w:vAlign w:val="bottom"/>
            <w:gridSpan w:val="3"/>
          </w:tcPr>
          <w:p>
            <w:pPr>
              <w:jc w:val="right"/>
              <w:ind w:right="192"/>
              <w:spacing w:after="0"/>
              <w:rPr>
                <w:sz w:val="20"/>
                <w:szCs w:val="20"/>
                <w:color w:val="auto"/>
              </w:rPr>
            </w:pPr>
            <w:r>
              <w:rPr>
                <w:rFonts w:ascii="Arial" w:cs="Arial" w:eastAsia="Arial" w:hAnsi="Arial"/>
                <w:sz w:val="13"/>
                <w:szCs w:val="13"/>
                <w:color w:val="auto"/>
              </w:rPr>
              <w:t>$</w:t>
            </w:r>
          </w:p>
        </w:tc>
        <w:tc>
          <w:tcPr>
            <w:tcW w:w="1100" w:type="dxa"/>
            <w:vAlign w:val="bottom"/>
          </w:tcPr>
          <w:p>
            <w:pPr>
              <w:ind w:left="660"/>
              <w:spacing w:after="0"/>
              <w:rPr>
                <w:sz w:val="20"/>
                <w:szCs w:val="20"/>
                <w:color w:val="auto"/>
              </w:rPr>
            </w:pPr>
            <w:r>
              <w:rPr>
                <w:rFonts w:ascii="Arial" w:cs="Arial" w:eastAsia="Arial" w:hAnsi="Arial"/>
                <w:sz w:val="13"/>
                <w:szCs w:val="13"/>
                <w:color w:val="auto"/>
              </w:rPr>
              <w:t>24,674</w:t>
            </w: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7" w:name="page118"/>
    <w:bookmarkEnd w:id="1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basic and diluted earnings per common share class for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2025 and 2024 (in thousands, except per share amounts):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8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3"/>
                <w:szCs w:val="13"/>
                <w:b w:val="1"/>
                <w:bCs w:val="1"/>
                <w:color w:val="auto"/>
                <w:w w:val="99"/>
              </w:rPr>
              <w:t>As of and for the years ended December 31,</w:t>
            </w:r>
          </w:p>
        </w:tc>
      </w:tr>
      <w:tr>
        <w:trPr>
          <w:trHeight w:val="151"/>
        </w:trPr>
        <w:tc>
          <w:tcPr>
            <w:tcW w:w="4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3"/>
                <w:szCs w:val="13"/>
                <w:color w:val="auto"/>
              </w:rPr>
            </w:pPr>
          </w:p>
        </w:tc>
      </w:tr>
      <w:tr>
        <w:trPr>
          <w:trHeight w:val="161"/>
        </w:trPr>
        <w:tc>
          <w:tcPr>
            <w:tcW w:w="43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Class A</w:t>
            </w:r>
          </w:p>
        </w:tc>
      </w:tr>
      <w:tr>
        <w:trPr>
          <w:trHeight w:val="151"/>
        </w:trPr>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580" w:type="dxa"/>
            <w:vAlign w:val="bottom"/>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r>
      <w:tr>
        <w:trPr>
          <w:trHeight w:val="151"/>
        </w:trPr>
        <w:tc>
          <w:tcPr>
            <w:tcW w:w="4340" w:type="dxa"/>
            <w:vAlign w:val="bottom"/>
          </w:tcPr>
          <w:p>
            <w:pPr>
              <w:spacing w:after="0"/>
              <w:rPr>
                <w:sz w:val="20"/>
                <w:szCs w:val="20"/>
                <w:color w:val="auto"/>
              </w:rPr>
            </w:pPr>
            <w:r>
              <w:rPr>
                <w:rFonts w:ascii="Arial" w:cs="Arial" w:eastAsia="Arial" w:hAnsi="Arial"/>
                <w:sz w:val="13"/>
                <w:szCs w:val="13"/>
                <w:color w:val="auto"/>
              </w:rPr>
              <w:t>Numerator:</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1"/>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580" w:type="dxa"/>
            <w:vAlign w:val="bottom"/>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26,100</w:t>
            </w:r>
          </w:p>
        </w:tc>
        <w:tc>
          <w:tcPr>
            <w:tcW w:w="40" w:type="dxa"/>
            <w:vAlign w:val="bottom"/>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24,674</w:t>
            </w:r>
          </w:p>
        </w:tc>
        <w:tc>
          <w:tcPr>
            <w:tcW w:w="60" w:type="dxa"/>
            <w:vAlign w:val="bottom"/>
            <w:shd w:val="clear" w:color="auto" w:fill="CCEEFF"/>
          </w:tcPr>
          <w:p>
            <w:pPr>
              <w:spacing w:after="0"/>
              <w:rPr>
                <w:sz w:val="14"/>
                <w:szCs w:val="14"/>
                <w:color w:val="auto"/>
              </w:rPr>
            </w:pPr>
          </w:p>
        </w:tc>
      </w:tr>
      <w:tr>
        <w:trPr>
          <w:trHeight w:val="151"/>
        </w:trPr>
        <w:tc>
          <w:tcPr>
            <w:tcW w:w="4340" w:type="dxa"/>
            <w:vAlign w:val="bottom"/>
          </w:tcPr>
          <w:p>
            <w:pPr>
              <w:spacing w:after="0"/>
              <w:rPr>
                <w:sz w:val="20"/>
                <w:szCs w:val="20"/>
                <w:color w:val="auto"/>
              </w:rPr>
            </w:pPr>
            <w:r>
              <w:rPr>
                <w:rFonts w:ascii="Arial" w:cs="Arial" w:eastAsia="Arial" w:hAnsi="Arial"/>
                <w:sz w:val="13"/>
                <w:szCs w:val="13"/>
                <w:color w:val="auto"/>
              </w:rPr>
              <w:t>Denominator:</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1"/>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5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19,425,746</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19,675,444</w:t>
            </w:r>
          </w:p>
        </w:tc>
        <w:tc>
          <w:tcPr>
            <w:tcW w:w="60" w:type="dxa"/>
            <w:vAlign w:val="bottom"/>
            <w:tcBorders>
              <w:bottom w:val="single" w:sz="8" w:color="auto"/>
            </w:tcBorders>
            <w:shd w:val="clear" w:color="auto" w:fill="CCEEFF"/>
          </w:tcPr>
          <w:p>
            <w:pPr>
              <w:spacing w:after="0"/>
              <w:rPr>
                <w:sz w:val="14"/>
                <w:szCs w:val="14"/>
                <w:color w:val="auto"/>
              </w:rPr>
            </w:pPr>
          </w:p>
        </w:tc>
      </w:tr>
      <w:tr>
        <w:trPr>
          <w:trHeight w:val="212"/>
        </w:trPr>
        <w:tc>
          <w:tcPr>
            <w:tcW w:w="434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1.34</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1.25</w:t>
            </w:r>
          </w:p>
        </w:tc>
        <w:tc>
          <w:tcPr>
            <w:tcW w:w="60" w:type="dxa"/>
            <w:vAlign w:val="bottom"/>
          </w:tcPr>
          <w:p>
            <w:pPr>
              <w:spacing w:after="0"/>
              <w:rPr>
                <w:sz w:val="18"/>
                <w:szCs w:val="18"/>
                <w:color w:val="auto"/>
              </w:rPr>
            </w:pPr>
          </w:p>
        </w:tc>
      </w:tr>
      <w:tr>
        <w:trPr>
          <w:trHeight w:val="153"/>
        </w:trPr>
        <w:tc>
          <w:tcPr>
            <w:tcW w:w="43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r>
      <w:tr>
        <w:trPr>
          <w:trHeight w:val="171"/>
        </w:trPr>
        <w:tc>
          <w:tcPr>
            <w:tcW w:w="434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434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3"/>
                <w:szCs w:val="13"/>
                <w:color w:val="auto"/>
              </w:rPr>
              <w:t>26,100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color w:val="auto"/>
              </w:rPr>
              <w:t>24,674</w:t>
            </w:r>
          </w:p>
        </w:tc>
      </w:tr>
      <w:tr>
        <w:trPr>
          <w:trHeight w:val="171"/>
        </w:trPr>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434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3"/>
                <w:szCs w:val="13"/>
                <w:color w:val="auto"/>
              </w:rPr>
              <w:t>19,425,746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3"/>
                <w:szCs w:val="13"/>
                <w:color w:val="auto"/>
              </w:rPr>
              <w:t>19,675,444</w:t>
            </w:r>
          </w:p>
        </w:tc>
      </w:tr>
      <w:tr>
        <w:trPr>
          <w:trHeight w:val="171"/>
        </w:trPr>
        <w:tc>
          <w:tcPr>
            <w:tcW w:w="4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5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225,068</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155,977</w:t>
            </w:r>
          </w:p>
        </w:tc>
        <w:tc>
          <w:tcPr>
            <w:tcW w:w="60" w:type="dxa"/>
            <w:vAlign w:val="bottom"/>
            <w:tcBorders>
              <w:bottom w:val="single" w:sz="8" w:color="auto"/>
            </w:tcBorders>
            <w:shd w:val="clear" w:color="auto" w:fill="CCEEFF"/>
          </w:tcPr>
          <w:p>
            <w:pPr>
              <w:spacing w:after="0"/>
              <w:rPr>
                <w:sz w:val="14"/>
                <w:szCs w:val="14"/>
                <w:color w:val="auto"/>
              </w:rPr>
            </w:pPr>
          </w:p>
        </w:tc>
      </w:tr>
      <w:tr>
        <w:trPr>
          <w:trHeight w:val="172"/>
        </w:trPr>
        <w:tc>
          <w:tcPr>
            <w:tcW w:w="4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19,650,814</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19,831,421</w:t>
            </w:r>
          </w:p>
        </w:tc>
      </w:tr>
      <w:tr>
        <w:trPr>
          <w:trHeight w:val="161"/>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60" w:type="dxa"/>
            <w:vAlign w:val="bottom"/>
            <w:tcBorders>
              <w:bottom w:val="single" w:sz="8" w:color="auto"/>
            </w:tcBorders>
            <w:shd w:val="clear" w:color="auto" w:fill="CCEEFF"/>
          </w:tcPr>
          <w:p>
            <w:pPr>
              <w:spacing w:after="0"/>
              <w:rPr>
                <w:sz w:val="14"/>
                <w:szCs w:val="14"/>
                <w:color w:val="auto"/>
              </w:rPr>
            </w:pPr>
          </w:p>
        </w:tc>
      </w:tr>
      <w:tr>
        <w:trPr>
          <w:trHeight w:val="20"/>
        </w:trPr>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153"/>
        </w:trPr>
        <w:tc>
          <w:tcPr>
            <w:tcW w:w="4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spacing w:after="0"/>
              <w:rPr>
                <w:sz w:val="13"/>
                <w:szCs w:val="13"/>
                <w:color w:val="auto"/>
              </w:rPr>
            </w:pPr>
          </w:p>
        </w:tc>
      </w:tr>
      <w:tr>
        <w:trPr>
          <w:trHeight w:val="181"/>
        </w:trPr>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60" w:type="dxa"/>
            <w:vAlign w:val="bottom"/>
            <w:shd w:val="clear" w:color="auto" w:fill="CCEEFF"/>
          </w:tcPr>
          <w:p>
            <w:pPr>
              <w:spacing w:after="0"/>
              <w:rPr>
                <w:sz w:val="15"/>
                <w:szCs w:val="15"/>
                <w:color w:val="auto"/>
              </w:rPr>
            </w:pPr>
          </w:p>
        </w:tc>
      </w:tr>
    </w:tbl>
    <w:p>
      <w:pPr>
        <w:spacing w:after="0" w:line="175" w:lineRule="exact"/>
        <w:rPr>
          <w:sz w:val="20"/>
          <w:szCs w:val="20"/>
          <w:color w:val="auto"/>
        </w:rPr>
      </w:pPr>
    </w:p>
    <w:p>
      <w:pPr>
        <w:jc w:val="both"/>
        <w:ind w:left="660" w:right="679"/>
        <w:spacing w:after="0" w:line="264"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 because the amounts that would be allocated are not material to earnings per share of common stock. Unvested restricted stock awards that are participating securities represent less than one percent of all of the outstanding shares of common stock for each of the periods presented.</w:t>
      </w:r>
    </w:p>
    <w:p>
      <w:pPr>
        <w:spacing w:after="0" w:line="247" w:lineRule="exact"/>
        <w:rPr>
          <w:sz w:val="20"/>
          <w:szCs w:val="20"/>
          <w:color w:val="auto"/>
        </w:rPr>
      </w:pPr>
    </w:p>
    <w:p>
      <w:pPr>
        <w:ind w:left="1060" w:hanging="397"/>
        <w:spacing w:after="0"/>
        <w:tabs>
          <w:tab w:leader="none" w:pos="10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02"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Company’s and the Bank’s capital amounts and classification are also subject to qualitative judgments by the regulators about components, risk weightings, and other factors.</w:t>
      </w:r>
    </w:p>
    <w:p>
      <w:pPr>
        <w:spacing w:after="0" w:line="141"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regulatory capital measurements independent of the Bank.</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Bank elected to permanently opt-out of the inclusion of accumulated other comprehensive income in the capital calculations, as permitted by the regulations. This opt-out reduces the impact of market volatility on the Bank’s regulatory capital levels.</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 limit the ability of the Bank to pay dividends, repurchase shares or pay discretionary bonuses. At December 31, 2025 and 2024, the capital ratios for the Bank were sufficient to meet the conservation buffer.</w:t>
      </w:r>
    </w:p>
    <w:p>
      <w:pPr>
        <w:spacing w:after="0" w:line="140"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Prompt corrective action regulations provide five classifications: well capitalized, adequately capitalized, undercapitalized, significantly undercapitalized, and critically undercapitalized, although these terms are not used to</w:t>
      </w:r>
    </w:p>
    <w:p>
      <w:pPr>
        <w:spacing w:after="0" w:line="153"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8" w:name="page119"/>
    <w:bookmarkEnd w:id="1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99"/>
        <w:spacing w:after="0" w:line="265" w:lineRule="auto"/>
        <w:rPr>
          <w:sz w:val="20"/>
          <w:szCs w:val="20"/>
          <w:color w:val="auto"/>
        </w:rPr>
      </w:pPr>
      <w:r>
        <w:rPr>
          <w:rFonts w:ascii="Arial" w:cs="Arial" w:eastAsia="Arial" w:hAnsi="Arial"/>
          <w:sz w:val="14"/>
          <w:szCs w:val="14"/>
          <w:color w:val="auto"/>
        </w:rPr>
        <w:t>represent overall financial condition. If adequately capitalized, regulatory approval is required to accept brokered deposits. If undercapitalized, capital distributions are limited, as is asset growth and expansion, and capital restoration plans are required.</w:t>
      </w:r>
    </w:p>
    <w:p>
      <w:pPr>
        <w:spacing w:after="0" w:line="11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December 31, 2025 and 2024,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131"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Actual and required capital amounts and ratios are presented below for the Bank at December 31, 2025 and 2024 (in thousands, except ratios). The required amounts for capital adequacy shown do not include the capital conservation buffer previously discussed.</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4"/>
          </w:tcPr>
          <w:p>
            <w:pPr>
              <w:jc w:val="center"/>
              <w:ind w:left="16"/>
              <w:spacing w:after="0"/>
              <w:rPr>
                <w:sz w:val="20"/>
                <w:szCs w:val="20"/>
                <w:color w:val="auto"/>
              </w:rPr>
            </w:pPr>
            <w:r>
              <w:rPr>
                <w:rFonts w:ascii="Arial" w:cs="Arial" w:eastAsia="Arial" w:hAnsi="Arial"/>
                <w:sz w:val="13"/>
                <w:szCs w:val="13"/>
                <w:b w:val="1"/>
                <w:bCs w:val="1"/>
                <w:color w:val="auto"/>
                <w:w w:val="97"/>
              </w:rPr>
              <w:t>To be Well Capitalized</w:t>
            </w:r>
          </w:p>
        </w:tc>
        <w:tc>
          <w:tcPr>
            <w:tcW w:w="180" w:type="dxa"/>
            <w:vAlign w:val="bottom"/>
          </w:tcPr>
          <w:p>
            <w:pPr>
              <w:spacing w:after="0"/>
              <w:rPr>
                <w:sz w:val="13"/>
                <w:szCs w:val="13"/>
                <w:color w:val="auto"/>
              </w:rPr>
            </w:pPr>
          </w:p>
        </w:tc>
      </w:tr>
      <w:tr>
        <w:trPr>
          <w:trHeight w:val="149"/>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76"/>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6"/>
              <w:spacing w:after="0"/>
              <w:rPr>
                <w:sz w:val="20"/>
                <w:szCs w:val="20"/>
                <w:color w:val="auto"/>
              </w:rPr>
            </w:pPr>
            <w:r>
              <w:rPr>
                <w:rFonts w:ascii="Arial" w:cs="Arial" w:eastAsia="Arial" w:hAnsi="Arial"/>
                <w:sz w:val="13"/>
                <w:szCs w:val="13"/>
                <w:b w:val="1"/>
                <w:bCs w:val="1"/>
                <w:color w:val="auto"/>
                <w:w w:val="98"/>
              </w:rPr>
              <w:t>Under Prompt Corrective</w:t>
            </w:r>
          </w:p>
        </w:tc>
      </w:tr>
      <w:tr>
        <w:trPr>
          <w:trHeight w:val="149"/>
        </w:trPr>
        <w:tc>
          <w:tcPr>
            <w:tcW w:w="2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Actual</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3"/>
                <w:szCs w:val="13"/>
                <w:b w:val="1"/>
                <w:bCs w:val="1"/>
                <w:color w:val="auto"/>
              </w:rPr>
              <w:t>Requirements</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Action Provisions</w:t>
            </w:r>
          </w:p>
        </w:tc>
        <w:tc>
          <w:tcPr>
            <w:tcW w:w="180" w:type="dxa"/>
            <w:vAlign w:val="bottom"/>
            <w:tcBorders>
              <w:bottom w:val="single" w:sz="8" w:color="auto"/>
            </w:tcBorders>
          </w:tcPr>
          <w:p>
            <w:pPr>
              <w:spacing w:after="0"/>
              <w:rPr>
                <w:sz w:val="12"/>
                <w:szCs w:val="12"/>
                <w:color w:val="auto"/>
              </w:rPr>
            </w:pPr>
          </w:p>
        </w:tc>
      </w:tr>
      <w:tr>
        <w:trPr>
          <w:trHeight w:val="161"/>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440" w:type="dxa"/>
            <w:vAlign w:val="bottom"/>
          </w:tcPr>
          <w:p>
            <w:pPr>
              <w:jc w:val="right"/>
              <w:ind w:right="1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680" w:type="dxa"/>
            <w:vAlign w:val="bottom"/>
            <w:gridSpan w:val="2"/>
          </w:tcPr>
          <w:p>
            <w:pPr>
              <w:ind w:left="260"/>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r>
      <w:tr>
        <w:trPr>
          <w:trHeight w:val="161"/>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299,596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13.67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175,387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219,234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273,342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131,541</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175,387</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273,342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12.47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98,655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142,502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273,342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113,296</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141,620</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266,387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13.34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159,795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199,744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241,740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119,846</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159,795</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241,740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89,885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129,834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241,740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103,074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128,843</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17"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is limited in the amount of cash dividends that it may pay. Payment of dividends is generally limited to the Company’s net income for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including dividends to their parent holding company, if they deem such payment to be an unsafe or unsound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19" w:name="page120"/>
    <w:bookmarkEnd w:id="1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2025 and 2024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Years Ended December 31,</w:t>
            </w:r>
          </w:p>
        </w:tc>
      </w:tr>
      <w:tr>
        <w:trPr>
          <w:trHeight w:val="151"/>
        </w:trPr>
        <w:tc>
          <w:tcPr>
            <w:tcW w:w="5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2024</w:t>
            </w:r>
          </w:p>
        </w:tc>
      </w:tr>
      <w:tr>
        <w:trPr>
          <w:trHeight w:val="161"/>
        </w:trPr>
        <w:tc>
          <w:tcPr>
            <w:tcW w:w="5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1"/>
        </w:trPr>
        <w:tc>
          <w:tcPr>
            <w:tcW w:w="536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15,000</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4,551</w:t>
            </w:r>
          </w:p>
        </w:tc>
      </w:tr>
      <w:tr>
        <w:trPr>
          <w:trHeight w:val="17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1"/>
        </w:trPr>
        <w:tc>
          <w:tcPr>
            <w:tcW w:w="5360" w:type="dxa"/>
            <w:vAlign w:val="bottom"/>
          </w:tcPr>
          <w:p>
            <w:pPr>
              <w:ind w:left="100"/>
              <w:spacing w:after="0"/>
              <w:rPr>
                <w:sz w:val="20"/>
                <w:szCs w:val="20"/>
                <w:color w:val="auto"/>
              </w:rPr>
            </w:pPr>
            <w:r>
              <w:rPr>
                <w:rFonts w:ascii="Arial" w:cs="Arial" w:eastAsia="Arial" w:hAnsi="Arial"/>
                <w:sz w:val="13"/>
                <w:szCs w:val="13"/>
                <w:color w:val="auto"/>
              </w:rPr>
              <w:t>Interest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815</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bl>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Loan Purchases</w:t>
      </w:r>
    </w:p>
    <w:p>
      <w:pPr>
        <w:spacing w:after="0" w:line="16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During 2025, the Bank purchased $79.6 million of loans from entities that are deemed to be related parties. The Bank paid those entities fees of $447 thousand.</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During 2024, the Bank purchased $90.8 million of loans from entities that are deemed to be related parties. The Bank paid those entities fees of $2.7 million.</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Loan Originations</w:t>
      </w:r>
    </w:p>
    <w:p>
      <w:pPr>
        <w:spacing w:after="0" w:line="157"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During the year ended December 31, 2025, the Bank acted as the lead arranger in a $ 40.0 million syndicated loan extended to an entity deemed to be a related party. As of December 31, 2025, the Bank held an outstanding balance of $15.0 million related to this transaction. In connection with the syndication, the Bank received a 50-basis point commitment fee and will earn a 25-basis point annual servicing fee. The other two financial institutions participating in the syndication were also deemed to be related parties. Although originating loans to related parties is not part of the Company’s standard policy, this transaction was reviewed by the appropriate departments in accordance with Company procedures. Detailed analyses were presented to the Board of Directors and the Audit and Risk Committee, and all necessary approvals were obtained. Additional analysis was conducted to determine that the transaction was executed in the ordinary course of business and on arm’s-length terms, consistent with the requirements of Regulation O.</w:t>
      </w:r>
    </w:p>
    <w:p>
      <w:pPr>
        <w:spacing w:after="0" w:line="140" w:lineRule="exact"/>
        <w:rPr>
          <w:sz w:val="20"/>
          <w:szCs w:val="20"/>
          <w:color w:val="auto"/>
        </w:rPr>
      </w:pPr>
    </w:p>
    <w:p>
      <w:pPr>
        <w:jc w:val="both"/>
        <w:ind w:left="660" w:right="679" w:firstLine="256"/>
        <w:spacing w:after="0" w:line="170" w:lineRule="exact"/>
        <w:rPr>
          <w:sz w:val="20"/>
          <w:szCs w:val="20"/>
          <w:color w:val="auto"/>
        </w:rPr>
      </w:pPr>
      <w:r>
        <w:rPr>
          <w:rFonts w:ascii="Arial" w:cs="Arial" w:eastAsia="Arial" w:hAnsi="Arial"/>
          <w:sz w:val="14"/>
          <w:szCs w:val="14"/>
          <w:color w:val="auto"/>
        </w:rPr>
        <w:t>During the year ended December 31, 2025, the Bank participated in two loans totaling $ 21.3 million with an entity that is considered a related party, for which the Bank was not the lead arranger. The underlying borrowers were not related parties. Under the terms of the participation agreements, the Bank pays the related</w:t>
      </w:r>
      <w:r>
        <w:rPr>
          <w:rFonts w:ascii="MS PGothic" w:cs="MS PGothic" w:eastAsia="MS PGothic" w:hAnsi="MS PGothic"/>
          <w:sz w:val="14"/>
          <w:szCs w:val="14"/>
          <w:color w:val="auto"/>
        </w:rPr>
        <w:t>‑</w:t>
      </w:r>
      <w:r>
        <w:rPr>
          <w:rFonts w:ascii="Arial" w:cs="Arial" w:eastAsia="Arial" w:hAnsi="Arial"/>
          <w:sz w:val="14"/>
          <w:szCs w:val="14"/>
          <w:color w:val="auto"/>
        </w:rPr>
        <w:t>party entity a servicing fee equal to 8 basis points, calculated on the declining monthly outstanding balance of the loans.</w:t>
      </w:r>
    </w:p>
    <w:p>
      <w:pPr>
        <w:spacing w:after="0" w:line="145"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There were no loan originations or syndications extended to entities deemed to be related parties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0" w:name="page121"/>
    <w:bookmarkEnd w:id="1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PARENT COMPANY CONDENSED FINANCIAL INFORMATION</w:t>
      </w:r>
    </w:p>
    <w:p>
      <w:pPr>
        <w:spacing w:after="0" w:line="202"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December 2021, USCB Financial Holdings, Inc. was formed as the parent bank holding company of U.S. Century Bank. The condensed balance sheet is presented below for USCB Financial Holdings, Inc. at the dates indicated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99"/>
              </w:rPr>
              <w:t>December 31, 2025</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2024</w:t>
            </w:r>
          </w:p>
        </w:tc>
      </w:tr>
      <w:tr>
        <w:trPr>
          <w:trHeight w:val="15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3"/>
                <w:szCs w:val="13"/>
                <w:color w:val="auto"/>
              </w:rPr>
              <w:t>6,773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3,735</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in bank subsidiary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248,230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210,253</w:t>
            </w:r>
          </w:p>
        </w:tc>
      </w:tr>
      <w:tr>
        <w:trPr>
          <w:trHeight w:val="171"/>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assets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2,624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1,400</w:t>
            </w:r>
          </w:p>
        </w:tc>
      </w:tr>
      <w:tr>
        <w:trPr>
          <w:trHeight w:val="172"/>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257,627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215,388</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Subordinated notes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3"/>
                <w:szCs w:val="13"/>
                <w:color w:val="auto"/>
              </w:rPr>
              <w:t>39,300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and other liabilities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1,144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Stockholders' equity</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217,183</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215,388</w:t>
            </w:r>
          </w:p>
        </w:tc>
      </w:tr>
      <w:tr>
        <w:trPr>
          <w:trHeight w:val="172"/>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257,627</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215,388</w:t>
            </w: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condensed income statement is presented below for USCB Financial Holdings, Inc. for the periods indicated (in thousands):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Years Ended</w:t>
            </w:r>
          </w:p>
        </w:tc>
      </w:tr>
      <w:tr>
        <w:trPr>
          <w:trHeight w:val="161"/>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December 31, 2025</w:t>
            </w:r>
          </w:p>
        </w:tc>
        <w:tc>
          <w:tcPr>
            <w:tcW w:w="100" w:type="dxa"/>
            <w:vAlign w:val="bottom"/>
          </w:tcPr>
          <w:p>
            <w:pPr>
              <w:spacing w:after="0"/>
              <w:rPr>
                <w:sz w:val="14"/>
                <w:szCs w:val="14"/>
                <w:color w:val="auto"/>
              </w:rPr>
            </w:pPr>
          </w:p>
        </w:tc>
        <w:tc>
          <w:tcPr>
            <w:tcW w:w="132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December 31, 2024</w:t>
            </w:r>
          </w:p>
        </w:tc>
      </w:tr>
      <w:tr>
        <w:trPr>
          <w:trHeight w:val="151"/>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INCOME:</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Dividends from subsidiaries</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ind w:left="960"/>
              <w:spacing w:after="0"/>
              <w:rPr>
                <w:sz w:val="20"/>
                <w:szCs w:val="20"/>
                <w:color w:val="auto"/>
              </w:rPr>
            </w:pPr>
            <w:r>
              <w:rPr>
                <w:rFonts w:ascii="Arial" w:cs="Arial" w:eastAsia="Arial" w:hAnsi="Arial"/>
                <w:sz w:val="13"/>
                <w:szCs w:val="13"/>
                <w:color w:val="auto"/>
                <w:w w:val="98"/>
              </w:rPr>
              <w:t>6,000</w:t>
            </w:r>
          </w:p>
        </w:tc>
        <w:tc>
          <w:tcPr>
            <w:tcW w:w="6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161"/>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gridSpan w:val="2"/>
            <w:shd w:val="clear" w:color="auto" w:fill="CCEEFF"/>
          </w:tcPr>
          <w:p>
            <w:pPr>
              <w:ind w:left="960"/>
              <w:spacing w:after="0"/>
              <w:rPr>
                <w:sz w:val="20"/>
                <w:szCs w:val="20"/>
                <w:color w:val="auto"/>
              </w:rPr>
            </w:pPr>
            <w:r>
              <w:rPr>
                <w:rFonts w:ascii="Arial" w:cs="Arial" w:eastAsia="Arial" w:hAnsi="Arial"/>
                <w:sz w:val="13"/>
                <w:szCs w:val="13"/>
                <w:color w:val="auto"/>
                <w:w w:val="98"/>
              </w:rPr>
              <w:t>6,000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r>
      <w:tr>
        <w:trPr>
          <w:trHeight w:val="161"/>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Interest expense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960"/>
              <w:spacing w:after="0"/>
              <w:rPr>
                <w:sz w:val="20"/>
                <w:szCs w:val="20"/>
                <w:color w:val="auto"/>
              </w:rPr>
            </w:pPr>
            <w:r>
              <w:rPr>
                <w:rFonts w:ascii="Arial" w:cs="Arial" w:eastAsia="Arial" w:hAnsi="Arial"/>
                <w:sz w:val="13"/>
                <w:szCs w:val="13"/>
                <w:color w:val="auto"/>
                <w:w w:val="98"/>
              </w:rPr>
              <w:t>1,205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Employee compensation and benefits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ind w:left="940"/>
              <w:spacing w:after="0"/>
              <w:rPr>
                <w:sz w:val="20"/>
                <w:szCs w:val="20"/>
                <w:color w:val="auto"/>
              </w:rPr>
            </w:pPr>
            <w:r>
              <w:rPr>
                <w:rFonts w:ascii="Arial" w:cs="Arial" w:eastAsia="Arial" w:hAnsi="Arial"/>
                <w:sz w:val="13"/>
                <w:szCs w:val="13"/>
                <w:color w:val="auto"/>
                <w:w w:val="98"/>
              </w:rPr>
              <w:t>3,005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w:t>
            </w:r>
          </w:p>
        </w:tc>
      </w:tr>
      <w:tr>
        <w:trPr>
          <w:trHeight w:val="171"/>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operating</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622</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w:t>
            </w: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3"/>
                <w:szCs w:val="13"/>
                <w:color w:val="auto"/>
                <w:w w:val="98"/>
              </w:rPr>
              <w:t>4,832</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2,699</w:t>
            </w:r>
          </w:p>
        </w:tc>
      </w:tr>
      <w:tr>
        <w:trPr>
          <w:trHeight w:val="151"/>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 and undistributed subsidiary 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w w:val="98"/>
              </w:rPr>
              <w:t>1,168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w:t>
            </w: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Benefit from income taxes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3"/>
                <w:szCs w:val="13"/>
                <w:color w:val="auto"/>
              </w:rPr>
              <w:t>(1,225)</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(684)</w:t>
            </w: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Equity in undisbursed subsidiary income</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23,707</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21,689</w:t>
            </w:r>
          </w:p>
        </w:tc>
      </w:tr>
      <w:tr>
        <w:trPr>
          <w:trHeight w:val="172"/>
        </w:trPr>
        <w:tc>
          <w:tcPr>
            <w:tcW w:w="480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26,100</w:t>
            </w:r>
          </w:p>
        </w:tc>
        <w:tc>
          <w:tcPr>
            <w:tcW w:w="60" w:type="dxa"/>
            <w:vAlign w:val="bottom"/>
          </w:tcPr>
          <w:p>
            <w:pPr>
              <w:spacing w:after="0"/>
              <w:rPr>
                <w:sz w:val="14"/>
                <w:szCs w:val="14"/>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24,674</w:t>
            </w: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1" w:name="page122"/>
    <w:bookmarkEnd w:id="1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condensed cash flow is presented below for USCB Financial Holdings, Inc.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Years Ended</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9"/>
              </w:rPr>
              <w:t>December 31, 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December 31, 2024</w:t>
            </w:r>
          </w:p>
        </w:tc>
        <w:tc>
          <w:tcPr>
            <w:tcW w:w="0" w:type="dxa"/>
            <w:vAlign w:val="bottom"/>
          </w:tcPr>
          <w:p>
            <w:pPr>
              <w:spacing w:after="0"/>
              <w:rPr>
                <w:sz w:val="1"/>
                <w:szCs w:val="1"/>
                <w:color w:val="auto"/>
              </w:rPr>
            </w:pPr>
          </w:p>
        </w:tc>
      </w:tr>
      <w:tr>
        <w:trPr>
          <w:trHeight w:val="151"/>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Net income</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26,100</w:t>
            </w:r>
          </w:p>
        </w:tc>
        <w:tc>
          <w:tcPr>
            <w:tcW w:w="60" w:type="dxa"/>
            <w:vAlign w:val="bottom"/>
          </w:tcPr>
          <w:p>
            <w:pPr>
              <w:spacing w:after="0"/>
              <w:rPr>
                <w:sz w:val="14"/>
                <w:szCs w:val="14"/>
                <w:color w:val="auto"/>
              </w:rPr>
            </w:pPr>
          </w:p>
        </w:tc>
        <w:tc>
          <w:tcPr>
            <w:tcW w:w="100" w:type="dxa"/>
            <w:vAlign w:val="bottom"/>
            <w:gridSpan w:val="2"/>
          </w:tcPr>
          <w:p>
            <w:pPr>
              <w:jc w:val="center"/>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24,674</w:t>
            </w:r>
          </w:p>
        </w:tc>
        <w:tc>
          <w:tcPr>
            <w:tcW w:w="0" w:type="dxa"/>
            <w:vAlign w:val="bottom"/>
          </w:tcPr>
          <w:p>
            <w:pPr>
              <w:spacing w:after="0"/>
              <w:rPr>
                <w:sz w:val="1"/>
                <w:szCs w:val="1"/>
                <w:color w:val="auto"/>
              </w:rPr>
            </w:pPr>
          </w:p>
        </w:tc>
      </w:tr>
      <w:tr>
        <w:trPr>
          <w:trHeight w:val="149"/>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Adjustments to reconcile net income to net cash provided by operating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Equity in undistributed earnings of subsidiaries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3"/>
                <w:szCs w:val="13"/>
                <w:color w:val="auto"/>
              </w:rPr>
              <w:t>(23,707)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(21,689)</w:t>
            </w: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3,005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w:t>
            </w:r>
          </w:p>
        </w:tc>
        <w:tc>
          <w:tcPr>
            <w:tcW w:w="0" w:type="dxa"/>
            <w:vAlign w:val="bottom"/>
          </w:tcPr>
          <w:p>
            <w:pPr>
              <w:spacing w:after="0"/>
              <w:rPr>
                <w:sz w:val="1"/>
                <w:szCs w:val="1"/>
                <w:color w:val="auto"/>
              </w:rPr>
            </w:pPr>
          </w:p>
        </w:tc>
      </w:tr>
      <w:tr>
        <w:trPr>
          <w:trHeight w:val="171"/>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Increase in deferred tax asset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3"/>
                <w:szCs w:val="13"/>
                <w:color w:val="auto"/>
              </w:rPr>
              <w:t>(1,225)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Increase in accrued interest and other liabilities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2"/>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Net cash provided by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5,317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4,430</w:t>
            </w:r>
          </w:p>
        </w:tc>
        <w:tc>
          <w:tcPr>
            <w:tcW w:w="0" w:type="dxa"/>
            <w:vAlign w:val="bottom"/>
          </w:tcPr>
          <w:p>
            <w:pPr>
              <w:spacing w:after="0"/>
              <w:rPr>
                <w:sz w:val="1"/>
                <w:szCs w:val="1"/>
                <w:color w:val="auto"/>
              </w:rPr>
            </w:pPr>
          </w:p>
        </w:tc>
      </w:tr>
      <w:tr>
        <w:trPr>
          <w:trHeight w:val="153"/>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Capital contributions to subsidiary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Net cash used in investing activities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Dividends paid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3"/>
                <w:szCs w:val="13"/>
                <w:color w:val="auto"/>
              </w:rPr>
              <w:t>(7,829)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(3,939)</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Proceeds from exercise of stock options</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1,319</w:t>
            </w:r>
          </w:p>
        </w:tc>
        <w:tc>
          <w:tcPr>
            <w:tcW w:w="0" w:type="dxa"/>
            <w:vAlign w:val="bottom"/>
          </w:tcPr>
          <w:p>
            <w:pPr>
              <w:spacing w:after="0"/>
              <w:rPr>
                <w:sz w:val="1"/>
                <w:szCs w:val="1"/>
                <w:color w:val="auto"/>
              </w:rPr>
            </w:pPr>
          </w:p>
        </w:tc>
      </w:tr>
      <w:tr>
        <w:trPr>
          <w:trHeight w:val="171"/>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Repurchase of 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3"/>
                <w:szCs w:val="13"/>
                <w:color w:val="auto"/>
              </w:rPr>
              <w:t>(34,554)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Proceeds from issuance of subordinated notes, net of issuance cost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39,300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00"/>
              <w:spacing w:after="0"/>
              <w:rPr>
                <w:sz w:val="20"/>
                <w:szCs w:val="20"/>
                <w:color w:val="auto"/>
              </w:rPr>
            </w:pPr>
            <w:r>
              <w:rPr>
                <w:rFonts w:ascii="Arial" w:cs="Arial" w:eastAsia="Arial" w:hAnsi="Arial"/>
                <w:sz w:val="13"/>
                <w:szCs w:val="13"/>
                <w:color w:val="auto"/>
              </w:rPr>
              <w:t>Net cash used in financing activities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(2,279)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(3,121)</w:t>
            </w:r>
          </w:p>
        </w:tc>
        <w:tc>
          <w:tcPr>
            <w:tcW w:w="0" w:type="dxa"/>
            <w:vAlign w:val="bottom"/>
          </w:tcPr>
          <w:p>
            <w:pPr>
              <w:spacing w:after="0"/>
              <w:rPr>
                <w:sz w:val="1"/>
                <w:szCs w:val="1"/>
                <w:color w:val="auto"/>
              </w:rPr>
            </w:pPr>
          </w:p>
        </w:tc>
      </w:tr>
      <w:tr>
        <w:trPr>
          <w:trHeight w:val="153"/>
        </w:trPr>
        <w:tc>
          <w:tcPr>
            <w:tcW w:w="100" w:type="dxa"/>
            <w:vAlign w:val="bottom"/>
            <w:tcBorders>
              <w:top w:val="single" w:sz="8" w:color="CCEEFF"/>
            </w:tcBorders>
            <w:shd w:val="clear" w:color="auto" w:fill="CCEEFF"/>
          </w:tcPr>
          <w:p>
            <w:pPr>
              <w:spacing w:after="0"/>
              <w:rPr>
                <w:sz w:val="13"/>
                <w:szCs w:val="13"/>
                <w:color w:val="auto"/>
              </w:rPr>
            </w:pPr>
          </w:p>
        </w:tc>
        <w:tc>
          <w:tcPr>
            <w:tcW w:w="47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Net increase in cash and cash equivalents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3,038</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1,309</w:t>
            </w:r>
          </w:p>
        </w:tc>
        <w:tc>
          <w:tcPr>
            <w:tcW w:w="0" w:type="dxa"/>
            <w:vAlign w:val="bottom"/>
          </w:tcPr>
          <w:p>
            <w:pPr>
              <w:spacing w:after="0"/>
              <w:rPr>
                <w:sz w:val="1"/>
                <w:szCs w:val="1"/>
                <w:color w:val="auto"/>
              </w:rPr>
            </w:pPr>
          </w:p>
        </w:tc>
      </w:tr>
      <w:tr>
        <w:trPr>
          <w:trHeight w:val="171"/>
        </w:trPr>
        <w:tc>
          <w:tcPr>
            <w:tcW w:w="48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beginning of period</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3,735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2,426</w:t>
            </w:r>
          </w:p>
        </w:tc>
        <w:tc>
          <w:tcPr>
            <w:tcW w:w="0" w:type="dxa"/>
            <w:vAlign w:val="bottom"/>
          </w:tcPr>
          <w:p>
            <w:pPr>
              <w:spacing w:after="0"/>
              <w:rPr>
                <w:sz w:val="1"/>
                <w:szCs w:val="1"/>
                <w:color w:val="auto"/>
              </w:rPr>
            </w:pPr>
          </w:p>
        </w:tc>
      </w:tr>
      <w:tr>
        <w:trPr>
          <w:trHeight w:val="172"/>
        </w:trPr>
        <w:tc>
          <w:tcPr>
            <w:tcW w:w="4800" w:type="dxa"/>
            <w:vAlign w:val="bottom"/>
            <w:gridSpan w:val="2"/>
          </w:tcPr>
          <w:p>
            <w:pPr>
              <w:ind w:left="100"/>
              <w:spacing w:after="0"/>
              <w:rPr>
                <w:sz w:val="20"/>
                <w:szCs w:val="20"/>
                <w:color w:val="auto"/>
              </w:rPr>
            </w:pPr>
            <w:r>
              <w:rPr>
                <w:rFonts w:ascii="Arial" w:cs="Arial" w:eastAsia="Arial" w:hAnsi="Arial"/>
                <w:sz w:val="13"/>
                <w:szCs w:val="13"/>
                <w:color w:val="auto"/>
              </w:rPr>
              <w:t>Cash and cash equivalents, end of period</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6,773</w:t>
            </w:r>
          </w:p>
        </w:tc>
        <w:tc>
          <w:tcPr>
            <w:tcW w:w="60" w:type="dxa"/>
            <w:vAlign w:val="bottom"/>
          </w:tcPr>
          <w:p>
            <w:pPr>
              <w:spacing w:after="0"/>
              <w:rPr>
                <w:sz w:val="14"/>
                <w:szCs w:val="14"/>
                <w:color w:val="auto"/>
              </w:rPr>
            </w:pPr>
          </w:p>
        </w:tc>
        <w:tc>
          <w:tcPr>
            <w:tcW w:w="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2" w:name="page123"/>
    <w:bookmarkEnd w:id="1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SEGMENT REPORTING</w:t>
      </w:r>
    </w:p>
    <w:p>
      <w:pPr>
        <w:spacing w:after="0" w:line="202"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Operating segments are components of an enterprise about which separate financial information is available that is evaluated regularly by the chief operating decision maker (“CODM”) in assessing performance and in deciding how to allocate resources. The Company’s CODM is the President, Chief Executive Officer, and Chairman.</w:t>
      </w:r>
    </w:p>
    <w:p>
      <w:pPr>
        <w:spacing w:after="0" w:line="11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Company through the Bank, its sole direct subsidiary, operates 10 banking centers in South Florida providing a wide range of personal and business banking products and services, and through a subsidiary of the Bank, offers clients title insurance policies for real estate transactions closed at the Bank. The Company’s business activities are similar in their nature, operations and economic characteristics, largely serving commercial and specialty banking clients with products and services that are offered through similar processes and platforms. Accounting policies for the products and services referenced here are the same as those described in Note 1, “Summary of Significant Accounting Policies”. The Company’s segment revenue is driven primarily by interest income on loans as well as fee income from the origination of loans and from fees charged on loans and deposit accounts. Lending activities include loans to individuals, which primarily consist of home equity lines of credit, residential real estate loans, yacht loans, and consumer loans, and loans to commercial clients, which include commercial and industrial loans, commercial real estate loans, residential real estate loans, correspondent banking loans, and letters of credit.</w:t>
      </w:r>
    </w:p>
    <w:p>
      <w:pPr>
        <w:spacing w:after="0" w:line="133"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CODM regularly reviews consolidated income and expenses, as presented on the Consolidated Statements of Operations, in addition to consolidated assets presented on the Consolidated Balance Sheets. The significant segment expenses that the CODM receives regularly are interest expense, provision for credit losses, salaries and wages, employee benefits, and occupancy. The CODM evaluates the performance of the segment and allocates resources based on net income that is also reported on the Consolidated Statements of Operations as consolidated net income to maximize shareholder value . Additionally, consolidated internal financial information is used by the CODM to monitor credit quality and credit loss expense. Furthermore, net income, as the measure of profit or loss, is used to monitor budget versus actual results and to perform competitive analyses that benchmark the Company to competitors. As a result, the Company has determined that it has only one reportable segment.</w:t>
      </w:r>
    </w:p>
    <w:p>
      <w:pPr>
        <w:spacing w:after="0" w:line="300" w:lineRule="exact"/>
        <w:rPr>
          <w:sz w:val="20"/>
          <w:szCs w:val="20"/>
          <w:color w:val="auto"/>
        </w:rPr>
      </w:pPr>
    </w:p>
    <w:p>
      <w:pPr>
        <w:ind w:left="1060" w:hanging="397"/>
        <w:spacing w:after="0"/>
        <w:tabs>
          <w:tab w:leader="none" w:pos="106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18" w:lineRule="exact"/>
        <w:rPr>
          <w:sz w:val="20"/>
          <w:szCs w:val="20"/>
          <w:color w:val="auto"/>
        </w:rPr>
      </w:pPr>
    </w:p>
    <w:p>
      <w:pPr>
        <w:ind w:left="1180" w:hanging="517"/>
        <w:spacing w:after="0"/>
        <w:tabs>
          <w:tab w:leader="none" w:pos="11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On January 20, 2026, the Company’s Board of Directors declared a quarterly cash dividend of $ 0.125 per share of Class A common stock, to be paid on March 5, 2026, to stockholders of record as of the close of business on 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3" w:name="page124"/>
    <w:bookmarkEnd w:id="1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9A.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our Chief Financial Officer, we evaluated the effectiveness of the design and operation of the Company’s disclosure controls and procedures as of December 31, 2025.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Annual Report on Form 10-K.</w:t>
      </w:r>
    </w:p>
    <w:p>
      <w:pPr>
        <w:spacing w:after="0" w:line="13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This annual report does not include an integrated audit report of the Company's registered public accounting firm regarding internal control over financial reporting. Management's report was not subject to audit by the Company's registered public accounting firm pursuant to the rules of the SEC that permit the Company, as an emerging growth company to provide only management's report in this annual report.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Management is responsible for designing, implementing, documenting, and maintaining an adequate system of internal control over financial reporting, as such term is defined in the Exchange Act. An adequate system of internal control over financial reporting encompasses the processes and procedures that have been established by management to:</w:t>
      </w:r>
    </w:p>
    <w:p>
      <w:pPr>
        <w:spacing w:after="0" w:line="128" w:lineRule="exact"/>
        <w:rPr>
          <w:sz w:val="20"/>
          <w:szCs w:val="20"/>
          <w:color w:val="auto"/>
        </w:rPr>
      </w:pPr>
    </w:p>
    <w:p>
      <w:pPr>
        <w:ind w:left="1180" w:hanging="261"/>
        <w:spacing w:after="0"/>
        <w:tabs>
          <w:tab w:leader="none" w:pos="11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maintain records that accurately reflect the Company’s transactions;</w:t>
      </w:r>
    </w:p>
    <w:p>
      <w:pPr>
        <w:spacing w:after="0" w:line="13" w:lineRule="exact"/>
        <w:rPr>
          <w:rFonts w:ascii="Arial" w:cs="Arial" w:eastAsia="Arial" w:hAnsi="Arial"/>
          <w:sz w:val="14"/>
          <w:szCs w:val="14"/>
          <w:color w:val="auto"/>
        </w:rPr>
      </w:pPr>
    </w:p>
    <w:p>
      <w:pPr>
        <w:ind w:left="1180" w:right="719" w:hanging="261"/>
        <w:spacing w:after="0" w:line="246" w:lineRule="auto"/>
        <w:tabs>
          <w:tab w:leader="none" w:pos="11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prepare financial statement and footnote disclosures in accordance with U.S. GAAP that can be relied upon by external users; and</w:t>
      </w:r>
    </w:p>
    <w:p>
      <w:pPr>
        <w:ind w:left="1180" w:right="679" w:hanging="261"/>
        <w:spacing w:after="0" w:line="255" w:lineRule="auto"/>
        <w:tabs>
          <w:tab w:leader="none" w:pos="11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prevent and detect unauthorized acquisition, use or disposition of the Company's assets that could have a material effect on the financial statements.</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conducted an evaluation of the effectiveness of the Company's internal control over financial reporting based on the criteria in Internal Control-Integrated Framework issued by the Committee of Sponsoring Organizations of the Treadway Commission (COSO). Based on this evaluation under the criteria in Internal Control-Integrated Framework, management concluded that internal control over financial reporting was effective as of December 31, 2025. Furthermore, during the conduct of its assessment, management identified no material weakness in its financial reporting control system.</w:t>
      </w:r>
    </w:p>
    <w:p>
      <w:pPr>
        <w:spacing w:after="0" w:line="14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Board of the Company, through its Audit Committee, provides oversight to management’s conduct of the financial reporting process. The Audit Committee, which is composed entirely of independent directors, is also responsible for the appointment of the independent registered public accounting firm. The Audit Committee also meets with management, the internal audit staff, and the Company’s independent registered public accounting firm throughout the year to provide assurance as to the adequacy of the financial reporting process and to monitor the overall scope of the work performed by the internal audit staff and the independent registered public accounting firm.</w:t>
      </w:r>
    </w:p>
    <w:p>
      <w:pPr>
        <w:spacing w:after="0" w:line="13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Because of its inherent limitations, the disclosure controls and procedures may not prevent or detect misstatements. A control system, no matter how well conceived and operated, can only provide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quarter ended December 31, 2025 that has materially affected, or is reasonably likely to materially affect, our internal control over financial reporting.</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9B. Other Information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None</w:t>
      </w:r>
    </w:p>
    <w:p>
      <w:pPr>
        <w:spacing w:after="0" w:line="25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4" w:name="page125"/>
    <w:bookmarkEnd w:id="1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40" w:lineRule="exact"/>
        <w:rPr>
          <w:sz w:val="20"/>
          <w:szCs w:val="20"/>
          <w:color w:val="auto"/>
        </w:rPr>
      </w:pPr>
    </w:p>
    <w:p>
      <w:pPr>
        <w:jc w:val="both"/>
        <w:ind w:left="1180" w:right="659" w:hanging="261"/>
        <w:spacing w:after="0" w:line="265" w:lineRule="auto"/>
        <w:tabs>
          <w:tab w:leader="none" w:pos="11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During the three months ended December 31, 2025, none of the Company’s directors or Section 16 reporting officers adopted or terminated any Rule 10b5-1 trading arrangement or non-Rule 10b5-1 trading arrangement (as such terms are defined in Item 408 of the SEC’s Regulation S-K).</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5" w:name="page126"/>
    <w:bookmarkEnd w:id="1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information required herein is incorporated by reference from the sections captioned “Information with Respect to Nominees for Director and Information About Executive Officers” and “Beneficial Ownership of Common Stock by Certain Beneficial Owners and Management – Delinquent Section 16(a) Reports” in the Company’s Definitive Proxy Statement for the Annual Meeting of Shareholders currently expected to be held on May 26, 2026, is expected to be filed with the SEC within 120 days of December 31, 2025 (“2026 Definitive Proxy Statement”).</w:t>
      </w:r>
    </w:p>
    <w:p>
      <w:pPr>
        <w:spacing w:after="0" w:line="12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has adopted a code of ethics and business conduct policy, which applies to all of its directors, officers, including its principal executive officer, principal financial officer, principal accounting officer, and employees generally. The Company will provide a copy of its code of ethics to any person, free of charge, upon request. Any requests for a copy should be made to the Corporate Secretary, USCB Financial Holdings, Inc., 2301 N.W. 87th Avenue, Doral, Florida. In addition, a copy of the Code of Ethics is available at the Company’s website at www.uscentury.com under the “Investor Relations” tab.</w:t>
      </w:r>
    </w:p>
    <w:p>
      <w:pPr>
        <w:spacing w:after="0" w:line="138"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There have been no material changes to the procedures by which shareholders may recommend nominees to the Company’s Board.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11. Executive Compensation</w:t>
      </w:r>
    </w:p>
    <w:p>
      <w:pPr>
        <w:spacing w:after="0" w:line="15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information required herein is incorporated by reference from the sections captioned "Executive Compensation" and “Information with Respect to Nominees for Director and Information About Executive Officers – Corporate Governance Principles and Board Matters” and “- Director Compensation” in the Company’s 2026 Definitive Proxy Statement.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left="660" w:right="799" w:firstLine="512"/>
        <w:spacing w:after="0" w:line="265" w:lineRule="auto"/>
        <w:rPr>
          <w:sz w:val="20"/>
          <w:szCs w:val="20"/>
          <w:color w:val="auto"/>
        </w:rPr>
      </w:pPr>
      <w:r>
        <w:rPr>
          <w:rFonts w:ascii="Arial" w:cs="Arial" w:eastAsia="Arial" w:hAnsi="Arial"/>
          <w:sz w:val="14"/>
          <w:szCs w:val="14"/>
          <w:b w:val="1"/>
          <w:bCs w:val="1"/>
          <w:color w:val="auto"/>
        </w:rPr>
        <w:t xml:space="preserve">Equity compensation Plan information </w:t>
      </w:r>
      <w:r>
        <w:rPr>
          <w:rFonts w:ascii="Arial" w:cs="Arial" w:eastAsia="Arial" w:hAnsi="Arial"/>
          <w:sz w:val="14"/>
          <w:szCs w:val="14"/>
          <w:color w:val="auto"/>
        </w:rPr>
        <w:t>. The following table provide information as of December 31, 2025 with</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to shares of common stock that may be issued under our existing equity compensation plans, which consists of the 2015 Equity Incentive Plan (the “2015 Option Plan”) which was approved by our shareholders.</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Number of securities</w:t>
            </w: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8"/>
              </w:rPr>
              <w:t>securities issued</w:t>
            </w:r>
          </w:p>
        </w:tc>
        <w:tc>
          <w:tcPr>
            <w:tcW w:w="20" w:type="dxa"/>
            <w:vAlign w:val="bottom"/>
          </w:tcPr>
          <w:p>
            <w:pPr>
              <w:spacing w:after="0"/>
              <w:rPr>
                <w:sz w:val="12"/>
                <w:szCs w:val="12"/>
                <w:color w:val="auto"/>
              </w:rPr>
            </w:pPr>
          </w:p>
        </w:tc>
        <w:tc>
          <w:tcPr>
            <w:tcW w:w="122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w w:val="98"/>
              </w:rPr>
              <w:t>Weighted-average</w:t>
            </w: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7"/>
              </w:rPr>
              <w:t>remaining available for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or to be upon</w:t>
            </w:r>
          </w:p>
        </w:tc>
        <w:tc>
          <w:tcPr>
            <w:tcW w:w="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future issuance under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exercise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exercise price of</w:t>
            </w:r>
          </w:p>
        </w:tc>
        <w:tc>
          <w:tcPr>
            <w:tcW w:w="16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equity compensation</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outstanding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plans (excluding</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options, warrants</w:t>
            </w:r>
          </w:p>
        </w:tc>
        <w:tc>
          <w:tcPr>
            <w:tcW w:w="20" w:type="dxa"/>
            <w:vAlign w:val="bottom"/>
          </w:tcPr>
          <w:p>
            <w:pPr>
              <w:spacing w:after="0"/>
              <w:rPr>
                <w:sz w:val="12"/>
                <w:szCs w:val="12"/>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7"/>
              </w:rPr>
              <w:t>options, warrants</w:t>
            </w:r>
          </w:p>
        </w:tc>
        <w:tc>
          <w:tcPr>
            <w:tcW w:w="16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securities reflected in</w:t>
            </w: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line="139" w:lineRule="exact"/>
              <w:rPr>
                <w:sz w:val="20"/>
                <w:szCs w:val="20"/>
                <w:color w:val="auto"/>
              </w:rPr>
            </w:pPr>
            <w:r>
              <w:rPr>
                <w:rFonts w:ascii="Arial" w:cs="Arial" w:eastAsia="Arial" w:hAnsi="Arial"/>
                <w:sz w:val="13"/>
                <w:szCs w:val="13"/>
                <w:b w:val="1"/>
                <w:bCs w:val="1"/>
                <w:color w:val="auto"/>
                <w:w w:val="98"/>
              </w:rPr>
              <w:t>and rights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8"/>
              </w:rPr>
              <w:t>and rights</w:t>
            </w: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9"/>
              </w:rPr>
              <w:t>column (a))</w:t>
            </w:r>
          </w:p>
        </w:tc>
        <w:tc>
          <w:tcPr>
            <w:tcW w:w="0" w:type="dxa"/>
            <w:vAlign w:val="bottom"/>
          </w:tcPr>
          <w:p>
            <w:pPr>
              <w:spacing w:after="0"/>
              <w:rPr>
                <w:sz w:val="1"/>
                <w:szCs w:val="1"/>
                <w:color w:val="auto"/>
              </w:rPr>
            </w:pPr>
          </w:p>
        </w:tc>
      </w:tr>
      <w:tr>
        <w:trPr>
          <w:trHeight w:val="160"/>
        </w:trPr>
        <w:tc>
          <w:tcPr>
            <w:tcW w:w="362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Per Category</w:t>
            </w: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 (1)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 (1)</w:t>
            </w:r>
          </w:p>
        </w:tc>
        <w:tc>
          <w:tcPr>
            <w:tcW w:w="40" w:type="dxa"/>
            <w:vAlign w:val="bottom"/>
            <w:gridSpan w:val="2"/>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1,032,930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872,012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1,032,930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872,012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920" w:right="999" w:hanging="257"/>
        <w:spacing w:after="0" w:line="276" w:lineRule="auto"/>
        <w:tabs>
          <w:tab w:leader="none" w:pos="9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406,263 shares subject to restricted stock awards which were not vested as of December 31, 2025. The weighted average exercise price excludes such restricted stock awards.</w:t>
      </w:r>
    </w:p>
    <w:p>
      <w:pPr>
        <w:spacing w:after="0" w:line="120" w:lineRule="exact"/>
        <w:rPr>
          <w:sz w:val="20"/>
          <w:szCs w:val="20"/>
          <w:color w:val="auto"/>
        </w:rPr>
      </w:pPr>
    </w:p>
    <w:p>
      <w:pPr>
        <w:jc w:val="both"/>
        <w:ind w:left="660" w:right="699" w:firstLine="512"/>
        <w:spacing w:after="0" w:line="257" w:lineRule="auto"/>
        <w:rPr>
          <w:sz w:val="20"/>
          <w:szCs w:val="20"/>
          <w:color w:val="auto"/>
        </w:rPr>
      </w:pPr>
      <w:r>
        <w:rPr>
          <w:rFonts w:ascii="Arial" w:cs="Arial" w:eastAsia="Arial" w:hAnsi="Arial"/>
          <w:sz w:val="14"/>
          <w:szCs w:val="14"/>
          <w:b w:val="1"/>
          <w:bCs w:val="1"/>
          <w:color w:val="auto"/>
        </w:rPr>
        <w:t>Security Ownership of Certain Beneficial Owners and Management</w:t>
      </w:r>
      <w:r>
        <w:rPr>
          <w:rFonts w:ascii="Arial" w:cs="Arial" w:eastAsia="Arial" w:hAnsi="Arial"/>
          <w:sz w:val="14"/>
          <w:szCs w:val="14"/>
          <w:color w:val="auto"/>
        </w:rPr>
        <w:t>. Information regarding security ownership</w:t>
      </w:r>
      <w:r>
        <w:rPr>
          <w:rFonts w:ascii="Arial" w:cs="Arial" w:eastAsia="Arial" w:hAnsi="Arial"/>
          <w:sz w:val="14"/>
          <w:szCs w:val="14"/>
          <w:b w:val="1"/>
          <w:bCs w:val="1"/>
          <w:color w:val="auto"/>
        </w:rPr>
        <w:t xml:space="preserve"> </w:t>
      </w:r>
      <w:r>
        <w:rPr>
          <w:rFonts w:ascii="Arial" w:cs="Arial" w:eastAsia="Arial" w:hAnsi="Arial"/>
          <w:sz w:val="14"/>
          <w:szCs w:val="14"/>
          <w:color w:val="auto"/>
        </w:rPr>
        <w:t>of certain beneficial owners and management is incorporated by reference to “Beneficial Ownership of Common Stock by Certain Beneficial Owners and Management” in the 2026 Definitive Proxy Statement.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information required herein is incorporated by reference from the sections captioned “Certain Relationships and Related Party Transactions” and “Information with Respect to Nominees for Director and Information About Executive Officers” in the 2026 Definitive Proxy Statement.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70" w:lineRule="exact"/>
        <w:rPr>
          <w:sz w:val="20"/>
          <w:szCs w:val="20"/>
          <w:color w:val="auto"/>
        </w:rPr>
      </w:pPr>
    </w:p>
    <w:p>
      <w:pPr>
        <w:ind w:left="660" w:right="699" w:firstLine="512"/>
        <w:spacing w:after="0" w:line="257" w:lineRule="auto"/>
        <w:rPr>
          <w:sz w:val="20"/>
          <w:szCs w:val="20"/>
          <w:color w:val="auto"/>
        </w:rPr>
      </w:pPr>
      <w:r>
        <w:rPr>
          <w:rFonts w:ascii="Arial" w:cs="Arial" w:eastAsia="Arial" w:hAnsi="Arial"/>
          <w:sz w:val="14"/>
          <w:szCs w:val="14"/>
          <w:color w:val="auto"/>
        </w:rPr>
        <w:t>The information required herein is incorporated by reference from the section captioned “Ratification of Appointment of Independent Registered Public Accounting Firm (Proposal Two) – Audit Fees” in the 2026 Definitive Proxy Statement.</w:t>
      </w:r>
    </w:p>
    <w:p>
      <w:pPr>
        <w:spacing w:after="0" w:line="24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6" w:name="page127"/>
    <w:bookmarkEnd w:id="1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59" w:lineRule="exact"/>
        <w:rPr>
          <w:sz w:val="20"/>
          <w:szCs w:val="20"/>
          <w:color w:val="auto"/>
        </w:rPr>
      </w:pPr>
    </w:p>
    <w:p>
      <w:pPr>
        <w:ind w:left="920" w:hanging="257"/>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List of documents filed as part of this Annual Report:</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1"/>
          <w:numId w:val="60"/>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Report of Independent Registered Public Accounting Firm</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Balance Sheets as of December 31, 2025 and 2024</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Operations for the years ended December 31, 2025 and 2024</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Comprehensive Income for the years ended December 31, 2025 and 2024</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Changes in Stockholders' Equity for the years ended December 31, 2025 and 2024</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Cash Flows for the years ended December 31, 2025 and 2024</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Notes to Consolidated Financial Statements</w:t>
      </w:r>
    </w:p>
    <w:p>
      <w:pPr>
        <w:spacing w:after="0" w:line="11" w:lineRule="exact"/>
        <w:rPr>
          <w:sz w:val="20"/>
          <w:szCs w:val="20"/>
          <w:color w:val="auto"/>
        </w:rPr>
      </w:pPr>
    </w:p>
    <w:p>
      <w:pPr>
        <w:ind w:left="1180" w:hanging="261"/>
        <w:spacing w:after="0"/>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p>
    <w:p>
      <w:pPr>
        <w:spacing w:after="0" w:line="20" w:lineRule="exact"/>
        <w:rPr>
          <w:sz w:val="20"/>
          <w:szCs w:val="20"/>
          <w:color w:val="auto"/>
        </w:rPr>
      </w:pPr>
    </w:p>
    <w:p>
      <w:pPr>
        <w:ind w:left="1280" w:right="1159"/>
        <w:spacing w:after="0" w:line="254" w:lineRule="auto"/>
        <w:rPr>
          <w:sz w:val="20"/>
          <w:szCs w:val="20"/>
          <w:color w:val="auto"/>
        </w:rPr>
      </w:pPr>
      <w:r>
        <w:rPr>
          <w:rFonts w:ascii="Arial" w:cs="Arial" w:eastAsia="Arial" w:hAnsi="Arial"/>
          <w:sz w:val="14"/>
          <w:szCs w:val="14"/>
          <w:color w:val="auto"/>
        </w:rPr>
        <w:t>Financial statement schedules are omitted as not required or not applicable or because the information is included in the Consolidated Financial Statements or notes thereto.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 List of Exhibits:</w:t>
      </w:r>
    </w:p>
    <w:p>
      <w:pPr>
        <w:spacing w:after="0" w:line="19" w:lineRule="exact"/>
        <w:rPr>
          <w:sz w:val="20"/>
          <w:szCs w:val="20"/>
          <w:color w:val="auto"/>
        </w:rPr>
      </w:pPr>
    </w:p>
    <w:p>
      <w:pPr>
        <w:ind w:left="1280" w:right="859"/>
        <w:spacing w:after="0" w:line="271" w:lineRule="auto"/>
        <w:rPr>
          <w:sz w:val="20"/>
          <w:szCs w:val="20"/>
          <w:color w:val="auto"/>
        </w:rPr>
      </w:pPr>
      <w:r>
        <w:rPr>
          <w:rFonts w:ascii="Arial" w:cs="Arial" w:eastAsia="Arial" w:hAnsi="Arial"/>
          <w:sz w:val="14"/>
          <w:szCs w:val="14"/>
          <w:color w:val="auto"/>
        </w:rPr>
        <w:t>The exhibit list in the Exhibit Index is incorporated herein by reference as the list of exhibits required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7" w:name="page128"/>
    <w:bookmarkEnd w:id="1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7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gridSpan w:val="90"/>
          </w:tcPr>
          <w:p>
            <w:pPr>
              <w:ind w:left="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19"/>
        </w:trPr>
        <w:tc>
          <w:tcPr>
            <w:tcW w:w="780" w:type="dxa"/>
            <w:vAlign w:val="bottom"/>
            <w:gridSpan w:val="5"/>
            <w:vMerge w:val="continue"/>
          </w:tcPr>
          <w:p>
            <w:pPr>
              <w:spacing w:after="0"/>
              <w:rPr>
                <w:sz w:val="10"/>
                <w:szCs w:val="10"/>
                <w:color w:val="auto"/>
              </w:rPr>
            </w:pPr>
          </w:p>
        </w:tc>
        <w:tc>
          <w:tcPr>
            <w:tcW w:w="7460" w:type="dxa"/>
            <w:vAlign w:val="bottom"/>
            <w:gridSpan w:val="141"/>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2"/>
                <w:szCs w:val="12"/>
                <w:color w:val="auto"/>
              </w:rPr>
            </w:pPr>
          </w:p>
        </w:tc>
        <w:tc>
          <w:tcPr>
            <w:tcW w:w="7260" w:type="dxa"/>
            <w:vAlign w:val="bottom"/>
            <w:tcBorders>
              <w:bottom w:val="single" w:sz="8" w:color="auto"/>
            </w:tcBorders>
            <w:gridSpan w:val="140"/>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00" w:type="dxa"/>
            <w:vAlign w:val="bottom"/>
            <w:gridSpan w:val="2"/>
          </w:tcPr>
          <w:p>
            <w:pPr>
              <w:spacing w:after="0"/>
              <w:rPr>
                <w:sz w:val="10"/>
                <w:szCs w:val="10"/>
                <w:color w:val="auto"/>
              </w:rPr>
            </w:pPr>
          </w:p>
        </w:tc>
        <w:tc>
          <w:tcPr>
            <w:tcW w:w="180" w:type="dxa"/>
            <w:vAlign w:val="bottom"/>
          </w:tcPr>
          <w:p>
            <w:pPr>
              <w:jc w:val="center"/>
              <w:spacing w:after="0" w:line="119" w:lineRule="exact"/>
              <w:rPr>
                <w:rFonts w:ascii="Arial" w:cs="Arial" w:eastAsia="Arial" w:hAnsi="Arial"/>
                <w:sz w:val="13"/>
                <w:szCs w:val="13"/>
                <w:color w:val="0000FF"/>
                <w:w w:val="99"/>
              </w:rPr>
            </w:pPr>
            <w:hyperlink r:id="rId136">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39"/>
          </w:tcPr>
          <w:p>
            <w:pPr>
              <w:spacing w:after="0" w:line="119" w:lineRule="exact"/>
              <w:rPr>
                <w:rFonts w:ascii="Arial" w:cs="Arial" w:eastAsia="Arial" w:hAnsi="Arial"/>
                <w:sz w:val="13"/>
                <w:szCs w:val="13"/>
                <w:color w:val="0000FF"/>
                <w:w w:val="99"/>
              </w:rPr>
            </w:pPr>
            <w:hyperlink r:id="rId136">
              <w:r>
                <w:rPr>
                  <w:rFonts w:ascii="Arial" w:cs="Arial" w:eastAsia="Arial" w:hAnsi="Arial"/>
                  <w:sz w:val="13"/>
                  <w:szCs w:val="13"/>
                  <w:color w:val="0000FF"/>
                  <w:w w:val="99"/>
                </w:rPr>
                <w:t>Agreement and Plan of Share Exchange, dated December 27, 2021, by and between U.S. Century Bank and USCB Financial</w:t>
              </w:r>
            </w:hyperlink>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60" w:type="dxa"/>
            <w:vAlign w:val="bottom"/>
            <w:tcBorders>
              <w:top w:val="single" w:sz="8" w:color="0000FF"/>
            </w:tcBorders>
            <w:gridSpan w:val="136"/>
          </w:tcPr>
          <w:p>
            <w:pPr>
              <w:spacing w:after="0" w:line="129" w:lineRule="exact"/>
              <w:rPr>
                <w:rFonts w:ascii="Arial" w:cs="Arial" w:eastAsia="Arial" w:hAnsi="Arial"/>
                <w:sz w:val="13"/>
                <w:szCs w:val="13"/>
                <w:color w:val="0000FF"/>
                <w:w w:val="98"/>
              </w:rPr>
            </w:pPr>
            <w:hyperlink r:id="rId136">
              <w:r>
                <w:rPr>
                  <w:rFonts w:ascii="Arial" w:cs="Arial" w:eastAsia="Arial" w:hAnsi="Arial"/>
                  <w:sz w:val="13"/>
                  <w:szCs w:val="13"/>
                  <w:color w:val="0000FF"/>
                  <w:w w:val="98"/>
                </w:rPr>
                <w:t>Holdings, Inc. (incorporated by reference to Exhibit 2.1 to the Registrant’s Current Report on Form 8-K (File No. 001-41196)</w:t>
              </w:r>
            </w:hyperlink>
          </w:p>
        </w:tc>
        <w:tc>
          <w:tcPr>
            <w:tcW w:w="1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7">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bottom w:val="single" w:sz="8" w:color="0000FF"/>
            </w:tcBorders>
            <w:gridSpan w:val="86"/>
          </w:tcPr>
          <w:p>
            <w:pPr>
              <w:spacing w:after="0" w:line="129" w:lineRule="exact"/>
              <w:rPr>
                <w:rFonts w:ascii="Arial" w:cs="Arial" w:eastAsia="Arial" w:hAnsi="Arial"/>
                <w:sz w:val="13"/>
                <w:szCs w:val="13"/>
                <w:color w:val="0000FF"/>
                <w:w w:val="98"/>
              </w:rPr>
            </w:pPr>
            <w:hyperlink r:id="rId136">
              <w:r>
                <w:rPr>
                  <w:rFonts w:ascii="Arial" w:cs="Arial" w:eastAsia="Arial" w:hAnsi="Arial"/>
                  <w:sz w:val="13"/>
                  <w:szCs w:val="13"/>
                  <w:color w:val="0000FF"/>
                  <w:w w:val="98"/>
                </w:rPr>
                <w:t>filed with the Securities and Exchange Commission on December 30, 2021).</w:t>
              </w:r>
            </w:hyperlink>
          </w:p>
        </w:tc>
        <w:tc>
          <w:tcPr>
            <w:tcW w:w="2820" w:type="dxa"/>
            <w:vAlign w:val="bottom"/>
            <w:gridSpan w:val="5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8"/>
              </w:rPr>
            </w:pPr>
            <w:hyperlink r:id="rId137">
              <w:r>
                <w:rPr>
                  <w:rFonts w:ascii="Arial" w:cs="Arial" w:eastAsia="Arial" w:hAnsi="Arial"/>
                  <w:sz w:val="13"/>
                  <w:szCs w:val="13"/>
                  <w:color w:val="0000FF"/>
                  <w:w w:val="98"/>
                </w:rPr>
                <w:t>Articles of Incorporation of USCB Financial Holdings, Inc. (incorporated by reference to Exhibit 3.1 to the Registrant’s Quarterly</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8">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37">
              <w:r>
                <w:rPr>
                  <w:rFonts w:ascii="Arial" w:cs="Arial" w:eastAsia="Arial" w:hAnsi="Arial"/>
                  <w:sz w:val="13"/>
                  <w:szCs w:val="13"/>
                  <w:color w:val="0000FF"/>
                </w:rPr>
                <w:t>Report on Form 10-Q (File No. 001-41196) filed with the Securities and Exchange Commission on August 11, 2023).</w:t>
              </w:r>
            </w:hyperlink>
          </w:p>
        </w:tc>
        <w:tc>
          <w:tcPr>
            <w:tcW w:w="0" w:type="dxa"/>
            <w:vAlign w:val="bottom"/>
          </w:tcPr>
          <w:p>
            <w:pPr>
              <w:spacing w:after="0"/>
              <w:rPr>
                <w:sz w:val="1"/>
                <w:szCs w:val="1"/>
                <w:color w:val="auto"/>
              </w:rPr>
            </w:pPr>
          </w:p>
        </w:tc>
      </w:tr>
      <w:tr>
        <w:trPr>
          <w:trHeight w:val="20"/>
        </w:trPr>
        <w:tc>
          <w:tcPr>
            <w:tcW w:w="30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0" w:type="dxa"/>
            <w:vAlign w:val="bottom"/>
            <w:gridSpan w:val="121"/>
          </w:tcPr>
          <w:p>
            <w:pPr>
              <w:spacing w:after="0" w:line="119" w:lineRule="exact"/>
              <w:rPr>
                <w:rFonts w:ascii="Arial" w:cs="Arial" w:eastAsia="Arial" w:hAnsi="Arial"/>
                <w:sz w:val="13"/>
                <w:szCs w:val="13"/>
                <w:color w:val="0000FF"/>
                <w:w w:val="98"/>
              </w:rPr>
            </w:pPr>
            <w:hyperlink r:id="rId138">
              <w:r>
                <w:rPr>
                  <w:rFonts w:ascii="Arial" w:cs="Arial" w:eastAsia="Arial" w:hAnsi="Arial"/>
                  <w:sz w:val="13"/>
                  <w:szCs w:val="13"/>
                  <w:color w:val="0000FF"/>
                  <w:w w:val="98"/>
                </w:rPr>
                <w:t>Amended and Restated Bylaws of USCB Financial Holdings, Inc. (incorporated by reference to Exhibit 3.1 to</w:t>
              </w:r>
            </w:hyperlink>
          </w:p>
        </w:tc>
        <w:tc>
          <w:tcPr>
            <w:tcW w:w="20" w:type="dxa"/>
            <w:vAlign w:val="bottom"/>
            <w:vMerge w:val="continue"/>
          </w:tcPr>
          <w:p>
            <w:pPr>
              <w:spacing w:after="0"/>
              <w:rPr>
                <w:sz w:val="10"/>
                <w:szCs w:val="10"/>
                <w:color w:val="auto"/>
              </w:rPr>
            </w:pPr>
          </w:p>
        </w:tc>
        <w:tc>
          <w:tcPr>
            <w:tcW w:w="960" w:type="dxa"/>
            <w:vAlign w:val="bottom"/>
            <w:gridSpan w:val="17"/>
          </w:tcPr>
          <w:p>
            <w:pPr>
              <w:spacing w:after="0" w:line="119" w:lineRule="exact"/>
              <w:rPr>
                <w:rFonts w:ascii="Arial" w:cs="Arial" w:eastAsia="Arial" w:hAnsi="Arial"/>
                <w:sz w:val="13"/>
                <w:szCs w:val="13"/>
                <w:color w:val="0000FF"/>
              </w:rPr>
            </w:pPr>
            <w:hyperlink r:id="rId138">
              <w:r>
                <w:rPr>
                  <w:rFonts w:ascii="Arial" w:cs="Arial" w:eastAsia="Arial" w:hAnsi="Arial"/>
                  <w:sz w:val="13"/>
                  <w:szCs w:val="13"/>
                  <w:color w:val="0000FF"/>
                </w:rPr>
                <w:t>the Registrant’s</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38">
              <w:r>
                <w:rPr>
                  <w:rFonts w:ascii="Arial" w:cs="Arial" w:eastAsia="Arial" w:hAnsi="Arial"/>
                  <w:sz w:val="13"/>
                  <w:szCs w:val="13"/>
                  <w:color w:val="0000FF"/>
                </w:rPr>
                <w:t>Current Report on Form 8-K (File No. 001-41196) filed with the Securities and Exchange Commission on July 26, 2023).</w:t>
              </w:r>
            </w:hyperlink>
          </w:p>
        </w:tc>
        <w:tc>
          <w:tcPr>
            <w:tcW w:w="0" w:type="dxa"/>
            <w:vAlign w:val="bottom"/>
          </w:tcPr>
          <w:p>
            <w:pPr>
              <w:spacing w:after="0"/>
              <w:rPr>
                <w:sz w:val="1"/>
                <w:szCs w:val="1"/>
                <w:color w:val="auto"/>
              </w:rPr>
            </w:pPr>
          </w:p>
        </w:tc>
      </w:tr>
      <w:tr>
        <w:trPr>
          <w:trHeight w:val="20"/>
        </w:trPr>
        <w:tc>
          <w:tcPr>
            <w:tcW w:w="30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9"/>
              </w:rPr>
            </w:pPr>
            <w:hyperlink r:id="rId139">
              <w:r>
                <w:rPr>
                  <w:rFonts w:ascii="Arial" w:cs="Arial" w:eastAsia="Arial" w:hAnsi="Arial"/>
                  <w:sz w:val="13"/>
                  <w:szCs w:val="13"/>
                  <w:color w:val="0000FF"/>
                  <w:w w:val="99"/>
                </w:rPr>
                <w:t>Side Letter Agreement, dated December 30, 2021, between USCB Financial Holdings, Inc., U.S. Century Bank, Priam Capital</w:t>
              </w:r>
            </w:hyperlink>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bottom w:val="single" w:sz="8" w:color="0000FF"/>
            </w:tcBorders>
            <w:gridSpan w:val="137"/>
          </w:tcPr>
          <w:p>
            <w:pPr>
              <w:spacing w:after="0" w:line="129" w:lineRule="exact"/>
              <w:rPr>
                <w:rFonts w:ascii="Arial" w:cs="Arial" w:eastAsia="Arial" w:hAnsi="Arial"/>
                <w:sz w:val="13"/>
                <w:szCs w:val="13"/>
                <w:color w:val="0000FF"/>
                <w:w w:val="96"/>
              </w:rPr>
            </w:pPr>
            <w:hyperlink r:id="rId139">
              <w:r>
                <w:rPr>
                  <w:rFonts w:ascii="Arial" w:cs="Arial" w:eastAsia="Arial" w:hAnsi="Arial"/>
                  <w:sz w:val="13"/>
                  <w:szCs w:val="13"/>
                  <w:color w:val="0000FF"/>
                  <w:w w:val="96"/>
                </w:rPr>
                <w:t>Fund II, LP, Patriot Financial Partners II, L.P. and Patriot Financial Partners Parallel II, L.P. (incorporated by reference to Exhibit</w:t>
              </w:r>
            </w:hyperlink>
          </w:p>
        </w:tc>
        <w:tc>
          <w:tcPr>
            <w:tcW w:w="0" w:type="dxa"/>
            <w:vAlign w:val="bottom"/>
            <w:tcBorders>
              <w:bottom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39">
              <w:r>
                <w:rPr>
                  <w:rFonts w:ascii="Arial" w:cs="Arial" w:eastAsia="Arial" w:hAnsi="Arial"/>
                  <w:sz w:val="13"/>
                  <w:szCs w:val="13"/>
                  <w:color w:val="0000FF"/>
                </w:rPr>
                <w:t>4.</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Registrant’s Current Report on Form 8-K (File No. 001-41196) filed with the Securities and Exchange Commission</w:t>
              </w:r>
            </w:hyperlink>
          </w:p>
        </w:tc>
        <w:tc>
          <w:tcPr>
            <w:tcW w:w="0" w:type="dxa"/>
            <w:vAlign w:val="bottom"/>
          </w:tcPr>
          <w:p>
            <w:pPr>
              <w:spacing w:after="0"/>
              <w:rPr>
                <w:sz w:val="1"/>
                <w:szCs w:val="1"/>
                <w:color w:val="auto"/>
              </w:rPr>
            </w:pPr>
          </w:p>
        </w:tc>
      </w:tr>
      <w:tr>
        <w:trPr>
          <w:trHeight w:val="119"/>
        </w:trPr>
        <w:tc>
          <w:tcPr>
            <w:tcW w:w="300" w:type="dxa"/>
            <w:vAlign w:val="bottom"/>
            <w:gridSpan w:val="2"/>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0">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580" w:type="dxa"/>
            <w:vAlign w:val="bottom"/>
            <w:gridSpan w:val="4"/>
          </w:tcPr>
          <w:p>
            <w:pPr>
              <w:spacing w:after="0"/>
              <w:rPr>
                <w:sz w:val="10"/>
                <w:szCs w:val="10"/>
                <w:color w:val="auto"/>
              </w:rPr>
            </w:pPr>
          </w:p>
        </w:tc>
        <w:tc>
          <w:tcPr>
            <w:tcW w:w="1280" w:type="dxa"/>
            <w:vAlign w:val="bottom"/>
            <w:tcBorders>
              <w:top w:val="single" w:sz="8" w:color="0000FF"/>
              <w:bottom w:val="single" w:sz="8" w:color="0000FF"/>
            </w:tcBorders>
            <w:gridSpan w:val="19"/>
          </w:tcPr>
          <w:p>
            <w:pPr>
              <w:spacing w:after="0" w:line="119" w:lineRule="exact"/>
              <w:rPr>
                <w:rFonts w:ascii="Arial" w:cs="Arial" w:eastAsia="Arial" w:hAnsi="Arial"/>
                <w:sz w:val="13"/>
                <w:szCs w:val="13"/>
                <w:color w:val="0000FF"/>
                <w:w w:val="92"/>
              </w:rPr>
            </w:pPr>
            <w:hyperlink r:id="rId139">
              <w:r>
                <w:rPr>
                  <w:rFonts w:ascii="Arial" w:cs="Arial" w:eastAsia="Arial" w:hAnsi="Arial"/>
                  <w:sz w:val="13"/>
                  <w:szCs w:val="13"/>
                  <w:color w:val="0000FF"/>
                  <w:w w:val="92"/>
                </w:rPr>
                <w:t>on December 30, 2021)</w:t>
              </w:r>
            </w:hyperlink>
          </w:p>
        </w:tc>
        <w:tc>
          <w:tcPr>
            <w:tcW w:w="40" w:type="dxa"/>
            <w:vAlign w:val="bottom"/>
            <w:tcBorders>
              <w:bottom w:val="single" w:sz="8" w:color="0000FF"/>
            </w:tcBorders>
            <w:gridSpan w:val="2"/>
          </w:tcPr>
          <w:p>
            <w:pPr>
              <w:spacing w:after="0"/>
              <w:rPr>
                <w:sz w:val="10"/>
                <w:szCs w:val="10"/>
                <w:color w:val="auto"/>
              </w:rPr>
            </w:pPr>
          </w:p>
        </w:tc>
        <w:tc>
          <w:tcPr>
            <w:tcW w:w="60" w:type="dxa"/>
            <w:vAlign w:val="bottom"/>
            <w:tcBorders>
              <w:top w:val="single" w:sz="8" w:color="0000FF"/>
              <w:bottom w:val="single" w:sz="8" w:color="0000FF"/>
            </w:tcBorders>
          </w:tcPr>
          <w:p>
            <w:pPr>
              <w:jc w:val="right"/>
              <w:spacing w:after="0" w:line="119" w:lineRule="exact"/>
              <w:rPr>
                <w:rFonts w:ascii="Arial" w:cs="Arial" w:eastAsia="Arial" w:hAnsi="Arial"/>
                <w:sz w:val="13"/>
                <w:szCs w:val="13"/>
                <w:color w:val="0000FF"/>
              </w:rPr>
            </w:pPr>
            <w:hyperlink r:id="rId139">
              <w:r>
                <w:rPr>
                  <w:rFonts w:ascii="Arial" w:cs="Arial" w:eastAsia="Arial" w:hAnsi="Arial"/>
                  <w:sz w:val="13"/>
                  <w:szCs w:val="13"/>
                  <w:color w:val="0000FF"/>
                </w:rPr>
                <w:t>.</w:t>
              </w:r>
            </w:hyperlink>
          </w:p>
        </w:tc>
        <w:tc>
          <w:tcPr>
            <w:tcW w:w="2760" w:type="dxa"/>
            <w:vAlign w:val="bottom"/>
            <w:tcBorders>
              <w:top w:val="single" w:sz="8" w:color="0000FF"/>
            </w:tcBorders>
            <w:gridSpan w:val="59"/>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top w:val="single" w:sz="8" w:color="0000FF"/>
            </w:tcBorders>
            <w:gridSpan w:val="25"/>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Borders>
              <w:top w:val="single" w:sz="8" w:color="0000FF"/>
            </w:tcBorders>
            <w:gridSpan w:val="28"/>
          </w:tcPr>
          <w:p>
            <w:pPr>
              <w:spacing w:after="0"/>
              <w:rPr>
                <w:sz w:val="10"/>
                <w:szCs w:val="10"/>
                <w:color w:val="auto"/>
              </w:rPr>
            </w:pPr>
          </w:p>
        </w:tc>
        <w:tc>
          <w:tcPr>
            <w:tcW w:w="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7"/>
              </w:rPr>
            </w:pPr>
            <w:hyperlink r:id="rId140">
              <w:r>
                <w:rPr>
                  <w:rFonts w:ascii="Arial" w:cs="Arial" w:eastAsia="Arial" w:hAnsi="Arial"/>
                  <w:sz w:val="13"/>
                  <w:szCs w:val="13"/>
                  <w:color w:val="0000FF"/>
                  <w:w w:val="97"/>
                </w:rPr>
                <w:t>Registration Rights Agreement, dated March 17, 2015, between U.S. Century Bank, Priam Capital Fund II, LP, Patriot Financial</w:t>
              </w:r>
            </w:hyperlink>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60" w:type="dxa"/>
            <w:vAlign w:val="bottom"/>
            <w:tcBorders>
              <w:top w:val="single" w:sz="8" w:color="0000FF"/>
            </w:tcBorders>
            <w:gridSpan w:val="136"/>
          </w:tcPr>
          <w:p>
            <w:pPr>
              <w:spacing w:after="0" w:line="129" w:lineRule="exact"/>
              <w:rPr>
                <w:rFonts w:ascii="Arial" w:cs="Arial" w:eastAsia="Arial" w:hAnsi="Arial"/>
                <w:sz w:val="13"/>
                <w:szCs w:val="13"/>
                <w:color w:val="0000FF"/>
                <w:w w:val="97"/>
              </w:rPr>
            </w:pPr>
            <w:hyperlink r:id="rId140">
              <w:r>
                <w:rPr>
                  <w:rFonts w:ascii="Arial" w:cs="Arial" w:eastAsia="Arial" w:hAnsi="Arial"/>
                  <w:sz w:val="13"/>
                  <w:szCs w:val="13"/>
                  <w:color w:val="0000FF"/>
                  <w:w w:val="97"/>
                </w:rPr>
                <w:t>Partners II, L.P., Patriot Financial Partners Parallel II, L.P., and certain other shareholders of U.S. Century Bank (incorporated</w:t>
              </w:r>
            </w:hyperlink>
          </w:p>
        </w:tc>
        <w:tc>
          <w:tcPr>
            <w:tcW w:w="1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0">
              <w:r>
                <w:rPr>
                  <w:rFonts w:ascii="Arial" w:cs="Arial" w:eastAsia="Arial" w:hAnsi="Arial"/>
                  <w:sz w:val="13"/>
                  <w:szCs w:val="13"/>
                  <w:color w:val="0000FF"/>
                </w:rPr>
                <w:t>by reference to Exhibit 4.2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1">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bottom w:val="single" w:sz="8" w:color="0000FF"/>
            </w:tcBorders>
            <w:gridSpan w:val="51"/>
          </w:tcPr>
          <w:p>
            <w:pPr>
              <w:spacing w:after="0" w:line="129" w:lineRule="exact"/>
              <w:rPr>
                <w:rFonts w:ascii="Arial" w:cs="Arial" w:eastAsia="Arial" w:hAnsi="Arial"/>
                <w:sz w:val="13"/>
                <w:szCs w:val="13"/>
                <w:color w:val="0000FF"/>
                <w:w w:val="97"/>
              </w:rPr>
            </w:pPr>
            <w:hyperlink r:id="rId140">
              <w:r>
                <w:rPr>
                  <w:rFonts w:ascii="Arial" w:cs="Arial" w:eastAsia="Arial" w:hAnsi="Arial"/>
                  <w:sz w:val="13"/>
                  <w:szCs w:val="13"/>
                  <w:color w:val="0000FF"/>
                  <w:w w:val="97"/>
                </w:rPr>
                <w:t>Exchange Commission on December 30, 2021).</w:t>
              </w:r>
            </w:hyperlink>
          </w:p>
        </w:tc>
        <w:tc>
          <w:tcPr>
            <w:tcW w:w="4440" w:type="dxa"/>
            <w:vAlign w:val="bottom"/>
            <w:gridSpan w:val="88"/>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1">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39"/>
          </w:tcPr>
          <w:p>
            <w:pPr>
              <w:spacing w:after="0" w:line="119" w:lineRule="exact"/>
              <w:rPr>
                <w:rFonts w:ascii="Arial" w:cs="Arial" w:eastAsia="Arial" w:hAnsi="Arial"/>
                <w:sz w:val="13"/>
                <w:szCs w:val="13"/>
                <w:color w:val="0000FF"/>
              </w:rPr>
            </w:pPr>
            <w:hyperlink r:id="rId141">
              <w:r>
                <w:rPr>
                  <w:rFonts w:ascii="Arial" w:cs="Arial" w:eastAsia="Arial" w:hAnsi="Arial"/>
                  <w:sz w:val="13"/>
                  <w:szCs w:val="13"/>
                  <w:color w:val="0000FF"/>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2">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bottom w:val="single" w:sz="8" w:color="0000FF"/>
            </w:tcBorders>
            <w:gridSpan w:val="86"/>
          </w:tcPr>
          <w:p>
            <w:pPr>
              <w:spacing w:after="0" w:line="129" w:lineRule="exact"/>
              <w:rPr>
                <w:rFonts w:ascii="Arial" w:cs="Arial" w:eastAsia="Arial" w:hAnsi="Arial"/>
                <w:sz w:val="13"/>
                <w:szCs w:val="13"/>
                <w:color w:val="0000FF"/>
                <w:w w:val="98"/>
              </w:rPr>
            </w:pPr>
            <w:hyperlink r:id="rId141">
              <w:r>
                <w:rPr>
                  <w:rFonts w:ascii="Arial" w:cs="Arial" w:eastAsia="Arial" w:hAnsi="Arial"/>
                  <w:sz w:val="13"/>
                  <w:szCs w:val="13"/>
                  <w:color w:val="0000FF"/>
                  <w:w w:val="98"/>
                </w:rPr>
                <w:t>filed with the Securities and Exchange Commission on December 30, 2021).</w:t>
              </w:r>
            </w:hyperlink>
          </w:p>
        </w:tc>
        <w:tc>
          <w:tcPr>
            <w:tcW w:w="2820" w:type="dxa"/>
            <w:vAlign w:val="bottom"/>
            <w:gridSpan w:val="5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2">
              <w:r>
                <w:rPr>
                  <w:rFonts w:ascii="Arial" w:cs="Arial" w:eastAsia="Arial" w:hAnsi="Arial"/>
                  <w:sz w:val="13"/>
                  <w:szCs w:val="13"/>
                  <w:color w:val="0000FF"/>
                </w:rPr>
                <w:t>Description of USCB Financial Holdings, Inc.’s securities (incorporated by reference to Exhibit 4.4 to the Registrant’s Annual</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2">
              <w:r>
                <w:rPr>
                  <w:rFonts w:ascii="Arial" w:cs="Arial" w:eastAsia="Arial" w:hAnsi="Arial"/>
                  <w:sz w:val="13"/>
                  <w:szCs w:val="13"/>
                  <w:color w:val="0000FF"/>
                </w:rPr>
                <w:t>Report on Form 10-K for the year ended December 31, 2023 (File No. 001-41196) filed with the Securities and Exchange</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3">
              <w:r>
                <w:rPr>
                  <w:rFonts w:ascii="Arial" w:cs="Arial" w:eastAsia="Arial" w:hAnsi="Arial"/>
                  <w:sz w:val="13"/>
                  <w:szCs w:val="13"/>
                  <w:color w:val="0000FF"/>
                  <w:w w:val="99"/>
                </w:rPr>
                <w:t>4.</w:t>
              </w:r>
              <w:r>
                <w:rPr>
                  <w:rFonts w:ascii="Arial" w:cs="Arial" w:eastAsia="Arial" w:hAnsi="Arial"/>
                  <w:sz w:val="13"/>
                  <w:szCs w:val="13"/>
                  <w:u w:val="single" w:color="auto"/>
                  <w:color w:val="0000FF"/>
                  <w:w w:val="99"/>
                </w:rPr>
                <w:t>5</w:t>
              </w:r>
            </w:hyperlink>
          </w:p>
        </w:tc>
        <w:tc>
          <w:tcPr>
            <w:tcW w:w="580" w:type="dxa"/>
            <w:vAlign w:val="bottom"/>
            <w:gridSpan w:val="4"/>
          </w:tcPr>
          <w:p>
            <w:pPr>
              <w:spacing w:after="0"/>
              <w:rPr>
                <w:sz w:val="11"/>
                <w:szCs w:val="11"/>
                <w:color w:val="auto"/>
              </w:rPr>
            </w:pPr>
          </w:p>
        </w:tc>
        <w:tc>
          <w:tcPr>
            <w:tcW w:w="1900" w:type="dxa"/>
            <w:vAlign w:val="bottom"/>
            <w:tcBorders>
              <w:bottom w:val="single" w:sz="8" w:color="0000FF"/>
            </w:tcBorders>
            <w:gridSpan w:val="33"/>
          </w:tcPr>
          <w:p>
            <w:pPr>
              <w:spacing w:after="0" w:line="129" w:lineRule="exact"/>
              <w:rPr>
                <w:rFonts w:ascii="Arial" w:cs="Arial" w:eastAsia="Arial" w:hAnsi="Arial"/>
                <w:sz w:val="13"/>
                <w:szCs w:val="13"/>
                <w:color w:val="0000FF"/>
                <w:w w:val="97"/>
              </w:rPr>
            </w:pPr>
            <w:hyperlink r:id="rId142">
              <w:r>
                <w:rPr>
                  <w:rFonts w:ascii="Arial" w:cs="Arial" w:eastAsia="Arial" w:hAnsi="Arial"/>
                  <w:sz w:val="13"/>
                  <w:szCs w:val="13"/>
                  <w:color w:val="0000FF"/>
                  <w:w w:val="97"/>
                </w:rPr>
                <w:t>Commission on March 22, 2024).</w:t>
              </w:r>
            </w:hyperlink>
          </w:p>
        </w:tc>
        <w:tc>
          <w:tcPr>
            <w:tcW w:w="5280" w:type="dxa"/>
            <w:vAlign w:val="bottom"/>
            <w:gridSpan w:val="106"/>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0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39"/>
          </w:tcPr>
          <w:p>
            <w:pPr>
              <w:spacing w:after="0" w:line="119" w:lineRule="exact"/>
              <w:rPr>
                <w:rFonts w:ascii="Arial" w:cs="Arial" w:eastAsia="Arial" w:hAnsi="Arial"/>
                <w:sz w:val="13"/>
                <w:szCs w:val="13"/>
                <w:color w:val="0000FF"/>
              </w:rPr>
            </w:pPr>
            <w:hyperlink r:id="rId143">
              <w:r>
                <w:rPr>
                  <w:rFonts w:ascii="Arial" w:cs="Arial" w:eastAsia="Arial" w:hAnsi="Arial"/>
                  <w:sz w:val="13"/>
                  <w:szCs w:val="13"/>
                  <w:color w:val="0000FF"/>
                </w:rPr>
                <w:t>Indenture, dated August 14, 2025, by and between the Company and Wilmington Trust, National Association, as trustee</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3">
              <w:r>
                <w:rPr>
                  <w:rFonts w:ascii="Arial" w:cs="Arial" w:eastAsia="Arial" w:hAnsi="Arial"/>
                  <w:sz w:val="13"/>
                  <w:szCs w:val="13"/>
                  <w:color w:val="0000FF"/>
                </w:rPr>
                <w:t>(incorporated by reference to Exhibit 4.1 of the Registrant’s Current Report on Form 8-K (File No. 001-41196) filed with the</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3">
              <w:r>
                <w:rPr>
                  <w:rFonts w:ascii="Arial" w:cs="Arial" w:eastAsia="Arial" w:hAnsi="Arial"/>
                  <w:sz w:val="13"/>
                  <w:szCs w:val="13"/>
                  <w:color w:val="0000FF"/>
                  <w:w w:val="99"/>
                </w:rPr>
                <w:t>4.</w:t>
              </w:r>
              <w:r>
                <w:rPr>
                  <w:rFonts w:ascii="Arial" w:cs="Arial" w:eastAsia="Arial" w:hAnsi="Arial"/>
                  <w:sz w:val="13"/>
                  <w:szCs w:val="13"/>
                  <w:u w:val="single" w:color="auto"/>
                  <w:color w:val="0000FF"/>
                  <w:w w:val="99"/>
                </w:rPr>
                <w:t>6</w:t>
              </w:r>
            </w:hyperlink>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80" w:type="dxa"/>
            <w:vAlign w:val="bottom"/>
            <w:tcBorders>
              <w:bottom w:val="single" w:sz="8" w:color="0000FF"/>
            </w:tcBorders>
            <w:gridSpan w:val="66"/>
          </w:tcPr>
          <w:p>
            <w:pPr>
              <w:spacing w:after="0" w:line="129" w:lineRule="exact"/>
              <w:rPr>
                <w:rFonts w:ascii="Arial" w:cs="Arial" w:eastAsia="Arial" w:hAnsi="Arial"/>
                <w:sz w:val="13"/>
                <w:szCs w:val="13"/>
                <w:color w:val="0000FF"/>
                <w:w w:val="97"/>
              </w:rPr>
            </w:pPr>
            <w:hyperlink r:id="rId143">
              <w:r>
                <w:rPr>
                  <w:rFonts w:ascii="Arial" w:cs="Arial" w:eastAsia="Arial" w:hAnsi="Arial"/>
                  <w:sz w:val="13"/>
                  <w:szCs w:val="13"/>
                  <w:color w:val="0000FF"/>
                  <w:w w:val="97"/>
                </w:rPr>
                <w:t>Securities and Exchange Commission on August 14, 2025).</w:t>
              </w:r>
            </w:hyperlink>
          </w:p>
        </w:tc>
        <w:tc>
          <w:tcPr>
            <w:tcW w:w="3800" w:type="dxa"/>
            <w:vAlign w:val="bottom"/>
            <w:gridSpan w:val="7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8"/>
              </w:rPr>
            </w:pPr>
            <w:hyperlink r:id="rId143">
              <w:r>
                <w:rPr>
                  <w:rFonts w:ascii="Arial" w:cs="Arial" w:eastAsia="Arial" w:hAnsi="Arial"/>
                  <w:sz w:val="13"/>
                  <w:szCs w:val="13"/>
                  <w:color w:val="0000FF"/>
                  <w:w w:val="98"/>
                </w:rPr>
                <w:t>Forms of 7.625% Fixed-to-Floating Rate Subordinated Note due 2035 (included as Exhibit A-1 and Exhibit A-2 to the Indenture</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gridSpan w:val="2"/>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4">
              <w:r>
                <w:rPr>
                  <w:rFonts w:ascii="Arial" w:cs="Arial" w:eastAsia="Arial" w:hAnsi="Arial"/>
                  <w:sz w:val="13"/>
                  <w:szCs w:val="13"/>
                  <w:color w:val="0000FF"/>
                  <w:w w:val="99"/>
                </w:rPr>
                <w:t>4.</w:t>
              </w:r>
              <w:r>
                <w:rPr>
                  <w:rFonts w:ascii="Arial" w:cs="Arial" w:eastAsia="Arial" w:hAnsi="Arial"/>
                  <w:sz w:val="13"/>
                  <w:szCs w:val="13"/>
                  <w:u w:val="single" w:color="auto"/>
                  <w:color w:val="0000FF"/>
                  <w:w w:val="99"/>
                </w:rPr>
                <w:t>7</w:t>
              </w:r>
            </w:hyperlink>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tcBorders>
              <w:bottom w:val="single" w:sz="8" w:color="0000FF"/>
            </w:tcBorders>
            <w:gridSpan w:val="51"/>
          </w:tcPr>
          <w:p>
            <w:pPr>
              <w:spacing w:after="0" w:line="119" w:lineRule="exact"/>
              <w:rPr>
                <w:rFonts w:ascii="Arial" w:cs="Arial" w:eastAsia="Arial" w:hAnsi="Arial"/>
                <w:sz w:val="13"/>
                <w:szCs w:val="13"/>
                <w:color w:val="0000FF"/>
                <w:w w:val="98"/>
              </w:rPr>
            </w:pPr>
            <w:hyperlink r:id="rId143">
              <w:r>
                <w:rPr>
                  <w:rFonts w:ascii="Arial" w:cs="Arial" w:eastAsia="Arial" w:hAnsi="Arial"/>
                  <w:sz w:val="13"/>
                  <w:szCs w:val="13"/>
                  <w:color w:val="0000FF"/>
                  <w:w w:val="98"/>
                </w:rPr>
                <w:t>incorporated herein by reference to Exhibit 4.5).</w:t>
              </w:r>
            </w:hyperlink>
          </w:p>
        </w:tc>
        <w:tc>
          <w:tcPr>
            <w:tcW w:w="4380" w:type="dxa"/>
            <w:vAlign w:val="bottom"/>
            <w:gridSpan w:val="86"/>
          </w:tcPr>
          <w:p>
            <w:pPr>
              <w:spacing w:after="0"/>
              <w:rPr>
                <w:sz w:val="10"/>
                <w:szCs w:val="10"/>
                <w:color w:val="auto"/>
              </w:rPr>
            </w:pPr>
          </w:p>
        </w:tc>
        <w:tc>
          <w:tcPr>
            <w:tcW w:w="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7"/>
              </w:rPr>
            </w:pPr>
            <w:hyperlink r:id="rId144">
              <w:r>
                <w:rPr>
                  <w:rFonts w:ascii="Arial" w:cs="Arial" w:eastAsia="Arial" w:hAnsi="Arial"/>
                  <w:sz w:val="13"/>
                  <w:szCs w:val="13"/>
                  <w:color w:val="0000FF"/>
                  <w:w w:val="97"/>
                </w:rPr>
                <w:t>Form of Registration Rights Agreement, dated August 14, 2025, by and among the Registrant and the purchasers of the 7.625%</w:t>
              </w:r>
            </w:hyperlink>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tcBorders>
            <w:gridSpan w:val="138"/>
          </w:tcPr>
          <w:p>
            <w:pPr>
              <w:spacing w:after="0" w:line="129" w:lineRule="exact"/>
              <w:rPr>
                <w:rFonts w:ascii="Arial" w:cs="Arial" w:eastAsia="Arial" w:hAnsi="Arial"/>
                <w:sz w:val="13"/>
                <w:szCs w:val="13"/>
                <w:color w:val="0000FF"/>
                <w:w w:val="98"/>
              </w:rPr>
            </w:pPr>
            <w:hyperlink r:id="rId144">
              <w:r>
                <w:rPr>
                  <w:rFonts w:ascii="Arial" w:cs="Arial" w:eastAsia="Arial" w:hAnsi="Arial"/>
                  <w:sz w:val="13"/>
                  <w:szCs w:val="13"/>
                  <w:color w:val="0000FF"/>
                  <w:w w:val="98"/>
                </w:rPr>
                <w:t>Fixed-to-Floating Rate Subordinated Notes due 2035 who were signatories thereto (incorporated by reference to Exhibit 10.2</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4">
              <w:r>
                <w:rPr>
                  <w:rFonts w:ascii="Arial" w:cs="Arial" w:eastAsia="Arial" w:hAnsi="Arial"/>
                  <w:sz w:val="13"/>
                  <w:szCs w:val="13"/>
                  <w:color w:val="0000FF"/>
                </w:rPr>
                <w:t>of the Registrant’s Current Report on Form 8-K (File No. 001-41196) filed with the Securities and Exchange Commission on</w:t>
              </w:r>
            </w:hyperlink>
          </w:p>
        </w:tc>
        <w:tc>
          <w:tcPr>
            <w:tcW w:w="0" w:type="dxa"/>
            <w:vAlign w:val="bottom"/>
          </w:tcPr>
          <w:p>
            <w:pPr>
              <w:spacing w:after="0"/>
              <w:rPr>
                <w:sz w:val="1"/>
                <w:szCs w:val="1"/>
                <w:color w:val="auto"/>
              </w:rPr>
            </w:pPr>
          </w:p>
        </w:tc>
      </w:tr>
      <w:tr>
        <w:trPr>
          <w:trHeight w:val="12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45">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hyperlink>
          </w:p>
        </w:tc>
        <w:tc>
          <w:tcPr>
            <w:tcW w:w="580" w:type="dxa"/>
            <w:vAlign w:val="bottom"/>
            <w:gridSpan w:val="4"/>
          </w:tcPr>
          <w:p>
            <w:pPr>
              <w:spacing w:after="0"/>
              <w:rPr>
                <w:sz w:val="11"/>
                <w:szCs w:val="11"/>
                <w:color w:val="auto"/>
              </w:rPr>
            </w:pPr>
          </w:p>
        </w:tc>
        <w:tc>
          <w:tcPr>
            <w:tcW w:w="1000" w:type="dxa"/>
            <w:vAlign w:val="bottom"/>
            <w:tcBorders>
              <w:top w:val="single" w:sz="8" w:color="0000FF"/>
            </w:tcBorders>
            <w:gridSpan w:val="12"/>
          </w:tcPr>
          <w:p>
            <w:pPr>
              <w:spacing w:after="0" w:line="129" w:lineRule="exact"/>
              <w:rPr>
                <w:rFonts w:ascii="Arial" w:cs="Arial" w:eastAsia="Arial" w:hAnsi="Arial"/>
                <w:sz w:val="13"/>
                <w:szCs w:val="13"/>
                <w:color w:val="0000FF"/>
                <w:w w:val="93"/>
              </w:rPr>
            </w:pPr>
            <w:hyperlink r:id="rId144">
              <w:r>
                <w:rPr>
                  <w:rFonts w:ascii="Arial" w:cs="Arial" w:eastAsia="Arial" w:hAnsi="Arial"/>
                  <w:sz w:val="13"/>
                  <w:szCs w:val="13"/>
                  <w:color w:val="0000FF"/>
                  <w:w w:val="93"/>
                </w:rPr>
                <w:t>August 14, 2025).</w:t>
              </w:r>
            </w:hyperlink>
          </w:p>
        </w:tc>
        <w:tc>
          <w:tcPr>
            <w:tcW w:w="80" w:type="dxa"/>
            <w:vAlign w:val="bottom"/>
          </w:tcPr>
          <w:p>
            <w:pPr>
              <w:spacing w:after="0"/>
              <w:rPr>
                <w:sz w:val="11"/>
                <w:szCs w:val="11"/>
                <w:color w:val="auto"/>
              </w:rPr>
            </w:pPr>
          </w:p>
        </w:tc>
        <w:tc>
          <w:tcPr>
            <w:tcW w:w="1060" w:type="dxa"/>
            <w:vAlign w:val="bottom"/>
            <w:tcBorders>
              <w:top w:val="single" w:sz="8" w:color="0000FF"/>
            </w:tcBorders>
            <w:gridSpan w:val="25"/>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Borders>
              <w:top w:val="single" w:sz="8" w:color="0000FF"/>
            </w:tcBorders>
            <w:gridSpan w:val="3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top w:val="single" w:sz="8" w:color="0000FF"/>
            </w:tcBorders>
            <w:gridSpan w:val="14"/>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Borders>
              <w:top w:val="single" w:sz="8" w:color="0000FF"/>
            </w:tcBorders>
            <w:gridSpan w:val="45"/>
          </w:tcPr>
          <w:p>
            <w:pPr>
              <w:spacing w:after="0"/>
              <w:rPr>
                <w:sz w:val="11"/>
                <w:szCs w:val="11"/>
                <w:color w:val="auto"/>
              </w:rPr>
            </w:pPr>
          </w:p>
        </w:tc>
        <w:tc>
          <w:tcPr>
            <w:tcW w:w="1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180" w:type="dxa"/>
            <w:vAlign w:val="bottom"/>
            <w:gridSpan w:val="1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80" w:type="dxa"/>
            <w:vAlign w:val="bottom"/>
            <w:gridSpan w:val="3"/>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39"/>
          </w:tcPr>
          <w:p>
            <w:pPr>
              <w:spacing w:after="0" w:line="119" w:lineRule="exact"/>
              <w:rPr>
                <w:rFonts w:ascii="Arial" w:cs="Arial" w:eastAsia="Arial" w:hAnsi="Arial"/>
                <w:sz w:val="13"/>
                <w:szCs w:val="13"/>
                <w:color w:val="0000FF"/>
              </w:rPr>
            </w:pPr>
            <w:hyperlink r:id="rId145">
              <w:r>
                <w:rPr>
                  <w:rFonts w:ascii="Arial" w:cs="Arial" w:eastAsia="Arial" w:hAnsi="Arial"/>
                  <w:sz w:val="13"/>
                  <w:szCs w:val="13"/>
                  <w:color w:val="0000FF"/>
                </w:rPr>
                <w:t>U.S. Century Bank Amended and Restated 2015 Equity Incentive Plan (incorporated by reference to Exhibit 10.1 to the</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5">
              <w:r>
                <w:rPr>
                  <w:rFonts w:ascii="Arial" w:cs="Arial" w:eastAsia="Arial" w:hAnsi="Arial"/>
                  <w:sz w:val="13"/>
                  <w:szCs w:val="13"/>
                  <w:color w:val="0000FF"/>
                </w:rPr>
                <w:t>Registrant’s Current Report on Form 8-K (File No. 001-41196) filed with the Securities and Exchange Commission on</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46">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2</w:t>
              </w:r>
            </w:hyperlink>
          </w:p>
        </w:tc>
        <w:tc>
          <w:tcPr>
            <w:tcW w:w="7760" w:type="dxa"/>
            <w:vAlign w:val="bottom"/>
            <w:gridSpan w:val="143"/>
          </w:tcPr>
          <w:p>
            <w:pPr>
              <w:spacing w:after="0"/>
              <w:rPr>
                <w:rFonts w:ascii="Arial" w:cs="Arial" w:eastAsia="Arial" w:hAnsi="Arial"/>
                <w:sz w:val="13"/>
                <w:szCs w:val="13"/>
                <w:color w:val="0000FF"/>
              </w:rPr>
            </w:pPr>
            <w:hyperlink r:id="rId145">
              <w:r>
                <w:rPr>
                  <w:rFonts w:ascii="Arial" w:cs="Arial" w:eastAsia="Arial" w:hAnsi="Arial"/>
                  <w:sz w:val="13"/>
                  <w:szCs w:val="13"/>
                  <w:color w:val="0000FF"/>
                </w:rPr>
                <w:t xml:space="preserve">December 30, 2021). </w:t>
              </w:r>
            </w:hyperlink>
            <w:r>
              <w:rPr>
                <w:rFonts w:ascii="Arial" w:cs="Arial" w:eastAsia="Arial" w:hAnsi="Arial"/>
                <w:sz w:val="13"/>
                <w:szCs w:val="13"/>
                <w:color w:val="0000FF"/>
              </w:rPr>
              <w:t>*</w:t>
            </w:r>
          </w:p>
        </w:tc>
        <w:tc>
          <w:tcPr>
            <w:tcW w:w="0" w:type="dxa"/>
            <w:vAlign w:val="bottom"/>
          </w:tcPr>
          <w:p>
            <w:pPr>
              <w:spacing w:after="0"/>
              <w:rPr>
                <w:sz w:val="1"/>
                <w:szCs w:val="1"/>
                <w:color w:val="auto"/>
              </w:rPr>
            </w:pPr>
          </w:p>
        </w:tc>
      </w:tr>
      <w:tr>
        <w:trPr>
          <w:trHeight w:val="20"/>
        </w:trPr>
        <w:tc>
          <w:tcPr>
            <w:tcW w:w="480" w:type="dxa"/>
            <w:vAlign w:val="bottom"/>
            <w:gridSpan w:val="3"/>
            <w:vMerge w:val="continu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6020" w:type="dxa"/>
            <w:vAlign w:val="bottom"/>
            <w:tcBorders>
              <w:left w:val="single" w:sz="8" w:color="0000FF"/>
            </w:tcBorders>
            <w:gridSpan w:val="1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6">
              <w:r>
                <w:rPr>
                  <w:rFonts w:ascii="Arial" w:cs="Arial" w:eastAsia="Arial" w:hAnsi="Arial"/>
                  <w:sz w:val="13"/>
                  <w:szCs w:val="13"/>
                  <w:color w:val="0000FF"/>
                </w:rPr>
                <w:t>Amended and Restated Employment Agreement by and among USCB Financial Holdings, Inc., U.S. Century Bank and Luis</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6">
              <w:r>
                <w:rPr>
                  <w:rFonts w:ascii="Arial" w:cs="Arial" w:eastAsia="Arial" w:hAnsi="Arial"/>
                  <w:sz w:val="13"/>
                  <w:szCs w:val="13"/>
                  <w:color w:val="0000FF"/>
                </w:rPr>
                <w:t>de la Aguilera dated as of January 29, 2023 (incorporated by reference to Exhibit 10.2 to the Registrant’s Current Report on</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1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Form 8-K dated as of January 29, 2023 (File No. 001-41196) filed with the Securities and Exchange Commission on February</w:t>
              </w:r>
            </w:hyperlink>
          </w:p>
        </w:tc>
        <w:tc>
          <w:tcPr>
            <w:tcW w:w="0" w:type="dxa"/>
            <w:vAlign w:val="bottom"/>
          </w:tcPr>
          <w:p>
            <w:pPr>
              <w:spacing w:after="0"/>
              <w:rPr>
                <w:sz w:val="1"/>
                <w:szCs w:val="1"/>
                <w:color w:val="auto"/>
              </w:rPr>
            </w:pPr>
          </w:p>
        </w:tc>
      </w:tr>
      <w:tr>
        <w:trPr>
          <w:trHeight w:val="11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47">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3</w:t>
              </w:r>
            </w:hyperlink>
          </w:p>
        </w:tc>
        <w:tc>
          <w:tcPr>
            <w:tcW w:w="580" w:type="dxa"/>
            <w:vAlign w:val="bottom"/>
            <w:gridSpan w:val="4"/>
          </w:tcPr>
          <w:p>
            <w:pPr>
              <w:spacing w:after="0"/>
              <w:rPr>
                <w:sz w:val="10"/>
                <w:szCs w:val="10"/>
                <w:color w:val="auto"/>
              </w:rPr>
            </w:pPr>
          </w:p>
        </w:tc>
        <w:tc>
          <w:tcPr>
            <w:tcW w:w="560" w:type="dxa"/>
            <w:vAlign w:val="bottom"/>
            <w:tcBorders>
              <w:top w:val="single" w:sz="8" w:color="0000FF"/>
              <w:bottom w:val="single" w:sz="8" w:color="0000FF"/>
            </w:tcBorders>
            <w:gridSpan w:val="4"/>
          </w:tcPr>
          <w:p>
            <w:pPr>
              <w:spacing w:after="0" w:line="119" w:lineRule="exact"/>
              <w:rPr>
                <w:rFonts w:ascii="Arial" w:cs="Arial" w:eastAsia="Arial" w:hAnsi="Arial"/>
                <w:sz w:val="13"/>
                <w:szCs w:val="13"/>
                <w:color w:val="0000FF"/>
                <w:w w:val="92"/>
              </w:rPr>
            </w:pPr>
            <w:hyperlink r:id="rId146">
              <w:r>
                <w:rPr>
                  <w:rFonts w:ascii="Arial" w:cs="Arial" w:eastAsia="Arial" w:hAnsi="Arial"/>
                  <w:sz w:val="13"/>
                  <w:szCs w:val="13"/>
                  <w:color w:val="0000FF"/>
                  <w:w w:val="92"/>
                </w:rPr>
                <w:t>1, 2023).*</w:t>
              </w:r>
            </w:hyperlink>
          </w:p>
        </w:tc>
        <w:tc>
          <w:tcPr>
            <w:tcW w:w="6500" w:type="dxa"/>
            <w:vAlign w:val="bottom"/>
            <w:tcBorders>
              <w:top w:val="single" w:sz="8" w:color="0000FF"/>
            </w:tcBorders>
            <w:gridSpan w:val="132"/>
          </w:tcPr>
          <w:p>
            <w:pPr>
              <w:spacing w:after="0"/>
              <w:rPr>
                <w:sz w:val="10"/>
                <w:szCs w:val="10"/>
                <w:color w:val="auto"/>
              </w:rPr>
            </w:pPr>
          </w:p>
        </w:tc>
        <w:tc>
          <w:tcPr>
            <w:tcW w:w="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8"/>
              </w:rPr>
            </w:pPr>
            <w:hyperlink r:id="rId147">
              <w:r>
                <w:rPr>
                  <w:rFonts w:ascii="Arial" w:cs="Arial" w:eastAsia="Arial" w:hAnsi="Arial"/>
                  <w:sz w:val="13"/>
                  <w:szCs w:val="13"/>
                  <w:color w:val="0000FF"/>
                  <w:w w:val="98"/>
                </w:rPr>
                <w:t>Amended and Restated Employment Agreement by and among USCB Financial Holdings, Inc., U.S. Century Bank and Robert</w:t>
              </w:r>
            </w:hyperlink>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tcBorders>
            <w:gridSpan w:val="138"/>
          </w:tcPr>
          <w:p>
            <w:pPr>
              <w:spacing w:after="0" w:line="129" w:lineRule="exact"/>
              <w:rPr>
                <w:rFonts w:ascii="Arial" w:cs="Arial" w:eastAsia="Arial" w:hAnsi="Arial"/>
                <w:sz w:val="13"/>
                <w:szCs w:val="13"/>
                <w:color w:val="0000FF"/>
                <w:w w:val="98"/>
              </w:rPr>
            </w:pPr>
            <w:hyperlink r:id="rId147">
              <w:r>
                <w:rPr>
                  <w:rFonts w:ascii="Arial" w:cs="Arial" w:eastAsia="Arial" w:hAnsi="Arial"/>
                  <w:sz w:val="13"/>
                  <w:szCs w:val="13"/>
                  <w:color w:val="0000FF"/>
                  <w:w w:val="98"/>
                </w:rPr>
                <w:t>Anderson dated as of January 29, 2023 (incorporated by reference to Exhibit 10.1 to the Registrant’s Current Report on Form</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60" w:type="dxa"/>
            <w:vAlign w:val="bottom"/>
            <w:tcBorders>
              <w:top w:val="single" w:sz="8" w:color="0000FF"/>
            </w:tcBorders>
            <w:gridSpan w:val="136"/>
          </w:tcPr>
          <w:p>
            <w:pPr>
              <w:spacing w:after="0" w:line="129" w:lineRule="exact"/>
              <w:rPr>
                <w:rFonts w:ascii="Arial" w:cs="Arial" w:eastAsia="Arial" w:hAnsi="Arial"/>
                <w:sz w:val="13"/>
                <w:szCs w:val="13"/>
                <w:color w:val="0000FF"/>
              </w:rPr>
            </w:pPr>
            <w:hyperlink r:id="rId147">
              <w:r>
                <w:rPr>
                  <w:rFonts w:ascii="Arial" w:cs="Arial" w:eastAsia="Arial" w:hAnsi="Arial"/>
                  <w:sz w:val="13"/>
                  <w:szCs w:val="13"/>
                  <w:color w:val="0000FF"/>
                </w:rPr>
                <w:t>8-K dated as of January 29, 2023 (File No. 001-41196) filed with the Securities and Exchange Commission on February 1,</w:t>
              </w:r>
            </w:hyperlink>
          </w:p>
        </w:tc>
        <w:tc>
          <w:tcPr>
            <w:tcW w:w="1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48">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4</w:t>
              </w:r>
            </w:hyperlink>
          </w:p>
        </w:tc>
        <w:tc>
          <w:tcPr>
            <w:tcW w:w="7760" w:type="dxa"/>
            <w:vAlign w:val="bottom"/>
            <w:gridSpan w:val="143"/>
          </w:tcPr>
          <w:p>
            <w:pPr>
              <w:spacing w:after="0"/>
              <w:rPr>
                <w:rFonts w:ascii="Arial" w:cs="Arial" w:eastAsia="Arial" w:hAnsi="Arial"/>
                <w:sz w:val="13"/>
                <w:szCs w:val="13"/>
                <w:color w:val="0000FF"/>
              </w:rPr>
            </w:pPr>
            <w:hyperlink r:id="rId147">
              <w:r>
                <w:rPr>
                  <w:rFonts w:ascii="Arial" w:cs="Arial" w:eastAsia="Arial" w:hAnsi="Arial"/>
                  <w:sz w:val="13"/>
                  <w:szCs w:val="13"/>
                  <w:color w:val="0000FF"/>
                </w:rPr>
                <w:t>2023).*</w:t>
              </w:r>
            </w:hyperlink>
          </w:p>
        </w:tc>
        <w:tc>
          <w:tcPr>
            <w:tcW w:w="0" w:type="dxa"/>
            <w:vAlign w:val="bottom"/>
          </w:tcPr>
          <w:p>
            <w:pPr>
              <w:spacing w:after="0"/>
              <w:rPr>
                <w:sz w:val="1"/>
                <w:szCs w:val="1"/>
                <w:color w:val="auto"/>
              </w:rPr>
            </w:pPr>
          </w:p>
        </w:tc>
      </w:tr>
      <w:tr>
        <w:trPr>
          <w:trHeight w:val="20"/>
        </w:trPr>
        <w:tc>
          <w:tcPr>
            <w:tcW w:w="480" w:type="dxa"/>
            <w:vAlign w:val="bottom"/>
            <w:gridSpan w:val="3"/>
            <w:vMerge w:val="continue"/>
          </w:tcPr>
          <w:p>
            <w:pPr>
              <w:spacing w:after="0" w:line="20" w:lineRule="exact"/>
              <w:rPr>
                <w:sz w:val="1"/>
                <w:szCs w:val="1"/>
                <w:color w:val="auto"/>
              </w:rPr>
            </w:pPr>
          </w:p>
        </w:tc>
        <w:tc>
          <w:tcPr>
            <w:tcW w:w="7760" w:type="dxa"/>
            <w:vAlign w:val="bottom"/>
            <w:gridSpan w:val="1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39"/>
          </w:tcPr>
          <w:p>
            <w:pPr>
              <w:spacing w:after="0" w:line="119" w:lineRule="exact"/>
              <w:rPr>
                <w:rFonts w:ascii="Arial" w:cs="Arial" w:eastAsia="Arial" w:hAnsi="Arial"/>
                <w:sz w:val="13"/>
                <w:szCs w:val="13"/>
                <w:color w:val="0000FF"/>
              </w:rPr>
            </w:pPr>
            <w:hyperlink r:id="rId148">
              <w:r>
                <w:rPr>
                  <w:rFonts w:ascii="Arial" w:cs="Arial" w:eastAsia="Arial" w:hAnsi="Arial"/>
                  <w:sz w:val="13"/>
                  <w:szCs w:val="13"/>
                  <w:color w:val="0000FF"/>
                </w:rPr>
                <w:t>Amendment No. 1 dated January 6, 2025 to the Employment Agreement by and among U.S. Century Bank, USCB Financial</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500" w:type="dxa"/>
            <w:vAlign w:val="bottom"/>
            <w:tcBorders>
              <w:right w:val="single" w:sz="8" w:color="0000FF"/>
            </w:tcBorders>
            <w:gridSpan w:val="1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8">
              <w:r>
                <w:rPr>
                  <w:rFonts w:ascii="Arial" w:cs="Arial" w:eastAsia="Arial" w:hAnsi="Arial"/>
                  <w:sz w:val="13"/>
                  <w:szCs w:val="13"/>
                  <w:color w:val="0000FF"/>
                </w:rPr>
                <w:t>Holdings, Inc. and Robert Anderson dated as of January 29, 2023 (incorporated by reference to Exhibit 10.1 the Registrant’s</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right w:val="single" w:sz="8" w:color="0000FF"/>
            </w:tcBorders>
            <w:gridSpan w:val="1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49">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5</w:t>
              </w:r>
            </w:hyperlink>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48">
              <w:r>
                <w:rPr>
                  <w:rFonts w:ascii="Arial" w:cs="Arial" w:eastAsia="Arial" w:hAnsi="Arial"/>
                  <w:sz w:val="13"/>
                  <w:szCs w:val="13"/>
                  <w:color w:val="0000FF"/>
                </w:rPr>
                <w:t>Current Report on Form 8-K (File No. 001-41196) filed with the Securities and Exchange Commission on January 6, 2025).*</w:t>
              </w:r>
            </w:hyperlink>
          </w:p>
        </w:tc>
        <w:tc>
          <w:tcPr>
            <w:tcW w:w="0" w:type="dxa"/>
            <w:vAlign w:val="bottom"/>
          </w:tcPr>
          <w:p>
            <w:pPr>
              <w:spacing w:after="0"/>
              <w:rPr>
                <w:sz w:val="1"/>
                <w:szCs w:val="1"/>
                <w:color w:val="auto"/>
              </w:rPr>
            </w:pPr>
          </w:p>
        </w:tc>
      </w:tr>
      <w:tr>
        <w:trPr>
          <w:trHeight w:val="20"/>
        </w:trPr>
        <w:tc>
          <w:tcPr>
            <w:tcW w:w="480" w:type="dxa"/>
            <w:vAlign w:val="bottom"/>
            <w:gridSpan w:val="3"/>
            <w:vMerge w:val="continu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right w:val="single" w:sz="8" w:color="0000FF"/>
            </w:tcBorders>
            <w:gridSpan w:val="1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8"/>
              </w:rPr>
            </w:pPr>
            <w:hyperlink r:id="rId149">
              <w:r>
                <w:rPr>
                  <w:rFonts w:ascii="Arial" w:cs="Arial" w:eastAsia="Arial" w:hAnsi="Arial"/>
                  <w:sz w:val="13"/>
                  <w:szCs w:val="13"/>
                  <w:color w:val="0000FF"/>
                  <w:w w:val="98"/>
                </w:rPr>
                <w:t>Amended and Restated Change in Control Agreement between U.S. Century Bank and Nicholas Bustle dated as of December</w:t>
              </w:r>
            </w:hyperlink>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tcBorders>
            <w:gridSpan w:val="137"/>
          </w:tcPr>
          <w:p>
            <w:pPr>
              <w:spacing w:after="0" w:line="129" w:lineRule="exact"/>
              <w:rPr>
                <w:rFonts w:ascii="Arial" w:cs="Arial" w:eastAsia="Arial" w:hAnsi="Arial"/>
                <w:sz w:val="13"/>
                <w:szCs w:val="13"/>
                <w:color w:val="0000FF"/>
                <w:w w:val="97"/>
              </w:rPr>
            </w:pPr>
            <w:hyperlink r:id="rId149">
              <w:r>
                <w:rPr>
                  <w:rFonts w:ascii="Arial" w:cs="Arial" w:eastAsia="Arial" w:hAnsi="Arial"/>
                  <w:sz w:val="13"/>
                  <w:szCs w:val="13"/>
                  <w:color w:val="0000FF"/>
                  <w:w w:val="97"/>
                </w:rPr>
                <w:t>19, 2025 (incorporated by reference to Exhibit 10.1 the Registrant’s Current Report on Form 8-K (File No. 001-41196) filed with</w:t>
              </w:r>
            </w:hyperlink>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80" w:type="dxa"/>
            <w:vAlign w:val="bottom"/>
            <w:gridSpan w:val="3"/>
            <w:vMerge w:val="restart"/>
          </w:tcPr>
          <w:p>
            <w:pPr>
              <w:jc w:val="center"/>
              <w:ind w:left="176"/>
              <w:spacing w:after="0"/>
              <w:rPr>
                <w:sz w:val="20"/>
                <w:szCs w:val="20"/>
                <w:color w:val="auto"/>
              </w:rPr>
            </w:pPr>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6</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60" w:type="dxa"/>
            <w:vAlign w:val="bottom"/>
            <w:tcBorders>
              <w:top w:val="single" w:sz="8" w:color="0000FF"/>
              <w:bottom w:val="single" w:sz="8" w:color="0000FF"/>
            </w:tcBorders>
            <w:gridSpan w:val="71"/>
          </w:tcPr>
          <w:p>
            <w:pPr>
              <w:spacing w:after="0" w:line="119" w:lineRule="exact"/>
              <w:rPr>
                <w:rFonts w:ascii="Arial" w:cs="Arial" w:eastAsia="Arial" w:hAnsi="Arial"/>
                <w:sz w:val="13"/>
                <w:szCs w:val="13"/>
                <w:color w:val="0000FF"/>
                <w:w w:val="98"/>
              </w:rPr>
            </w:pPr>
            <w:hyperlink r:id="rId149">
              <w:r>
                <w:rPr>
                  <w:rFonts w:ascii="Arial" w:cs="Arial" w:eastAsia="Arial" w:hAnsi="Arial"/>
                  <w:sz w:val="13"/>
                  <w:szCs w:val="13"/>
                  <w:color w:val="0000FF"/>
                  <w:w w:val="98"/>
                </w:rPr>
                <w:t>the Securities and Exchange Commission on December 23, 2025).*</w:t>
              </w:r>
            </w:hyperlink>
          </w:p>
        </w:tc>
        <w:tc>
          <w:tcPr>
            <w:tcW w:w="3260" w:type="dxa"/>
            <w:vAlign w:val="bottom"/>
            <w:tcBorders>
              <w:top w:val="single" w:sz="8" w:color="0000FF"/>
            </w:tcBorders>
            <w:gridSpan w:val="67"/>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sz w:val="20"/>
                <w:szCs w:val="20"/>
                <w:color w:val="auto"/>
              </w:rPr>
            </w:pPr>
            <w:r>
              <w:rPr>
                <w:rFonts w:ascii="Arial" w:cs="Arial" w:eastAsia="Arial" w:hAnsi="Arial"/>
                <w:sz w:val="13"/>
                <w:szCs w:val="13"/>
                <w:color w:val="0000FF"/>
                <w:w w:val="99"/>
              </w:rPr>
              <w:t>Amended and Restated Change in Control Agreement between U.S. Century Bank and William Turner dated as of December</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50">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7</w:t>
              </w:r>
            </w:hyperlink>
          </w:p>
        </w:tc>
        <w:tc>
          <w:tcPr>
            <w:tcW w:w="7760" w:type="dxa"/>
            <w:vAlign w:val="bottom"/>
            <w:gridSpan w:val="143"/>
          </w:tcPr>
          <w:p>
            <w:pPr>
              <w:jc w:val="right"/>
              <w:ind w:right="7760"/>
              <w:spacing w:after="0"/>
              <w:rPr>
                <w:sz w:val="20"/>
                <w:szCs w:val="20"/>
                <w:color w:val="auto"/>
              </w:rPr>
            </w:pPr>
            <w:r>
              <w:rPr>
                <w:rFonts w:ascii="Arial" w:cs="Arial" w:eastAsia="Arial" w:hAnsi="Arial"/>
                <w:sz w:val="13"/>
                <w:szCs w:val="13"/>
                <w:color w:val="0000FF"/>
              </w:rPr>
              <w:t>10, 2025*, **</w:t>
            </w:r>
          </w:p>
        </w:tc>
        <w:tc>
          <w:tcPr>
            <w:tcW w:w="0" w:type="dxa"/>
            <w:vAlign w:val="bottom"/>
          </w:tcPr>
          <w:p>
            <w:pPr>
              <w:spacing w:after="0"/>
              <w:rPr>
                <w:sz w:val="1"/>
                <w:szCs w:val="1"/>
                <w:color w:val="auto"/>
              </w:rPr>
            </w:pPr>
          </w:p>
        </w:tc>
      </w:tr>
      <w:tr>
        <w:trPr>
          <w:trHeight w:val="20"/>
        </w:trPr>
        <w:tc>
          <w:tcPr>
            <w:tcW w:w="480" w:type="dxa"/>
            <w:vAlign w:val="bottom"/>
            <w:gridSpan w:val="3"/>
            <w:vMerge w:val="continu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560" w:type="dxa"/>
            <w:vAlign w:val="bottom"/>
            <w:gridSpan w:val="13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50">
              <w:r>
                <w:rPr>
                  <w:rFonts w:ascii="Arial" w:cs="Arial" w:eastAsia="Arial" w:hAnsi="Arial"/>
                  <w:sz w:val="13"/>
                  <w:szCs w:val="13"/>
                  <w:color w:val="0000FF"/>
                </w:rPr>
                <w:t>Amendment No. 1 dated as of January 30, 2026 to the Employment Agreement by and among U.S. Century Bank, USCB</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8"/>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4"/>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right w:val="single" w:sz="8" w:color="0000FF"/>
            </w:tcBorders>
            <w:gridSpan w:val="1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50">
              <w:r>
                <w:rPr>
                  <w:rFonts w:ascii="Arial" w:cs="Arial" w:eastAsia="Arial" w:hAnsi="Arial"/>
                  <w:sz w:val="13"/>
                  <w:szCs w:val="13"/>
                  <w:color w:val="0000FF"/>
                </w:rPr>
                <w:t>Financial Holdings, Inc. and Luis de la Aguilera dated as of January 29, 2023 (incorporated by reference to Exhibit 10.1 the</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6"/>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tcBorders>
              <w:right w:val="single" w:sz="8" w:color="0000FF"/>
            </w:tcBorders>
            <w:gridSpan w:val="1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15"/>
          </w:tcPr>
          <w:p>
            <w:pPr>
              <w:spacing w:after="0" w:line="119" w:lineRule="exact"/>
              <w:rPr>
                <w:rFonts w:ascii="Arial" w:cs="Arial" w:eastAsia="Arial" w:hAnsi="Arial"/>
                <w:sz w:val="13"/>
                <w:szCs w:val="13"/>
                <w:color w:val="0000FF"/>
                <w:w w:val="95"/>
              </w:rPr>
            </w:pPr>
            <w:hyperlink r:id="rId150">
              <w:r>
                <w:rPr>
                  <w:rFonts w:ascii="Arial" w:cs="Arial" w:eastAsia="Arial" w:hAnsi="Arial"/>
                  <w:sz w:val="13"/>
                  <w:szCs w:val="13"/>
                  <w:color w:val="0000FF"/>
                  <w:w w:val="95"/>
                </w:rPr>
                <w:t>Registrant’s Current</w:t>
              </w:r>
            </w:hyperlink>
          </w:p>
        </w:tc>
        <w:tc>
          <w:tcPr>
            <w:tcW w:w="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20" w:type="dxa"/>
            <w:vAlign w:val="bottom"/>
            <w:gridSpan w:val="122"/>
          </w:tcPr>
          <w:p>
            <w:pPr>
              <w:spacing w:after="0" w:line="119" w:lineRule="exact"/>
              <w:rPr>
                <w:rFonts w:ascii="Arial" w:cs="Arial" w:eastAsia="Arial" w:hAnsi="Arial"/>
                <w:sz w:val="13"/>
                <w:szCs w:val="13"/>
                <w:color w:val="0000FF"/>
                <w:w w:val="97"/>
              </w:rPr>
            </w:pPr>
            <w:hyperlink r:id="rId150">
              <w:r>
                <w:rPr>
                  <w:rFonts w:ascii="Arial" w:cs="Arial" w:eastAsia="Arial" w:hAnsi="Arial"/>
                  <w:sz w:val="13"/>
                  <w:szCs w:val="13"/>
                  <w:color w:val="0000FF"/>
                  <w:w w:val="97"/>
                </w:rPr>
                <w:t>Report on Form 8- K (File No. 001-41196) filed with the Securities and Exchange Commission on February</w:t>
              </w:r>
            </w:hyperlink>
          </w:p>
        </w:tc>
        <w:tc>
          <w:tcPr>
            <w:tcW w:w="0" w:type="dxa"/>
            <w:vAlign w:val="bottom"/>
          </w:tcPr>
          <w:p>
            <w:pPr>
              <w:spacing w:after="0"/>
              <w:rPr>
                <w:sz w:val="1"/>
                <w:szCs w:val="1"/>
                <w:color w:val="auto"/>
              </w:rPr>
            </w:pPr>
          </w:p>
        </w:tc>
      </w:tr>
      <w:tr>
        <w:trPr>
          <w:trHeight w:val="20"/>
        </w:trPr>
        <w:tc>
          <w:tcPr>
            <w:tcW w:w="1620" w:type="dxa"/>
            <w:vAlign w:val="bottom"/>
            <w:gridSpan w:val="11"/>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51">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8</w:t>
              </w:r>
            </w:hyperlink>
          </w:p>
        </w:tc>
        <w:tc>
          <w:tcPr>
            <w:tcW w:w="7760" w:type="dxa"/>
            <w:vAlign w:val="bottom"/>
            <w:gridSpan w:val="143"/>
          </w:tcPr>
          <w:p>
            <w:pPr>
              <w:spacing w:after="0"/>
              <w:rPr>
                <w:rFonts w:ascii="Arial" w:cs="Arial" w:eastAsia="Arial" w:hAnsi="Arial"/>
                <w:sz w:val="13"/>
                <w:szCs w:val="13"/>
                <w:color w:val="0000FF"/>
              </w:rPr>
            </w:pPr>
            <w:hyperlink r:id="rId150">
              <w:r>
                <w:rPr>
                  <w:rFonts w:ascii="Arial" w:cs="Arial" w:eastAsia="Arial" w:hAnsi="Arial"/>
                  <w:sz w:val="13"/>
                  <w:szCs w:val="13"/>
                  <w:color w:val="0000FF"/>
                </w:rPr>
                <w:t>4, 2026).*</w:t>
              </w:r>
            </w:hyperlink>
          </w:p>
        </w:tc>
        <w:tc>
          <w:tcPr>
            <w:tcW w:w="0" w:type="dxa"/>
            <w:vAlign w:val="bottom"/>
          </w:tcPr>
          <w:p>
            <w:pPr>
              <w:spacing w:after="0"/>
              <w:rPr>
                <w:sz w:val="1"/>
                <w:szCs w:val="1"/>
                <w:color w:val="auto"/>
              </w:rPr>
            </w:pPr>
          </w:p>
        </w:tc>
      </w:tr>
      <w:tr>
        <w:trPr>
          <w:trHeight w:val="20"/>
        </w:trPr>
        <w:tc>
          <w:tcPr>
            <w:tcW w:w="480" w:type="dxa"/>
            <w:vAlign w:val="bottom"/>
            <w:gridSpan w:val="3"/>
            <w:vMerge w:val="continue"/>
          </w:tcPr>
          <w:p>
            <w:pPr>
              <w:spacing w:after="0" w:line="20" w:lineRule="exact"/>
              <w:rPr>
                <w:sz w:val="1"/>
                <w:szCs w:val="1"/>
                <w:color w:val="auto"/>
              </w:rPr>
            </w:pPr>
          </w:p>
        </w:tc>
        <w:tc>
          <w:tcPr>
            <w:tcW w:w="7760" w:type="dxa"/>
            <w:vAlign w:val="bottom"/>
            <w:gridSpan w:val="1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51">
              <w:r>
                <w:rPr>
                  <w:rFonts w:ascii="Arial" w:cs="Arial" w:eastAsia="Arial" w:hAnsi="Arial"/>
                  <w:sz w:val="13"/>
                  <w:szCs w:val="13"/>
                  <w:color w:val="0000FF"/>
                </w:rPr>
                <w:t>Amendment No. 2 dated as January 28, 2026 to the Employment Agreement by and among U.S. Century Bank, USCB</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9"/>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8"/>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20" w:type="dxa"/>
            <w:vAlign w:val="bottom"/>
            <w:tcBorders>
              <w:right w:val="single" w:sz="8" w:color="0000FF"/>
            </w:tcBorders>
            <w:gridSpan w:val="16"/>
            <w:shd w:val="clear" w:color="auto" w:fill="0000FF"/>
          </w:tcPr>
          <w:p>
            <w:pPr>
              <w:spacing w:after="0" w:line="20" w:lineRule="exact"/>
              <w:rPr>
                <w:sz w:val="1"/>
                <w:szCs w:val="1"/>
                <w:color w:val="auto"/>
              </w:rPr>
            </w:pPr>
          </w:p>
        </w:tc>
        <w:tc>
          <w:tcPr>
            <w:tcW w:w="580" w:type="dxa"/>
            <w:vAlign w:val="bottom"/>
            <w:tcBorders>
              <w:right w:val="single" w:sz="8" w:color="0000FF"/>
            </w:tcBorders>
            <w:gridSpan w:val="1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14"/>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51">
              <w:r>
                <w:rPr>
                  <w:rFonts w:ascii="Arial" w:cs="Arial" w:eastAsia="Arial" w:hAnsi="Arial"/>
                  <w:sz w:val="13"/>
                  <w:szCs w:val="13"/>
                  <w:color w:val="0000FF"/>
                </w:rPr>
                <w:t>Financial Holdings, Inc. and Robert Anderson dated as of January 29, 2023 (incorporated by reference to Exhibit 10.1 the</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10"/>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8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18"/>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tcPr>
          <w:p>
            <w:pPr>
              <w:spacing w:after="0" w:line="20" w:lineRule="exact"/>
              <w:rPr>
                <w:sz w:val="1"/>
                <w:szCs w:val="1"/>
                <w:color w:val="auto"/>
              </w:rPr>
            </w:pPr>
          </w:p>
        </w:tc>
        <w:tc>
          <w:tcPr>
            <w:tcW w:w="48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Borders>
              <w:right w:val="single" w:sz="8" w:color="0000FF"/>
            </w:tcBorders>
            <w:gridSpan w:val="1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60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15"/>
          </w:tcPr>
          <w:p>
            <w:pPr>
              <w:spacing w:after="0" w:line="119" w:lineRule="exact"/>
              <w:rPr>
                <w:rFonts w:ascii="Arial" w:cs="Arial" w:eastAsia="Arial" w:hAnsi="Arial"/>
                <w:sz w:val="13"/>
                <w:szCs w:val="13"/>
                <w:color w:val="0000FF"/>
                <w:w w:val="95"/>
              </w:rPr>
            </w:pPr>
            <w:hyperlink r:id="rId151">
              <w:r>
                <w:rPr>
                  <w:rFonts w:ascii="Arial" w:cs="Arial" w:eastAsia="Arial" w:hAnsi="Arial"/>
                  <w:sz w:val="13"/>
                  <w:szCs w:val="13"/>
                  <w:color w:val="0000FF"/>
                  <w:w w:val="95"/>
                </w:rPr>
                <w:t>Registrant’s Current</w:t>
              </w:r>
            </w:hyperlink>
          </w:p>
        </w:tc>
        <w:tc>
          <w:tcPr>
            <w:tcW w:w="40" w:type="dxa"/>
            <w:vAlign w:val="bottom"/>
            <w:gridSpan w:val="2"/>
            <w:vMerge w:val="continue"/>
          </w:tcPr>
          <w:p>
            <w:pPr>
              <w:spacing w:after="0"/>
              <w:rPr>
                <w:sz w:val="10"/>
                <w:szCs w:val="10"/>
                <w:color w:val="auto"/>
              </w:rPr>
            </w:pPr>
          </w:p>
        </w:tc>
        <w:tc>
          <w:tcPr>
            <w:tcW w:w="6020" w:type="dxa"/>
            <w:vAlign w:val="bottom"/>
            <w:gridSpan w:val="122"/>
          </w:tcPr>
          <w:p>
            <w:pPr>
              <w:spacing w:after="0" w:line="119" w:lineRule="exact"/>
              <w:rPr>
                <w:rFonts w:ascii="Arial" w:cs="Arial" w:eastAsia="Arial" w:hAnsi="Arial"/>
                <w:sz w:val="13"/>
                <w:szCs w:val="13"/>
                <w:color w:val="0000FF"/>
                <w:w w:val="98"/>
              </w:rPr>
            </w:pPr>
            <w:hyperlink r:id="rId151">
              <w:r>
                <w:rPr>
                  <w:rFonts w:ascii="Arial" w:cs="Arial" w:eastAsia="Arial" w:hAnsi="Arial"/>
                  <w:sz w:val="13"/>
                  <w:szCs w:val="13"/>
                  <w:color w:val="0000FF"/>
                  <w:w w:val="98"/>
                </w:rPr>
                <w:t>Report on Form 8- K (File No. 001-41196) filed with the Securities and Exchange Commission on January</w:t>
              </w:r>
            </w:hyperlink>
          </w:p>
        </w:tc>
        <w:tc>
          <w:tcPr>
            <w:tcW w:w="0" w:type="dxa"/>
            <w:vAlign w:val="bottom"/>
          </w:tcPr>
          <w:p>
            <w:pPr>
              <w:spacing w:after="0"/>
              <w:rPr>
                <w:sz w:val="1"/>
                <w:szCs w:val="1"/>
                <w:color w:val="auto"/>
              </w:rPr>
            </w:pPr>
          </w:p>
        </w:tc>
      </w:tr>
      <w:tr>
        <w:trPr>
          <w:trHeight w:val="20"/>
        </w:trPr>
        <w:tc>
          <w:tcPr>
            <w:tcW w:w="1680" w:type="dxa"/>
            <w:vAlign w:val="bottom"/>
            <w:tcBorders>
              <w:right w:val="single" w:sz="8" w:color="0000FF"/>
            </w:tcBorders>
            <w:gridSpan w:val="12"/>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restart"/>
          </w:tcPr>
          <w:p>
            <w:pPr>
              <w:jc w:val="center"/>
              <w:ind w:left="176"/>
              <w:spacing w:after="0"/>
              <w:rPr>
                <w:rFonts w:ascii="Arial" w:cs="Arial" w:eastAsia="Arial" w:hAnsi="Arial"/>
                <w:sz w:val="13"/>
                <w:szCs w:val="13"/>
                <w:color w:val="0000FF"/>
                <w:w w:val="94"/>
              </w:rPr>
            </w:pPr>
            <w:hyperlink r:id="rId152">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9</w:t>
              </w:r>
            </w:hyperlink>
          </w:p>
        </w:tc>
        <w:tc>
          <w:tcPr>
            <w:tcW w:w="7760" w:type="dxa"/>
            <w:vAlign w:val="bottom"/>
            <w:gridSpan w:val="143"/>
          </w:tcPr>
          <w:p>
            <w:pPr>
              <w:spacing w:after="0"/>
              <w:rPr>
                <w:rFonts w:ascii="Arial" w:cs="Arial" w:eastAsia="Arial" w:hAnsi="Arial"/>
                <w:sz w:val="13"/>
                <w:szCs w:val="13"/>
                <w:color w:val="0000FF"/>
              </w:rPr>
            </w:pPr>
            <w:hyperlink r:id="rId151">
              <w:r>
                <w:rPr>
                  <w:rFonts w:ascii="Arial" w:cs="Arial" w:eastAsia="Arial" w:hAnsi="Arial"/>
                  <w:sz w:val="13"/>
                  <w:szCs w:val="13"/>
                  <w:color w:val="0000FF"/>
                </w:rPr>
                <w:t>30, 2026).*</w:t>
              </w:r>
            </w:hyperlink>
          </w:p>
        </w:tc>
        <w:tc>
          <w:tcPr>
            <w:tcW w:w="0" w:type="dxa"/>
            <w:vAlign w:val="bottom"/>
          </w:tcPr>
          <w:p>
            <w:pPr>
              <w:spacing w:after="0"/>
              <w:rPr>
                <w:sz w:val="1"/>
                <w:szCs w:val="1"/>
                <w:color w:val="auto"/>
              </w:rPr>
            </w:pPr>
          </w:p>
        </w:tc>
      </w:tr>
      <w:tr>
        <w:trPr>
          <w:trHeight w:val="20"/>
        </w:trPr>
        <w:tc>
          <w:tcPr>
            <w:tcW w:w="4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0000FF"/>
            </w:tcBorders>
            <w:gridSpan w:val="5"/>
            <w:shd w:val="clear" w:color="auto" w:fill="0000FF"/>
          </w:tcPr>
          <w:p>
            <w:pPr>
              <w:spacing w:after="0" w:line="20" w:lineRule="exact"/>
              <w:rPr>
                <w:sz w:val="1"/>
                <w:szCs w:val="1"/>
                <w:color w:val="auto"/>
              </w:rPr>
            </w:pPr>
          </w:p>
        </w:tc>
        <w:tc>
          <w:tcPr>
            <w:tcW w:w="1160" w:type="dxa"/>
            <w:vAlign w:val="bottom"/>
            <w:gridSpan w:val="26"/>
          </w:tcPr>
          <w:p>
            <w:pPr>
              <w:spacing w:after="0" w:line="20" w:lineRule="exact"/>
              <w:rPr>
                <w:sz w:val="1"/>
                <w:szCs w:val="1"/>
                <w:color w:val="auto"/>
              </w:rPr>
            </w:pPr>
          </w:p>
        </w:tc>
        <w:tc>
          <w:tcPr>
            <w:tcW w:w="820" w:type="dxa"/>
            <w:vAlign w:val="bottom"/>
            <w:gridSpan w:val="1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1"/>
          </w:tcPr>
          <w:p>
            <w:pPr>
              <w:spacing w:after="0" w:line="20" w:lineRule="exact"/>
              <w:rPr>
                <w:sz w:val="1"/>
                <w:szCs w:val="1"/>
                <w:color w:val="auto"/>
              </w:rPr>
            </w:pPr>
          </w:p>
        </w:tc>
        <w:tc>
          <w:tcPr>
            <w:tcW w:w="920" w:type="dxa"/>
            <w:vAlign w:val="bottom"/>
            <w:gridSpan w:val="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w w:val="98"/>
              </w:rPr>
            </w:pPr>
            <w:hyperlink r:id="rId152">
              <w:r>
                <w:rPr>
                  <w:rFonts w:ascii="Arial" w:cs="Arial" w:eastAsia="Arial" w:hAnsi="Arial"/>
                  <w:sz w:val="13"/>
                  <w:szCs w:val="13"/>
                  <w:color w:val="0000FF"/>
                  <w:w w:val="98"/>
                </w:rPr>
                <w:t>Change in Control Agreement between U.S. Century Bank and Maricarmen Logroño dated as of March 25, 2025 (incorporated</w:t>
              </w:r>
            </w:hyperlink>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tcBorders>
            <w:gridSpan w:val="138"/>
          </w:tcPr>
          <w:p>
            <w:pPr>
              <w:spacing w:after="0" w:line="129" w:lineRule="exact"/>
              <w:rPr>
                <w:rFonts w:ascii="Arial" w:cs="Arial" w:eastAsia="Arial" w:hAnsi="Arial"/>
                <w:sz w:val="13"/>
                <w:szCs w:val="13"/>
                <w:color w:val="0000FF"/>
                <w:w w:val="99"/>
              </w:rPr>
            </w:pPr>
            <w:hyperlink r:id="rId152">
              <w:r>
                <w:rPr>
                  <w:rFonts w:ascii="Arial" w:cs="Arial" w:eastAsia="Arial" w:hAnsi="Arial"/>
                  <w:sz w:val="13"/>
                  <w:szCs w:val="13"/>
                  <w:color w:val="0000FF"/>
                  <w:w w:val="99"/>
                </w:rPr>
                <w:t>by reference to Exhibit 10.1 to the Registrant’s Quarterly Report on Form 10-Q (File No. 001-41196) filed with the Securities</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FF"/>
            </w:tcBorders>
            <w:gridSpan w:val="21"/>
            <w:shd w:val="clear" w:color="auto" w:fill="0000FF"/>
          </w:tcPr>
          <w:p>
            <w:pPr>
              <w:spacing w:after="0" w:line="20" w:lineRule="exact"/>
              <w:rPr>
                <w:sz w:val="1"/>
                <w:szCs w:val="1"/>
                <w:color w:val="auto"/>
              </w:rPr>
            </w:pPr>
          </w:p>
        </w:tc>
        <w:tc>
          <w:tcPr>
            <w:tcW w:w="820" w:type="dxa"/>
            <w:vAlign w:val="bottom"/>
            <w:gridSpan w:val="18"/>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0000FF"/>
            </w:tcBorders>
            <w:gridSpan w:val="21"/>
            <w:shd w:val="clear" w:color="auto" w:fill="0000FF"/>
          </w:tcPr>
          <w:p>
            <w:pPr>
              <w:spacing w:after="0" w:line="20" w:lineRule="exact"/>
              <w:rPr>
                <w:sz w:val="1"/>
                <w:szCs w:val="1"/>
                <w:color w:val="auto"/>
              </w:rPr>
            </w:pPr>
          </w:p>
        </w:tc>
        <w:tc>
          <w:tcPr>
            <w:tcW w:w="920" w:type="dxa"/>
            <w:vAlign w:val="bottom"/>
            <w:tcBorders>
              <w:right w:val="single" w:sz="8" w:color="0000FF"/>
            </w:tcBorders>
            <w:gridSpan w:val="20"/>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tcBorders>
              <w:right w:val="single" w:sz="8" w:color="0000FF"/>
            </w:tcBorders>
            <w:gridSpan w:val="10"/>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gridSpan w:val="5"/>
            <w:vMerge w:val="restart"/>
          </w:tcPr>
          <w:p>
            <w:pPr>
              <w:jc w:val="center"/>
              <w:spacing w:after="0"/>
              <w:rPr>
                <w:sz w:val="20"/>
                <w:szCs w:val="20"/>
                <w:color w:val="auto"/>
              </w:rPr>
            </w:pPr>
            <w:r>
              <w:rPr>
                <w:rFonts w:ascii="Arial" w:cs="Arial" w:eastAsia="Arial" w:hAnsi="Arial"/>
                <w:sz w:val="13"/>
                <w:szCs w:val="13"/>
                <w:color w:val="0000FF"/>
                <w:w w:val="98"/>
              </w:rPr>
              <w:t>10.</w:t>
            </w:r>
            <w:r>
              <w:rPr>
                <w:rFonts w:ascii="Arial" w:cs="Arial" w:eastAsia="Arial" w:hAnsi="Arial"/>
                <w:sz w:val="13"/>
                <w:szCs w:val="13"/>
                <w:u w:val="single" w:color="auto"/>
                <w:color w:val="0000FF"/>
                <w:w w:val="98"/>
              </w:rPr>
              <w:t>10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rFonts w:ascii="Arial" w:cs="Arial" w:eastAsia="Arial" w:hAnsi="Arial"/>
                <w:sz w:val="13"/>
                <w:szCs w:val="13"/>
                <w:color w:val="0000FF"/>
              </w:rPr>
            </w:pPr>
            <w:hyperlink r:id="rId152">
              <w:r>
                <w:rPr>
                  <w:rFonts w:ascii="Arial" w:cs="Arial" w:eastAsia="Arial" w:hAnsi="Arial"/>
                  <w:sz w:val="13"/>
                  <w:szCs w:val="13"/>
                  <w:color w:val="0000FF"/>
                </w:rPr>
                <w:t>and Exchange Commission on May 9, 2025).*</w:t>
              </w:r>
            </w:hyperlink>
          </w:p>
        </w:tc>
        <w:tc>
          <w:tcPr>
            <w:tcW w:w="0" w:type="dxa"/>
            <w:vAlign w:val="bottom"/>
          </w:tcPr>
          <w:p>
            <w:pPr>
              <w:spacing w:after="0"/>
              <w:rPr>
                <w:sz w:val="1"/>
                <w:szCs w:val="1"/>
                <w:color w:val="auto"/>
              </w:rPr>
            </w:pPr>
          </w:p>
        </w:tc>
      </w:tr>
      <w:tr>
        <w:trPr>
          <w:trHeight w:val="20"/>
        </w:trPr>
        <w:tc>
          <w:tcPr>
            <w:tcW w:w="780" w:type="dxa"/>
            <w:vAlign w:val="bottom"/>
            <w:gridSpan w:val="5"/>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49"/>
            <w:shd w:val="clear" w:color="auto" w:fill="0000FF"/>
          </w:tcPr>
          <w:p>
            <w:pPr>
              <w:spacing w:after="0" w:line="20" w:lineRule="exact"/>
              <w:rPr>
                <w:sz w:val="1"/>
                <w:szCs w:val="1"/>
                <w:color w:val="auto"/>
              </w:rPr>
            </w:pPr>
          </w:p>
        </w:tc>
        <w:tc>
          <w:tcPr>
            <w:tcW w:w="3740" w:type="dxa"/>
            <w:vAlign w:val="bottom"/>
            <w:gridSpan w:val="7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39"/>
          </w:tcPr>
          <w:p>
            <w:pPr>
              <w:spacing w:after="0" w:line="129" w:lineRule="exact"/>
              <w:rPr>
                <w:sz w:val="20"/>
                <w:szCs w:val="20"/>
                <w:color w:val="auto"/>
              </w:rPr>
            </w:pPr>
            <w:r>
              <w:rPr>
                <w:rFonts w:ascii="Arial" w:cs="Arial" w:eastAsia="Arial" w:hAnsi="Arial"/>
                <w:sz w:val="13"/>
                <w:szCs w:val="13"/>
                <w:color w:val="0000FF"/>
              </w:rPr>
              <w:t>Change in Control Agreement between U.S. Century Bank and Andres Collazo dated as of January 2, 2026. *,**</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40" w:type="dxa"/>
            <w:vAlign w:val="bottom"/>
            <w:tcBorders>
              <w:right w:val="single" w:sz="8" w:color="0000FF"/>
            </w:tcBorders>
            <w:gridSpan w:val="12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40" w:type="dxa"/>
            <w:vAlign w:val="bottom"/>
            <w:gridSpan w:val="4"/>
          </w:tcPr>
          <w:p>
            <w:pPr>
              <w:jc w:val="center"/>
              <w:ind w:left="176"/>
              <w:spacing w:after="0" w:line="140" w:lineRule="exact"/>
              <w:rPr>
                <w:sz w:val="20"/>
                <w:szCs w:val="20"/>
                <w:color w:val="auto"/>
              </w:rPr>
            </w:pPr>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39"/>
          </w:tcPr>
          <w:p>
            <w:pPr>
              <w:spacing w:after="0" w:line="140" w:lineRule="exact"/>
              <w:rPr>
                <w:sz w:val="20"/>
                <w:szCs w:val="20"/>
                <w:color w:val="auto"/>
              </w:rPr>
            </w:pPr>
            <w:r>
              <w:rPr>
                <w:rFonts w:ascii="Arial" w:cs="Arial" w:eastAsia="Arial" w:hAnsi="Arial"/>
                <w:sz w:val="13"/>
                <w:szCs w:val="13"/>
                <w:color w:val="0000FF"/>
              </w:rPr>
              <w:t>Change in Control Agreement between U.S. Century Bank and Oscar Gomez dated as of December 29, 2025. *,**</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tcBorders>
              <w:right w:val="single" w:sz="8" w:color="0000FF"/>
            </w:tcBorders>
            <w:gridSpan w:val="126"/>
            <w:shd w:val="clear" w:color="auto" w:fill="0000FF"/>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80" w:type="dxa"/>
            <w:vAlign w:val="bottom"/>
            <w:gridSpan w:val="5"/>
          </w:tcPr>
          <w:p>
            <w:pPr>
              <w:jc w:val="center"/>
              <w:spacing w:after="0" w:line="140" w:lineRule="exact"/>
              <w:rPr>
                <w:sz w:val="20"/>
                <w:szCs w:val="20"/>
                <w:color w:val="auto"/>
              </w:rPr>
            </w:pPr>
            <w:r>
              <w:rPr>
                <w:rFonts w:ascii="Arial" w:cs="Arial" w:eastAsia="Arial" w:hAnsi="Arial"/>
                <w:sz w:val="13"/>
                <w:szCs w:val="13"/>
                <w:color w:val="0000FF"/>
                <w:w w:val="98"/>
              </w:rPr>
              <w:t>10.</w:t>
            </w:r>
            <w:r>
              <w:rPr>
                <w:rFonts w:ascii="Arial" w:cs="Arial" w:eastAsia="Arial" w:hAnsi="Arial"/>
                <w:sz w:val="13"/>
                <w:szCs w:val="13"/>
                <w:u w:val="single" w:color="auto"/>
                <w:color w:val="0000FF"/>
                <w:w w:val="98"/>
              </w:rPr>
              <w:t>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39"/>
          </w:tcPr>
          <w:p>
            <w:pPr>
              <w:spacing w:after="0" w:line="140" w:lineRule="exact"/>
              <w:rPr>
                <w:sz w:val="20"/>
                <w:szCs w:val="20"/>
                <w:color w:val="auto"/>
              </w:rPr>
            </w:pPr>
            <w:r>
              <w:rPr>
                <w:rFonts w:ascii="Arial" w:cs="Arial" w:eastAsia="Arial" w:hAnsi="Arial"/>
                <w:sz w:val="13"/>
                <w:szCs w:val="13"/>
                <w:color w:val="0000FF"/>
              </w:rPr>
              <w:t>Change in Control Agreement between U.S. Century Bank and Martha Guerra-Kattou dated as of December 29, 2025. *,**</w:t>
            </w:r>
          </w:p>
        </w:tc>
        <w:tc>
          <w:tcPr>
            <w:tcW w:w="0" w:type="dxa"/>
            <w:vAlign w:val="bottom"/>
          </w:tcPr>
          <w:p>
            <w:pPr>
              <w:spacing w:after="0"/>
              <w:rPr>
                <w:sz w:val="1"/>
                <w:szCs w:val="1"/>
                <w:color w:val="auto"/>
              </w:rPr>
            </w:pPr>
          </w:p>
        </w:tc>
      </w:tr>
      <w:tr>
        <w:trPr>
          <w:trHeight w:val="632"/>
        </w:trPr>
        <w:tc>
          <w:tcPr>
            <w:tcW w:w="2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780" w:type="dxa"/>
            <w:vAlign w:val="bottom"/>
            <w:tcBorders>
              <w:top w:val="single" w:sz="8" w:color="0000FF"/>
            </w:tcBorders>
            <w:gridSpan w:val="31"/>
          </w:tcPr>
          <w:p>
            <w:pPr>
              <w:ind w:left="1520"/>
              <w:spacing w:after="0"/>
              <w:rPr>
                <w:sz w:val="20"/>
                <w:szCs w:val="20"/>
                <w:color w:val="auto"/>
              </w:rPr>
            </w:pPr>
            <w:r>
              <w:rPr>
                <w:rFonts w:ascii="Arial" w:cs="Arial" w:eastAsia="Arial" w:hAnsi="Arial"/>
                <w:sz w:val="14"/>
                <w:szCs w:val="14"/>
                <w:color w:val="auto"/>
                <w:w w:val="94"/>
              </w:rPr>
              <w:t>128</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80" w:type="dxa"/>
            <w:vAlign w:val="bottom"/>
            <w:tcBorders>
              <w:top w:val="single" w:sz="8" w:color="0000FF"/>
            </w:tcBorders>
            <w:gridSpan w:val="98"/>
          </w:tcPr>
          <w:p>
            <w:pPr>
              <w:spacing w:after="0"/>
              <w:rPr>
                <w:sz w:val="20"/>
                <w:szCs w:val="20"/>
                <w:color w:val="auto"/>
              </w:rPr>
            </w:pPr>
            <w:r>
              <w:rPr>
                <w:rFonts w:ascii="Arial" w:cs="Arial" w:eastAsia="Arial" w:hAnsi="Arial"/>
                <w:sz w:val="14"/>
                <w:szCs w:val="14"/>
                <w:color w:val="auto"/>
              </w:rPr>
              <w:t>USCB Financial Holdings, Inc.  2025 10-K</w:t>
            </w:r>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128" w:name="page129"/>
    <w:bookmarkEnd w:id="1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820" w:type="dxa"/>
            <w:vAlign w:val="bottom"/>
            <w:gridSpan w:val="4"/>
          </w:tcPr>
          <w:p>
            <w:pPr>
              <w:jc w:val="center"/>
              <w:ind w:right="500"/>
              <w:spacing w:after="0"/>
              <w:rPr>
                <w:rFonts w:ascii="Arial" w:cs="Arial" w:eastAsia="Arial" w:hAnsi="Arial"/>
                <w:sz w:val="13"/>
                <w:szCs w:val="13"/>
                <w:color w:val="0000FF"/>
                <w:w w:val="98"/>
              </w:rPr>
            </w:pPr>
            <w:hyperlink r:id="rId154">
              <w:r>
                <w:rPr>
                  <w:rFonts w:ascii="Arial" w:cs="Arial" w:eastAsia="Arial" w:hAnsi="Arial"/>
                  <w:sz w:val="13"/>
                  <w:szCs w:val="13"/>
                  <w:color w:val="0000FF"/>
                  <w:w w:val="98"/>
                </w:rPr>
                <w:t>10.</w:t>
              </w:r>
              <w:r>
                <w:rPr>
                  <w:rFonts w:ascii="Arial" w:cs="Arial" w:eastAsia="Arial" w:hAnsi="Arial"/>
                  <w:sz w:val="13"/>
                  <w:szCs w:val="13"/>
                  <w:u w:val="single" w:color="auto"/>
                  <w:color w:val="0000FF"/>
                  <w:w w:val="98"/>
                </w:rPr>
                <w:t>13</w:t>
              </w:r>
            </w:hyperlink>
          </w:p>
        </w:tc>
        <w:tc>
          <w:tcPr>
            <w:tcW w:w="7100" w:type="dxa"/>
            <w:vAlign w:val="bottom"/>
            <w:gridSpan w:val="54"/>
          </w:tcPr>
          <w:p>
            <w:pPr>
              <w:spacing w:after="0"/>
              <w:rPr>
                <w:rFonts w:ascii="Arial" w:cs="Arial" w:eastAsia="Arial" w:hAnsi="Arial"/>
                <w:sz w:val="13"/>
                <w:szCs w:val="13"/>
                <w:color w:val="0000FF"/>
                <w:w w:val="98"/>
              </w:rPr>
            </w:pPr>
            <w:hyperlink r:id="rId154">
              <w:r>
                <w:rPr>
                  <w:rFonts w:ascii="Arial" w:cs="Arial" w:eastAsia="Arial" w:hAnsi="Arial"/>
                  <w:sz w:val="13"/>
                  <w:szCs w:val="13"/>
                  <w:color w:val="0000FF"/>
                  <w:w w:val="98"/>
                </w:rPr>
                <w:t>Form of Subordinated Note Purchase Agreement, dated August 14, 2025, by and among the Company and the purchasers of</w:t>
              </w:r>
            </w:hyperlink>
          </w:p>
        </w:tc>
        <w:tc>
          <w:tcPr>
            <w:tcW w:w="0" w:type="dxa"/>
            <w:vAlign w:val="bottom"/>
          </w:tcPr>
          <w:p>
            <w:pPr>
              <w:spacing w:after="0"/>
              <w:rPr>
                <w:sz w:val="1"/>
                <w:szCs w:val="1"/>
                <w:color w:val="auto"/>
              </w:rPr>
            </w:pPr>
          </w:p>
        </w:tc>
      </w:tr>
      <w:tr>
        <w:trPr>
          <w:trHeight w:val="129"/>
        </w:trPr>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7100" w:type="dxa"/>
            <w:vAlign w:val="bottom"/>
            <w:tcBorders>
              <w:top w:val="single" w:sz="8" w:color="0000FF"/>
            </w:tcBorders>
            <w:gridSpan w:val="54"/>
          </w:tcPr>
          <w:p>
            <w:pPr>
              <w:spacing w:after="0" w:line="129" w:lineRule="exact"/>
              <w:rPr>
                <w:rFonts w:ascii="Arial" w:cs="Arial" w:eastAsia="Arial" w:hAnsi="Arial"/>
                <w:sz w:val="13"/>
                <w:szCs w:val="13"/>
                <w:color w:val="0000FF"/>
                <w:w w:val="99"/>
              </w:rPr>
            </w:pPr>
            <w:hyperlink r:id="rId154">
              <w:r>
                <w:rPr>
                  <w:rFonts w:ascii="Arial" w:cs="Arial" w:eastAsia="Arial" w:hAnsi="Arial"/>
                  <w:sz w:val="13"/>
                  <w:szCs w:val="13"/>
                  <w:color w:val="0000FF"/>
                  <w:w w:val="99"/>
                </w:rPr>
                <w:t>the 7.625% Fixed-to-Floating Rate Subordinated Notes due 2035 who were signatories thereto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gridSpan w:val="5"/>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10"/>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gridSpan w:val="14"/>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140" w:type="dxa"/>
            <w:vAlign w:val="bottom"/>
            <w:tcBorders>
              <w:left w:val="single" w:sz="8" w:color="0000FF"/>
            </w:tcBorders>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100" w:type="dxa"/>
            <w:vAlign w:val="bottom"/>
            <w:gridSpan w:val="54"/>
          </w:tcPr>
          <w:p>
            <w:pPr>
              <w:spacing w:after="0" w:line="119" w:lineRule="exact"/>
              <w:rPr>
                <w:rFonts w:ascii="Arial" w:cs="Arial" w:eastAsia="Arial" w:hAnsi="Arial"/>
                <w:sz w:val="13"/>
                <w:szCs w:val="13"/>
                <w:color w:val="0000FF"/>
              </w:rPr>
            </w:pPr>
            <w:hyperlink r:id="rId154">
              <w:r>
                <w:rPr>
                  <w:rFonts w:ascii="Arial" w:cs="Arial" w:eastAsia="Arial" w:hAnsi="Arial"/>
                  <w:sz w:val="13"/>
                  <w:szCs w:val="13"/>
                  <w:color w:val="0000FF"/>
                </w:rPr>
                <w:t>Exhibit 10.1 of the Registrant’s Current Report on Form 8-K (File No. 001-41196) filed with the Securities and Exchange</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gridSpan w:val="2"/>
            <w:vMerge w:val="restart"/>
          </w:tcPr>
          <w:p>
            <w:pPr>
              <w:jc w:val="center"/>
              <w:spacing w:after="0"/>
              <w:rPr>
                <w:rFonts w:ascii="Arial" w:cs="Arial" w:eastAsia="Arial" w:hAnsi="Arial"/>
                <w:sz w:val="13"/>
                <w:szCs w:val="13"/>
                <w:color w:val="0000FF"/>
                <w:w w:val="94"/>
              </w:rPr>
            </w:pPr>
            <w:hyperlink r:id="rId155">
              <w:r>
                <w:rPr>
                  <w:rFonts w:ascii="Arial" w:cs="Arial" w:eastAsia="Arial" w:hAnsi="Arial"/>
                  <w:sz w:val="13"/>
                  <w:szCs w:val="13"/>
                  <w:color w:val="0000FF"/>
                  <w:w w:val="94"/>
                </w:rPr>
                <w:t>19.</w:t>
              </w:r>
              <w:r>
                <w:rPr>
                  <w:rFonts w:ascii="Arial" w:cs="Arial" w:eastAsia="Arial" w:hAnsi="Arial"/>
                  <w:sz w:val="13"/>
                  <w:szCs w:val="13"/>
                  <w:u w:val="single" w:color="auto"/>
                  <w:color w:val="0000FF"/>
                  <w:w w:val="94"/>
                </w:rPr>
                <w:t>1</w:t>
              </w:r>
            </w:hyperlink>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100" w:type="dxa"/>
            <w:vAlign w:val="bottom"/>
            <w:gridSpan w:val="54"/>
          </w:tcPr>
          <w:p>
            <w:pPr>
              <w:spacing w:after="0" w:line="129" w:lineRule="exact"/>
              <w:rPr>
                <w:rFonts w:ascii="Arial" w:cs="Arial" w:eastAsia="Arial" w:hAnsi="Arial"/>
                <w:sz w:val="13"/>
                <w:szCs w:val="13"/>
                <w:color w:val="0000FF"/>
              </w:rPr>
            </w:pPr>
            <w:hyperlink r:id="rId154">
              <w:r>
                <w:rPr>
                  <w:rFonts w:ascii="Arial" w:cs="Arial" w:eastAsia="Arial" w:hAnsi="Arial"/>
                  <w:sz w:val="13"/>
                  <w:szCs w:val="13"/>
                  <w:color w:val="0000FF"/>
                </w:rPr>
                <w:t>Commission on August 14, 2025).</w:t>
              </w:r>
            </w:hyperlink>
          </w:p>
        </w:tc>
        <w:tc>
          <w:tcPr>
            <w:tcW w:w="0" w:type="dxa"/>
            <w:vAlign w:val="bottom"/>
          </w:tcPr>
          <w:p>
            <w:pPr>
              <w:spacing w:after="0"/>
              <w:rPr>
                <w:sz w:val="1"/>
                <w:szCs w:val="1"/>
                <w:color w:val="auto"/>
              </w:rPr>
            </w:pPr>
          </w:p>
        </w:tc>
      </w:tr>
      <w:tr>
        <w:trPr>
          <w:trHeight w:val="20"/>
        </w:trPr>
        <w:tc>
          <w:tcPr>
            <w:tcW w:w="2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100" w:type="dxa"/>
            <w:vAlign w:val="bottom"/>
            <w:gridSpan w:val="54"/>
          </w:tcPr>
          <w:p>
            <w:pPr>
              <w:spacing w:after="0" w:line="129" w:lineRule="exact"/>
              <w:rPr>
                <w:rFonts w:ascii="Arial" w:cs="Arial" w:eastAsia="Arial" w:hAnsi="Arial"/>
                <w:sz w:val="13"/>
                <w:szCs w:val="13"/>
                <w:color w:val="0000FF"/>
                <w:w w:val="97"/>
              </w:rPr>
            </w:pPr>
            <w:hyperlink r:id="rId155">
              <w:r>
                <w:rPr>
                  <w:rFonts w:ascii="Arial" w:cs="Arial" w:eastAsia="Arial" w:hAnsi="Arial"/>
                  <w:sz w:val="13"/>
                  <w:szCs w:val="13"/>
                  <w:color w:val="0000FF"/>
                  <w:w w:val="97"/>
                </w:rPr>
                <w:t>Insider Trading and Disclosure Policy (incorporated by reference to Exhibit 19.1 to the Registrant’s Annual Report on Form 10-</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100" w:type="dxa"/>
            <w:vAlign w:val="bottom"/>
            <w:tcBorders>
              <w:top w:val="single" w:sz="8" w:color="0000FF"/>
            </w:tcBorders>
            <w:gridSpan w:val="54"/>
          </w:tcPr>
          <w:p>
            <w:pPr>
              <w:spacing w:after="0" w:line="129" w:lineRule="exact"/>
              <w:rPr>
                <w:rFonts w:ascii="Arial" w:cs="Arial" w:eastAsia="Arial" w:hAnsi="Arial"/>
                <w:sz w:val="13"/>
                <w:szCs w:val="13"/>
                <w:color w:val="0000FF"/>
                <w:w w:val="99"/>
              </w:rPr>
            </w:pPr>
            <w:hyperlink r:id="rId155">
              <w:r>
                <w:rPr>
                  <w:rFonts w:ascii="Arial" w:cs="Arial" w:eastAsia="Arial" w:hAnsi="Arial"/>
                  <w:sz w:val="13"/>
                  <w:szCs w:val="13"/>
                  <w:color w:val="0000FF"/>
                  <w:w w:val="99"/>
                </w:rPr>
                <w:t>K for the year ended December 31, 2024 (File No. 001-41196) filed with the Securities and Exchange Commission on March</w:t>
              </w:r>
            </w:hyperlink>
          </w:p>
        </w:tc>
        <w:tc>
          <w:tcPr>
            <w:tcW w:w="0" w:type="dxa"/>
            <w:vAlign w:val="bottom"/>
          </w:tcPr>
          <w:p>
            <w:pPr>
              <w:spacing w:after="0"/>
              <w:rPr>
                <w:sz w:val="1"/>
                <w:szCs w:val="1"/>
                <w:color w:val="auto"/>
              </w:rPr>
            </w:pPr>
          </w:p>
        </w:tc>
      </w:tr>
      <w:tr>
        <w:trPr>
          <w:trHeight w:val="129"/>
        </w:trPr>
        <w:tc>
          <w:tcPr>
            <w:tcW w:w="2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4"/>
              </w:rPr>
              <w:t>21.</w:t>
            </w:r>
            <w:r>
              <w:rPr>
                <w:rFonts w:ascii="Arial" w:cs="Arial" w:eastAsia="Arial" w:hAnsi="Arial"/>
                <w:sz w:val="13"/>
                <w:szCs w:val="13"/>
                <w:u w:val="single" w:color="auto"/>
                <w:color w:val="0000FF"/>
                <w:w w:val="94"/>
              </w:rPr>
              <w:t>1</w:t>
            </w:r>
          </w:p>
        </w:tc>
        <w:tc>
          <w:tcPr>
            <w:tcW w:w="540" w:type="dxa"/>
            <w:vAlign w:val="bottom"/>
            <w:gridSpan w:val="2"/>
          </w:tcPr>
          <w:p>
            <w:pPr>
              <w:spacing w:after="0"/>
              <w:rPr>
                <w:sz w:val="11"/>
                <w:szCs w:val="11"/>
                <w:color w:val="auto"/>
              </w:rPr>
            </w:pPr>
          </w:p>
        </w:tc>
        <w:tc>
          <w:tcPr>
            <w:tcW w:w="580" w:type="dxa"/>
            <w:vAlign w:val="bottom"/>
            <w:tcBorders>
              <w:top w:val="single" w:sz="8" w:color="0000FF"/>
              <w:bottom w:val="single" w:sz="8" w:color="0000FF"/>
            </w:tcBorders>
            <w:gridSpan w:val="2"/>
          </w:tcPr>
          <w:p>
            <w:pPr>
              <w:spacing w:after="0" w:line="129" w:lineRule="exact"/>
              <w:rPr>
                <w:rFonts w:ascii="Arial" w:cs="Arial" w:eastAsia="Arial" w:hAnsi="Arial"/>
                <w:sz w:val="13"/>
                <w:szCs w:val="13"/>
                <w:color w:val="0000FF"/>
                <w:w w:val="92"/>
              </w:rPr>
            </w:pPr>
            <w:hyperlink r:id="rId155">
              <w:r>
                <w:rPr>
                  <w:rFonts w:ascii="Arial" w:cs="Arial" w:eastAsia="Arial" w:hAnsi="Arial"/>
                  <w:sz w:val="13"/>
                  <w:szCs w:val="13"/>
                  <w:color w:val="0000FF"/>
                  <w:w w:val="92"/>
                </w:rPr>
                <w:t>14, 2025).</w:t>
              </w:r>
            </w:hyperlink>
          </w:p>
        </w:tc>
        <w:tc>
          <w:tcPr>
            <w:tcW w:w="6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290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Borders>
              <w:top w:val="single" w:sz="8" w:color="0000FF"/>
            </w:tcBorders>
            <w:gridSpan w:val="7"/>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color w:val="0000FF"/>
                <w:w w:val="76"/>
              </w:rPr>
              <w:t>Subsidiaries</w:t>
            </w:r>
          </w:p>
        </w:tc>
        <w:tc>
          <w:tcPr>
            <w:tcW w:w="6520" w:type="dxa"/>
            <w:vAlign w:val="bottom"/>
            <w:gridSpan w:val="52"/>
          </w:tcPr>
          <w:p>
            <w:pPr>
              <w:ind w:left="140"/>
              <w:spacing w:after="0" w:line="119" w:lineRule="exact"/>
              <w:rPr>
                <w:sz w:val="20"/>
                <w:szCs w:val="20"/>
                <w:color w:val="auto"/>
              </w:rPr>
            </w:pPr>
            <w:r>
              <w:rPr>
                <w:rFonts w:ascii="Arial" w:cs="Arial" w:eastAsia="Arial" w:hAnsi="Arial"/>
                <w:sz w:val="13"/>
                <w:szCs w:val="13"/>
                <w:color w:val="0000FF"/>
              </w:rPr>
              <w:t>of USCB Financial Holdings, Inc.</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 w:type="dxa"/>
            <w:vAlign w:val="bottom"/>
            <w:gridSpan w:val="2"/>
          </w:tcPr>
          <w:p>
            <w:pPr>
              <w:jc w:val="center"/>
              <w:spacing w:after="0"/>
              <w:rPr>
                <w:sz w:val="20"/>
                <w:szCs w:val="20"/>
                <w:color w:val="auto"/>
              </w:rPr>
            </w:pPr>
            <w:r>
              <w:rPr>
                <w:rFonts w:ascii="Arial" w:cs="Arial" w:eastAsia="Arial" w:hAnsi="Arial"/>
                <w:sz w:val="13"/>
                <w:szCs w:val="13"/>
                <w:color w:val="0000FF"/>
                <w:w w:val="94"/>
              </w:rPr>
              <w:t>23.</w:t>
            </w:r>
            <w:r>
              <w:rPr>
                <w:rFonts w:ascii="Arial" w:cs="Arial" w:eastAsia="Arial" w:hAnsi="Arial"/>
                <w:sz w:val="13"/>
                <w:szCs w:val="13"/>
                <w:u w:val="single" w:color="auto"/>
                <w:color w:val="0000FF"/>
                <w:w w:val="94"/>
              </w:rPr>
              <w:t>1</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100" w:type="dxa"/>
            <w:vAlign w:val="bottom"/>
            <w:gridSpan w:val="54"/>
          </w:tcPr>
          <w:p>
            <w:pPr>
              <w:spacing w:after="0"/>
              <w:rPr>
                <w:sz w:val="20"/>
                <w:szCs w:val="20"/>
                <w:color w:val="auto"/>
              </w:rPr>
            </w:pPr>
            <w:r>
              <w:rPr>
                <w:rFonts w:ascii="Arial" w:cs="Arial" w:eastAsia="Arial" w:hAnsi="Arial"/>
                <w:sz w:val="13"/>
                <w:szCs w:val="13"/>
                <w:color w:val="0000FF"/>
              </w:rPr>
              <w:t>Consent of Crowe LLP, Independent Registered Public Accounting Firm.</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00" w:type="dxa"/>
            <w:vAlign w:val="bottom"/>
            <w:gridSpan w:val="54"/>
          </w:tcPr>
          <w:p>
            <w:pPr>
              <w:spacing w:after="0" w:line="140"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 w:type="dxa"/>
            <w:vAlign w:val="bottom"/>
            <w:gridSpan w:val="2"/>
          </w:tcPr>
          <w:p>
            <w:pPr>
              <w:jc w:val="center"/>
              <w:spacing w:after="0"/>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100" w:type="dxa"/>
            <w:vAlign w:val="bottom"/>
            <w:gridSpan w:val="54"/>
          </w:tcPr>
          <w:p>
            <w:pPr>
              <w:spacing w:after="0"/>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00" w:type="dxa"/>
            <w:vAlign w:val="bottom"/>
            <w:gridSpan w:val="54"/>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00" w:type="dxa"/>
            <w:vAlign w:val="bottom"/>
            <w:gridSpan w:val="54"/>
          </w:tcPr>
          <w:p>
            <w:pPr>
              <w:spacing w:after="0" w:line="140" w:lineRule="exact"/>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0" w:type="dxa"/>
            <w:vAlign w:val="bottom"/>
            <w:gridSpan w:val="2"/>
          </w:tcPr>
          <w:p>
            <w:pPr>
              <w:jc w:val="center"/>
              <w:spacing w:after="0" w:line="140" w:lineRule="exact"/>
              <w:rPr>
                <w:rFonts w:ascii="Arial" w:cs="Arial" w:eastAsia="Arial" w:hAnsi="Arial"/>
                <w:sz w:val="13"/>
                <w:szCs w:val="13"/>
                <w:color w:val="0000FF"/>
                <w:w w:val="94"/>
              </w:rPr>
            </w:pPr>
            <w:hyperlink r:id="rId156">
              <w:r>
                <w:rPr>
                  <w:rFonts w:ascii="Arial" w:cs="Arial" w:eastAsia="Arial" w:hAnsi="Arial"/>
                  <w:sz w:val="13"/>
                  <w:szCs w:val="13"/>
                  <w:color w:val="0000FF"/>
                  <w:w w:val="94"/>
                </w:rPr>
                <w:t>97.</w:t>
              </w:r>
              <w:r>
                <w:rPr>
                  <w:rFonts w:ascii="Arial" w:cs="Arial" w:eastAsia="Arial" w:hAnsi="Arial"/>
                  <w:sz w:val="13"/>
                  <w:szCs w:val="13"/>
                  <w:u w:val="single" w:color="auto"/>
                  <w:color w:val="0000FF"/>
                  <w:w w:val="94"/>
                </w:rPr>
                <w:t>1</w:t>
              </w:r>
            </w:hyperlink>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00" w:type="dxa"/>
            <w:vAlign w:val="bottom"/>
            <w:gridSpan w:val="54"/>
          </w:tcPr>
          <w:p>
            <w:pPr>
              <w:spacing w:after="0" w:line="140" w:lineRule="exact"/>
              <w:rPr>
                <w:rFonts w:ascii="Arial" w:cs="Arial" w:eastAsia="Arial" w:hAnsi="Arial"/>
                <w:sz w:val="13"/>
                <w:szCs w:val="13"/>
                <w:color w:val="0000FF"/>
                <w:w w:val="98"/>
              </w:rPr>
            </w:pPr>
            <w:hyperlink r:id="rId156">
              <w:r>
                <w:rPr>
                  <w:rFonts w:ascii="Arial" w:cs="Arial" w:eastAsia="Arial" w:hAnsi="Arial"/>
                  <w:sz w:val="13"/>
                  <w:szCs w:val="13"/>
                  <w:color w:val="0000FF"/>
                  <w:w w:val="98"/>
                </w:rPr>
                <w:t>Compensation Recovery Policy (incorporated by reference to Exhibit 97.1 to the Registrant’s Annual Report on Form 10-K for</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100" w:type="dxa"/>
            <w:vAlign w:val="bottom"/>
            <w:gridSpan w:val="54"/>
          </w:tcPr>
          <w:p>
            <w:pPr>
              <w:spacing w:after="0" w:line="129" w:lineRule="exact"/>
              <w:rPr>
                <w:rFonts w:ascii="Arial" w:cs="Arial" w:eastAsia="Arial" w:hAnsi="Arial"/>
                <w:sz w:val="13"/>
                <w:szCs w:val="13"/>
                <w:color w:val="0000FF"/>
              </w:rPr>
            </w:pPr>
            <w:hyperlink r:id="rId156">
              <w:r>
                <w:rPr>
                  <w:rFonts w:ascii="Arial" w:cs="Arial" w:eastAsia="Arial" w:hAnsi="Arial"/>
                  <w:sz w:val="13"/>
                  <w:szCs w:val="13"/>
                  <w:color w:val="0000FF"/>
                </w:rPr>
                <w:t>the year ended December 31, 2023 (File No. 001-41196) filed with the Securities and Exchange Commission on March 22,</w:t>
              </w:r>
            </w:hyperlink>
          </w:p>
        </w:tc>
        <w:tc>
          <w:tcPr>
            <w:tcW w:w="0" w:type="dxa"/>
            <w:vAlign w:val="bottom"/>
          </w:tcPr>
          <w:p>
            <w:pPr>
              <w:spacing w:after="0"/>
              <w:rPr>
                <w:sz w:val="1"/>
                <w:szCs w:val="1"/>
                <w:color w:val="auto"/>
              </w:rPr>
            </w:pPr>
          </w:p>
        </w:tc>
      </w:tr>
      <w:tr>
        <w:trPr>
          <w:trHeight w:val="129"/>
        </w:trPr>
        <w:tc>
          <w:tcPr>
            <w:tcW w:w="280" w:type="dxa"/>
            <w:vAlign w:val="bottom"/>
            <w:gridSpan w:val="2"/>
            <w:vMerge w:val="restart"/>
          </w:tcPr>
          <w:p>
            <w:pPr>
              <w:jc w:val="center"/>
              <w:spacing w:after="0"/>
              <w:rPr>
                <w:sz w:val="20"/>
                <w:szCs w:val="20"/>
                <w:color w:val="auto"/>
              </w:rPr>
            </w:pPr>
            <w:r>
              <w:rPr>
                <w:rFonts w:ascii="Arial" w:cs="Arial" w:eastAsia="Arial" w:hAnsi="Arial"/>
                <w:sz w:val="13"/>
                <w:szCs w:val="13"/>
                <w:color w:val="auto"/>
              </w:rPr>
              <w:t>101</w:t>
            </w:r>
          </w:p>
        </w:tc>
        <w:tc>
          <w:tcPr>
            <w:tcW w:w="540" w:type="dxa"/>
            <w:vAlign w:val="bottom"/>
            <w:gridSpan w:val="2"/>
          </w:tcPr>
          <w:p>
            <w:pPr>
              <w:spacing w:after="0"/>
              <w:rPr>
                <w:sz w:val="11"/>
                <w:szCs w:val="11"/>
                <w:color w:val="auto"/>
              </w:rPr>
            </w:pPr>
          </w:p>
        </w:tc>
        <w:tc>
          <w:tcPr>
            <w:tcW w:w="420" w:type="dxa"/>
            <w:vAlign w:val="bottom"/>
            <w:tcBorders>
              <w:top w:val="single" w:sz="8" w:color="0000FF"/>
              <w:bottom w:val="single" w:sz="8" w:color="0000FF"/>
            </w:tcBorders>
          </w:tcPr>
          <w:p>
            <w:pPr>
              <w:spacing w:after="0" w:line="129" w:lineRule="exact"/>
              <w:rPr>
                <w:rFonts w:ascii="Arial" w:cs="Arial" w:eastAsia="Arial" w:hAnsi="Arial"/>
                <w:sz w:val="13"/>
                <w:szCs w:val="13"/>
                <w:color w:val="0000FF"/>
              </w:rPr>
            </w:pPr>
            <w:hyperlink r:id="rId156">
              <w:r>
                <w:rPr>
                  <w:rFonts w:ascii="Arial" w:cs="Arial" w:eastAsia="Arial" w:hAnsi="Arial"/>
                  <w:sz w:val="13"/>
                  <w:szCs w:val="13"/>
                  <w:color w:val="0000FF"/>
                </w:rPr>
                <w:t>2024).</w:t>
              </w:r>
            </w:hyperlink>
          </w:p>
        </w:tc>
        <w:tc>
          <w:tcPr>
            <w:tcW w:w="166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0000FF"/>
            </w:tcBorders>
            <w:gridSpan w:val="7"/>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0000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00" w:type="dxa"/>
            <w:vAlign w:val="bottom"/>
            <w:gridSpan w:val="54"/>
          </w:tcPr>
          <w:p>
            <w:pPr>
              <w:spacing w:after="0" w:line="141" w:lineRule="exact"/>
              <w:rPr>
                <w:sz w:val="20"/>
                <w:szCs w:val="20"/>
                <w:color w:val="auto"/>
              </w:rPr>
            </w:pPr>
            <w:r>
              <w:rPr>
                <w:rFonts w:ascii="Arial" w:cs="Arial" w:eastAsia="Arial" w:hAnsi="Arial"/>
                <w:sz w:val="13"/>
                <w:szCs w:val="13"/>
                <w:color w:val="auto"/>
                <w:w w:val="98"/>
              </w:rPr>
              <w:t>The following financial statements from the Company’s Annual Report on Form 10-K for the year ended December 31, 2021,</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00" w:type="dxa"/>
            <w:vAlign w:val="bottom"/>
            <w:gridSpan w:val="54"/>
          </w:tcPr>
          <w:p>
            <w:pPr>
              <w:spacing w:after="0" w:line="139" w:lineRule="exact"/>
              <w:rPr>
                <w:sz w:val="20"/>
                <w:szCs w:val="20"/>
                <w:color w:val="auto"/>
              </w:rPr>
            </w:pPr>
            <w:r>
              <w:rPr>
                <w:rFonts w:ascii="Arial" w:cs="Arial" w:eastAsia="Arial" w:hAnsi="Arial"/>
                <w:sz w:val="13"/>
                <w:szCs w:val="13"/>
                <w:color w:val="auto"/>
              </w:rPr>
              <w:t>formatted in Inline XBRL: (i) Consolidated Balance Sheets, (ii) Consolidated Statements of Operations, (iii) Consolidated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00" w:type="dxa"/>
            <w:vAlign w:val="bottom"/>
            <w:gridSpan w:val="54"/>
          </w:tcPr>
          <w:p>
            <w:pPr>
              <w:spacing w:after="0"/>
              <w:rPr>
                <w:sz w:val="20"/>
                <w:szCs w:val="20"/>
                <w:color w:val="auto"/>
              </w:rPr>
            </w:pPr>
            <w:r>
              <w:rPr>
                <w:rFonts w:ascii="Arial" w:cs="Arial" w:eastAsia="Arial" w:hAnsi="Arial"/>
                <w:sz w:val="13"/>
                <w:szCs w:val="13"/>
                <w:color w:val="auto"/>
              </w:rPr>
              <w:t>Statements of Comprehensive Income, (iv) Consolidated Statements of Changes in Stockholders’ Equity, (v) Consolidated</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100" w:type="dxa"/>
            <w:vAlign w:val="bottom"/>
            <w:gridSpan w:val="54"/>
          </w:tcPr>
          <w:p>
            <w:pPr>
              <w:spacing w:after="0"/>
              <w:rPr>
                <w:sz w:val="20"/>
                <w:szCs w:val="20"/>
                <w:color w:val="auto"/>
              </w:rPr>
            </w:pPr>
            <w:r>
              <w:rPr>
                <w:rFonts w:ascii="Arial" w:cs="Arial" w:eastAsia="Arial" w:hAnsi="Arial"/>
                <w:sz w:val="13"/>
                <w:szCs w:val="13"/>
                <w:color w:val="auto"/>
              </w:rPr>
              <w:t>Statements of Cash Flows, (vi) Notes to Consolidated Financial Statements.</w:t>
            </w:r>
          </w:p>
        </w:tc>
        <w:tc>
          <w:tcPr>
            <w:tcW w:w="0" w:type="dxa"/>
            <w:vAlign w:val="bottom"/>
          </w:tcPr>
          <w:p>
            <w:pPr>
              <w:spacing w:after="0"/>
              <w:rPr>
                <w:sz w:val="1"/>
                <w:szCs w:val="1"/>
                <w:color w:val="auto"/>
              </w:rPr>
            </w:pPr>
          </w:p>
        </w:tc>
      </w:tr>
    </w:tbl>
    <w:p>
      <w:pPr>
        <w:ind w:left="1160" w:right="2619" w:hanging="572"/>
        <w:spacing w:after="0" w:line="390" w:lineRule="auto"/>
        <w:tabs>
          <w:tab w:leader="none" w:pos="1352" w:val="left"/>
        </w:tabs>
        <w:numPr>
          <w:ilvl w:val="0"/>
          <w:numId w:val="62"/>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Management contract or compensatory plan or arrangement.</w:t>
      </w:r>
    </w:p>
    <w:p>
      <w:pPr>
        <w:ind w:left="1360" w:hanging="249"/>
        <w:spacing w:after="0"/>
        <w:tabs>
          <w:tab w:leader="none" w:pos="1360" w:val="left"/>
        </w:tabs>
        <w:numPr>
          <w:ilvl w:val="1"/>
          <w:numId w:val="6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0" w:lineRule="exact"/>
        <w:rPr>
          <w:rFonts w:ascii="Arial" w:cs="Arial" w:eastAsia="Arial" w:hAnsi="Arial"/>
          <w:sz w:val="13"/>
          <w:szCs w:val="13"/>
          <w:color w:val="auto"/>
        </w:rPr>
      </w:pPr>
    </w:p>
    <w:p>
      <w:pPr>
        <w:ind w:left="1360" w:hanging="302"/>
        <w:spacing w:after="0"/>
        <w:tabs>
          <w:tab w:leader="none" w:pos="13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16. Form 10-K Summary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29" w:name="page130"/>
    <w:bookmarkEnd w:id="1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Pursuant to the requirements of the Exchange Act, the registrant has duly caused this report to be signed on its behalf by the undersigned thereunto duly authorized.</w:t>
      </w:r>
    </w:p>
    <w:p>
      <w:pPr>
        <w:spacing w:after="0" w:line="120"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USCB FINANCIAL HOLDINGS, INC.</w:t>
      </w:r>
    </w:p>
    <w:p>
      <w:pPr>
        <w:spacing w:after="0" w:line="202" w:lineRule="exact"/>
        <w:rPr>
          <w:sz w:val="20"/>
          <w:szCs w:val="20"/>
          <w:color w:val="auto"/>
        </w:rPr>
      </w:pPr>
    </w:p>
    <w:p>
      <w:pPr>
        <w:ind w:left="860"/>
        <w:spacing w:after="0"/>
        <w:tabs>
          <w:tab w:leader="none" w:pos="4420" w:val="left"/>
          <w:tab w:leader="none" w:pos="4780" w:val="left"/>
        </w:tabs>
        <w:rPr>
          <w:sz w:val="20"/>
          <w:szCs w:val="20"/>
          <w:color w:val="auto"/>
        </w:rPr>
      </w:pPr>
      <w:r>
        <w:rPr>
          <w:rFonts w:ascii="Arial" w:cs="Arial" w:eastAsia="Arial" w:hAnsi="Arial"/>
          <w:sz w:val="14"/>
          <w:szCs w:val="14"/>
          <w:color w:val="auto"/>
        </w:rPr>
        <w:t>Date: March 13, 2026</w:t>
      </w:r>
      <w:r>
        <w:rPr>
          <w:sz w:val="20"/>
          <w:szCs w:val="20"/>
          <w:color w:val="auto"/>
        </w:rPr>
        <w:tab/>
      </w:r>
      <w:r>
        <w:rPr>
          <w:rFonts w:ascii="Arial" w:cs="Arial" w:eastAsia="Arial" w:hAnsi="Arial"/>
          <w:sz w:val="14"/>
          <w:szCs w:val="14"/>
          <w:color w:val="auto"/>
        </w:rPr>
        <w:t>By:</w:t>
        <w:tab/>
        <w:t>/s/ Luis de la Aguilera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Luis de la Aguilera</w:t>
      </w:r>
    </w:p>
    <w:p>
      <w:pPr>
        <w:ind w:left="4800"/>
        <w:spacing w:after="0"/>
        <w:rPr>
          <w:sz w:val="20"/>
          <w:szCs w:val="20"/>
          <w:color w:val="auto"/>
        </w:rPr>
      </w:pPr>
      <w:r>
        <w:rPr>
          <w:rFonts w:ascii="Arial" w:cs="Arial" w:eastAsia="Arial" w:hAnsi="Arial"/>
          <w:sz w:val="14"/>
          <w:szCs w:val="14"/>
          <w:color w:val="auto"/>
        </w:rPr>
        <w:t>President, Chief Executive Officer, and Chairman</w:t>
      </w:r>
    </w:p>
    <w:p>
      <w:pPr>
        <w:spacing w:after="0" w:line="156"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Pursuant to the requirements of the Exchange Ac, this report has been signed by the following persons in the capacities and on the dates indicated.</w:t>
      </w:r>
    </w:p>
    <w:p>
      <w:pPr>
        <w:spacing w:after="0" w:line="120"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5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(Principal Executive Officer)</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Chief Financial Officer (Principal Financial</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and Principal Accounting Officer)</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Aida Levitan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Aida Levitan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Howard Feinglass</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Howard Feinglass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Kirk Wycoff</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Kirk Wycoff</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Abadin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Abadin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Bernardo B. Fernandez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Bernardo B. Fernandez</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Rodriguez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Rodriguez</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05"/>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Maria C. Alonso</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Maria C. Alonso</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94"/>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E. Kafafian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13, 2026</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E. Kafafian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130</w:t>
      </w:r>
      <w:r>
        <w:rPr>
          <w:sz w:val="20"/>
          <w:szCs w:val="20"/>
          <w:color w:val="auto"/>
        </w:rPr>
        <w:tab/>
      </w:r>
      <w:r>
        <w:rPr>
          <w:rFonts w:ascii="Arial" w:cs="Arial" w:eastAsia="Arial" w:hAnsi="Arial"/>
          <w:sz w:val="14"/>
          <w:szCs w:val="14"/>
          <w:color w:val="auto"/>
        </w:rPr>
        <w:t>USCB Financial Holdings, Inc.</w:t>
        <w:tab/>
        <w:t>2025 10-K</w:t>
      </w:r>
    </w:p>
    <w:p>
      <w:pPr>
        <w:sectPr>
          <w:pgSz w:w="11900" w:h="16838" w:orient="portrait"/>
          <w:cols w:equalWidth="0" w:num="1">
            <w:col w:w="9019"/>
          </w:cols>
          <w:pgMar w:left="1440" w:top="477" w:right="1440" w:bottom="1440" w:gutter="0" w:footer="0" w:header="0"/>
        </w:sectPr>
      </w:pPr>
    </w:p>
    <w:bookmarkStart w:id="130" w:name="page131"/>
    <w:bookmarkEnd w:id="130"/>
    <w:p>
      <w:pPr>
        <w:ind w:left="7000"/>
        <w:spacing w:after="0"/>
        <w:rPr>
          <w:sz w:val="20"/>
          <w:szCs w:val="20"/>
          <w:color w:val="auto"/>
        </w:rPr>
      </w:pPr>
      <w:r>
        <w:rPr>
          <w:rFonts w:ascii="Times New Roman" w:cs="Times New Roman" w:eastAsia="Times New Roman" w:hAnsi="Times New Roman"/>
          <w:sz w:val="13"/>
          <w:szCs w:val="13"/>
          <w:b w:val="1"/>
          <w:bCs w:val="1"/>
          <w:color w:val="383838"/>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10.06</w:t>
      </w:r>
    </w:p>
    <w:p>
      <w:pPr>
        <w:spacing w:after="0" w:line="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5"/>
          <w:szCs w:val="15"/>
          <w:b w:val="1"/>
          <w:bCs w:val="1"/>
          <w:color w:val="383838"/>
        </w:rPr>
        <w:t>AMENDEDAND RESTATED</w:t>
      </w:r>
    </w:p>
    <w:p>
      <w:pPr>
        <w:ind w:left="3220"/>
        <w:spacing w:after="0"/>
        <w:rPr>
          <w:sz w:val="20"/>
          <w:szCs w:val="20"/>
          <w:color w:val="auto"/>
        </w:rPr>
      </w:pPr>
      <w:r>
        <w:rPr>
          <w:rFonts w:ascii="Times New Roman" w:cs="Times New Roman" w:eastAsia="Times New Roman" w:hAnsi="Times New Roman"/>
          <w:sz w:val="15"/>
          <w:szCs w:val="15"/>
          <w:b w:val="1"/>
          <w:bCs w:val="1"/>
          <w:color w:val="383838"/>
        </w:rPr>
        <w:t>CHANGE IN CONTROL AGREEMENT</w:t>
      </w:r>
    </w:p>
    <w:p>
      <w:pPr>
        <w:spacing w:after="0" w:line="153" w:lineRule="exact"/>
        <w:rPr>
          <w:sz w:val="20"/>
          <w:szCs w:val="20"/>
          <w:color w:val="auto"/>
        </w:rPr>
      </w:pPr>
    </w:p>
    <w:p>
      <w:pPr>
        <w:jc w:val="both"/>
        <w:ind w:left="1140" w:right="1299" w:firstLine="487"/>
        <w:spacing w:after="0" w:line="286" w:lineRule="auto"/>
        <w:rPr>
          <w:sz w:val="20"/>
          <w:szCs w:val="20"/>
          <w:color w:val="auto"/>
        </w:rPr>
      </w:pPr>
      <w:r>
        <w:rPr>
          <w:rFonts w:ascii="Times New Roman" w:cs="Times New Roman" w:eastAsia="Times New Roman" w:hAnsi="Times New Roman"/>
          <w:sz w:val="14"/>
          <w:szCs w:val="14"/>
          <w:color w:val="383838"/>
        </w:rPr>
        <w:t>THIS AMENDEDAND RESTATEDCHANGE IN CONTROL AGREEMENT (the "Agreement") is made as of the 10th day of December, 2025 by and between U.S. Century Bank, with Corporate Offices located at 2301 NW 87</w:t>
      </w:r>
      <w:r>
        <w:rPr>
          <w:rFonts w:ascii="Times New Roman" w:cs="Times New Roman" w:eastAsia="Times New Roman" w:hAnsi="Times New Roman"/>
          <w:sz w:val="18"/>
          <w:szCs w:val="18"/>
          <w:color w:val="383838"/>
          <w:vertAlign w:val="superscript"/>
        </w:rPr>
        <w:t>th</w:t>
      </w:r>
      <w:r>
        <w:rPr>
          <w:rFonts w:ascii="Times New Roman" w:cs="Times New Roman" w:eastAsia="Times New Roman" w:hAnsi="Times New Roman"/>
          <w:sz w:val="14"/>
          <w:szCs w:val="14"/>
          <w:color w:val="383838"/>
        </w:rPr>
        <w:t xml:space="preserve"> Ave., Doral, FL 33172 (hereinafter called the "Bank") and Mr. William Turner ("Executive").</w:t>
      </w:r>
    </w:p>
    <w:p>
      <w:pPr>
        <w:spacing w:after="0" w:line="48" w:lineRule="exact"/>
        <w:rPr>
          <w:sz w:val="20"/>
          <w:szCs w:val="20"/>
          <w:color w:val="auto"/>
        </w:rPr>
      </w:pPr>
    </w:p>
    <w:p>
      <w:pPr>
        <w:jc w:val="both"/>
        <w:ind w:left="1140" w:right="1279" w:firstLine="487"/>
        <w:spacing w:after="0" w:line="272" w:lineRule="auto"/>
        <w:rPr>
          <w:sz w:val="20"/>
          <w:szCs w:val="20"/>
          <w:color w:val="auto"/>
        </w:rPr>
      </w:pPr>
      <w:r>
        <w:rPr>
          <w:rFonts w:ascii="Times New Roman" w:cs="Times New Roman" w:eastAsia="Times New Roman" w:hAnsi="Times New Roman"/>
          <w:sz w:val="15"/>
          <w:szCs w:val="15"/>
          <w:b w:val="1"/>
          <w:bCs w:val="1"/>
          <w:color w:val="383838"/>
        </w:rPr>
        <w:t xml:space="preserve">WHEREAS, </w:t>
      </w:r>
      <w:r>
        <w:rPr>
          <w:rFonts w:ascii="Times New Roman" w:cs="Times New Roman" w:eastAsia="Times New Roman" w:hAnsi="Times New Roman"/>
          <w:sz w:val="15"/>
          <w:szCs w:val="15"/>
          <w:color w:val="383838"/>
        </w:rPr>
        <w:t>Executive is presently employed as the Executive Vice President/Chief Credit Officer of</w:t>
      </w:r>
      <w:r>
        <w:rPr>
          <w:rFonts w:ascii="Times New Roman" w:cs="Times New Roman" w:eastAsia="Times New Roman" w:hAnsi="Times New Roman"/>
          <w:sz w:val="15"/>
          <w:szCs w:val="15"/>
          <w:b w:val="1"/>
          <w:bCs w:val="1"/>
          <w:color w:val="383838"/>
        </w:rPr>
        <w:t xml:space="preserve"> </w:t>
      </w:r>
      <w:r>
        <w:rPr>
          <w:rFonts w:ascii="Times New Roman" w:cs="Times New Roman" w:eastAsia="Times New Roman" w:hAnsi="Times New Roman"/>
          <w:sz w:val="15"/>
          <w:szCs w:val="15"/>
          <w:color w:val="383838"/>
        </w:rPr>
        <w:t>the Bank;</w:t>
      </w:r>
    </w:p>
    <w:p>
      <w:pPr>
        <w:spacing w:after="0" w:line="121" w:lineRule="exact"/>
        <w:rPr>
          <w:sz w:val="20"/>
          <w:szCs w:val="20"/>
          <w:color w:val="auto"/>
        </w:rPr>
      </w:pPr>
    </w:p>
    <w:p>
      <w:pPr>
        <w:jc w:val="both"/>
        <w:ind w:left="1140" w:right="1279" w:firstLine="487"/>
        <w:spacing w:after="0" w:line="272" w:lineRule="auto"/>
        <w:rPr>
          <w:sz w:val="20"/>
          <w:szCs w:val="20"/>
          <w:color w:val="auto"/>
        </w:rPr>
      </w:pPr>
      <w:r>
        <w:rPr>
          <w:rFonts w:ascii="Times New Roman" w:cs="Times New Roman" w:eastAsia="Times New Roman" w:hAnsi="Times New Roman"/>
          <w:sz w:val="15"/>
          <w:szCs w:val="15"/>
          <w:b w:val="1"/>
          <w:bCs w:val="1"/>
          <w:color w:val="383838"/>
        </w:rPr>
        <w:t xml:space="preserve">WHEREAS, </w:t>
      </w:r>
      <w:r>
        <w:rPr>
          <w:rFonts w:ascii="Times New Roman" w:cs="Times New Roman" w:eastAsia="Times New Roman" w:hAnsi="Times New Roman"/>
          <w:sz w:val="15"/>
          <w:szCs w:val="15"/>
          <w:color w:val="383838"/>
        </w:rPr>
        <w:t>the Bank and Executive previously entered into a Change in Control Agreement dated as</w:t>
      </w:r>
      <w:r>
        <w:rPr>
          <w:rFonts w:ascii="Times New Roman" w:cs="Times New Roman" w:eastAsia="Times New Roman" w:hAnsi="Times New Roman"/>
          <w:sz w:val="15"/>
          <w:szCs w:val="15"/>
          <w:b w:val="1"/>
          <w:bCs w:val="1"/>
          <w:color w:val="383838"/>
        </w:rPr>
        <w:t xml:space="preserve"> </w:t>
      </w:r>
      <w:r>
        <w:rPr>
          <w:rFonts w:ascii="Times New Roman" w:cs="Times New Roman" w:eastAsia="Times New Roman" w:hAnsi="Times New Roman"/>
          <w:sz w:val="15"/>
          <w:szCs w:val="15"/>
          <w:color w:val="383838"/>
        </w:rPr>
        <w:t>of May 2, 2024 (the "Prior Agreement");</w:t>
      </w:r>
    </w:p>
    <w:p>
      <w:pPr>
        <w:spacing w:after="0" w:line="110" w:lineRule="exact"/>
        <w:rPr>
          <w:sz w:val="20"/>
          <w:szCs w:val="20"/>
          <w:color w:val="auto"/>
        </w:rPr>
      </w:pPr>
    </w:p>
    <w:p>
      <w:pPr>
        <w:jc w:val="both"/>
        <w:ind w:left="1140" w:right="1299" w:firstLine="487"/>
        <w:spacing w:after="0" w:line="272" w:lineRule="auto"/>
        <w:rPr>
          <w:sz w:val="20"/>
          <w:szCs w:val="20"/>
          <w:color w:val="auto"/>
        </w:rPr>
      </w:pPr>
      <w:r>
        <w:rPr>
          <w:rFonts w:ascii="Times New Roman" w:cs="Times New Roman" w:eastAsia="Times New Roman" w:hAnsi="Times New Roman"/>
          <w:sz w:val="15"/>
          <w:szCs w:val="15"/>
          <w:b w:val="1"/>
          <w:bCs w:val="1"/>
          <w:color w:val="383838"/>
        </w:rPr>
        <w:t xml:space="preserve">WHEREAS, </w:t>
      </w:r>
      <w:r>
        <w:rPr>
          <w:rFonts w:ascii="Times New Roman" w:cs="Times New Roman" w:eastAsia="Times New Roman" w:hAnsi="Times New Roman"/>
          <w:sz w:val="15"/>
          <w:szCs w:val="15"/>
          <w:color w:val="383838"/>
        </w:rPr>
        <w:t>upon consideration, the Bank and Executive wish to adopt certain mutually agreed</w:t>
      </w:r>
      <w:r>
        <w:rPr>
          <w:rFonts w:ascii="Times New Roman" w:cs="Times New Roman" w:eastAsia="Times New Roman" w:hAnsi="Times New Roman"/>
          <w:sz w:val="15"/>
          <w:szCs w:val="15"/>
          <w:b w:val="1"/>
          <w:bCs w:val="1"/>
          <w:color w:val="383838"/>
        </w:rPr>
        <w:t xml:space="preserve"> </w:t>
      </w:r>
      <w:r>
        <w:rPr>
          <w:rFonts w:ascii="Times New Roman" w:cs="Times New Roman" w:eastAsia="Times New Roman" w:hAnsi="Times New Roman"/>
          <w:sz w:val="15"/>
          <w:szCs w:val="15"/>
          <w:color w:val="383838"/>
        </w:rPr>
        <w:t>revisions to the Prior Agreement; and</w:t>
      </w:r>
    </w:p>
    <w:p>
      <w:pPr>
        <w:spacing w:after="0" w:line="121" w:lineRule="exact"/>
        <w:rPr>
          <w:sz w:val="20"/>
          <w:szCs w:val="20"/>
          <w:color w:val="auto"/>
        </w:rPr>
      </w:pPr>
    </w:p>
    <w:p>
      <w:pPr>
        <w:jc w:val="both"/>
        <w:ind w:left="1140" w:right="1279" w:firstLine="487"/>
        <w:spacing w:after="0" w:line="272" w:lineRule="auto"/>
        <w:rPr>
          <w:sz w:val="20"/>
          <w:szCs w:val="20"/>
          <w:color w:val="auto"/>
        </w:rPr>
      </w:pPr>
      <w:r>
        <w:rPr>
          <w:rFonts w:ascii="Times New Roman" w:cs="Times New Roman" w:eastAsia="Times New Roman" w:hAnsi="Times New Roman"/>
          <w:sz w:val="15"/>
          <w:szCs w:val="15"/>
          <w:b w:val="1"/>
          <w:bCs w:val="1"/>
          <w:color w:val="383838"/>
        </w:rPr>
        <w:t xml:space="preserve">WHEREAS, </w:t>
      </w:r>
      <w:r>
        <w:rPr>
          <w:rFonts w:ascii="Times New Roman" w:cs="Times New Roman" w:eastAsia="Times New Roman" w:hAnsi="Times New Roman"/>
          <w:sz w:val="15"/>
          <w:szCs w:val="15"/>
          <w:color w:val="383838"/>
        </w:rPr>
        <w:t>as consideration for Executive's continued employment with the Bank as Executive Vice</w:t>
      </w:r>
      <w:r>
        <w:rPr>
          <w:rFonts w:ascii="Times New Roman" w:cs="Times New Roman" w:eastAsia="Times New Roman" w:hAnsi="Times New Roman"/>
          <w:sz w:val="15"/>
          <w:szCs w:val="15"/>
          <w:b w:val="1"/>
          <w:bCs w:val="1"/>
          <w:color w:val="383838"/>
        </w:rPr>
        <w:t xml:space="preserve"> </w:t>
      </w:r>
      <w:r>
        <w:rPr>
          <w:rFonts w:ascii="Times New Roman" w:cs="Times New Roman" w:eastAsia="Times New Roman" w:hAnsi="Times New Roman"/>
          <w:sz w:val="15"/>
          <w:szCs w:val="15"/>
          <w:color w:val="383838"/>
        </w:rPr>
        <w:t>President/Chief Credit Officer the parties hereto, intending to be legally bound, agree as follows:</w:t>
      </w:r>
    </w:p>
    <w:p>
      <w:pPr>
        <w:spacing w:after="0" w:line="114" w:lineRule="exact"/>
        <w:rPr>
          <w:sz w:val="20"/>
          <w:szCs w:val="20"/>
          <w:color w:val="auto"/>
        </w:rPr>
      </w:pPr>
    </w:p>
    <w:p>
      <w:pPr>
        <w:jc w:val="both"/>
        <w:ind w:left="2100" w:right="1279" w:hanging="535"/>
        <w:spacing w:after="0" w:line="198" w:lineRule="auto"/>
        <w:tabs>
          <w:tab w:leader="none" w:pos="2100" w:val="left"/>
        </w:tabs>
        <w:numPr>
          <w:ilvl w:val="0"/>
          <w:numId w:val="65"/>
        </w:numPr>
        <w:rPr>
          <w:rFonts w:ascii="Times New Roman" w:cs="Times New Roman" w:eastAsia="Times New Roman" w:hAnsi="Times New Roman"/>
          <w:sz w:val="30"/>
          <w:szCs w:val="30"/>
          <w:color w:val="383838"/>
          <w:vertAlign w:val="superscript"/>
        </w:rPr>
      </w:pPr>
      <w:r>
        <w:rPr>
          <w:rFonts w:ascii="Times New Roman" w:cs="Times New Roman" w:eastAsia="Times New Roman" w:hAnsi="Times New Roman"/>
          <w:sz w:val="15"/>
          <w:szCs w:val="15"/>
          <w:u w:val="single" w:color="auto"/>
          <w:color w:val="383838"/>
        </w:rPr>
        <w:t>Payment Upon Change in Control.</w:t>
      </w:r>
      <w:r>
        <w:rPr>
          <w:rFonts w:ascii="Times New Roman" w:cs="Times New Roman" w:eastAsia="Times New Roman" w:hAnsi="Times New Roman"/>
          <w:sz w:val="15"/>
          <w:szCs w:val="15"/>
          <w:color w:val="383838"/>
        </w:rPr>
        <w:t xml:space="preserve"> In the event of a Change in Control (as defined herein) during the term of this Agreement, the Bank agrees to pay Executive a cash payment equal to one times the Base Annual Salary of Executive received during the one (1) year period prior to the Change in Control, to be paid within thirty (30) days of the consummation of the Change in Control. </w:t>
      </w:r>
      <w:r>
        <w:rPr>
          <w:rFonts w:ascii="Times New Roman" w:cs="Times New Roman" w:eastAsia="Times New Roman" w:hAnsi="Times New Roman"/>
          <w:sz w:val="15"/>
          <w:szCs w:val="15"/>
          <w:color w:val="000000"/>
        </w:rPr>
        <w:t xml:space="preserve">The </w:t>
      </w:r>
      <w:r>
        <w:rPr>
          <w:rFonts w:ascii="Times New Roman" w:cs="Times New Roman" w:eastAsia="Times New Roman" w:hAnsi="Times New Roman"/>
          <w:sz w:val="15"/>
          <w:szCs w:val="15"/>
          <w:color w:val="383838"/>
        </w:rPr>
        <w:t>Bank's provision of this benefit to Executive is made without regard to whether, or for how</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383838"/>
        </w:rPr>
        <w:t>long, Executive remains employed with the surviving company subsequent to the Change in Control.</w:t>
      </w:r>
    </w:p>
    <w:p>
      <w:pPr>
        <w:spacing w:after="0" w:line="131" w:lineRule="exact"/>
        <w:rPr>
          <w:rFonts w:ascii="Times New Roman" w:cs="Times New Roman" w:eastAsia="Times New Roman" w:hAnsi="Times New Roman"/>
          <w:sz w:val="30"/>
          <w:szCs w:val="30"/>
          <w:color w:val="383838"/>
          <w:vertAlign w:val="superscript"/>
        </w:rPr>
      </w:pPr>
    </w:p>
    <w:p>
      <w:pPr>
        <w:ind w:left="2100" w:right="1279" w:hanging="535"/>
        <w:spacing w:after="0" w:line="180" w:lineRule="auto"/>
        <w:tabs>
          <w:tab w:leader="none" w:pos="2100" w:val="left"/>
        </w:tabs>
        <w:numPr>
          <w:ilvl w:val="0"/>
          <w:numId w:val="65"/>
        </w:numPr>
        <w:rPr>
          <w:rFonts w:ascii="Times New Roman" w:cs="Times New Roman" w:eastAsia="Times New Roman" w:hAnsi="Times New Roman"/>
          <w:sz w:val="27"/>
          <w:szCs w:val="27"/>
          <w:color w:val="383838"/>
          <w:vertAlign w:val="superscript"/>
        </w:rPr>
      </w:pPr>
      <w:r>
        <w:rPr>
          <w:rFonts w:ascii="Times New Roman" w:cs="Times New Roman" w:eastAsia="Times New Roman" w:hAnsi="Times New Roman"/>
          <w:sz w:val="14"/>
          <w:szCs w:val="14"/>
          <w:u w:val="single" w:color="auto"/>
          <w:color w:val="383838"/>
        </w:rPr>
        <w:t>Change in Control.</w:t>
      </w:r>
      <w:r>
        <w:rPr>
          <w:rFonts w:ascii="Times New Roman" w:cs="Times New Roman" w:eastAsia="Times New Roman" w:hAnsi="Times New Roman"/>
          <w:sz w:val="14"/>
          <w:szCs w:val="14"/>
          <w:color w:val="383838"/>
        </w:rPr>
        <w:t xml:space="preserve"> "Change in Control" shall mean the occurrence of an event described in (i), (ii), (iii), or (iv) below:</w:t>
      </w:r>
    </w:p>
    <w:p>
      <w:pPr>
        <w:spacing w:after="0" w:line="137" w:lineRule="exact"/>
        <w:rPr>
          <w:rFonts w:ascii="Times New Roman" w:cs="Times New Roman" w:eastAsia="Times New Roman" w:hAnsi="Times New Roman"/>
          <w:sz w:val="27"/>
          <w:szCs w:val="27"/>
          <w:color w:val="383838"/>
          <w:vertAlign w:val="superscript"/>
        </w:rPr>
      </w:pPr>
    </w:p>
    <w:p>
      <w:pPr>
        <w:jc w:val="both"/>
        <w:ind w:left="2400" w:right="1279" w:hanging="259"/>
        <w:spacing w:after="0" w:line="221" w:lineRule="auto"/>
        <w:tabs>
          <w:tab w:leader="none" w:pos="2400" w:val="left"/>
        </w:tabs>
        <w:numPr>
          <w:ilvl w:val="1"/>
          <w:numId w:val="65"/>
        </w:numPr>
        <w:rPr>
          <w:rFonts w:ascii="Times New Roman" w:cs="Times New Roman" w:eastAsia="Times New Roman" w:hAnsi="Times New Roman"/>
          <w:sz w:val="30"/>
          <w:szCs w:val="30"/>
          <w:color w:val="383838"/>
          <w:vertAlign w:val="superscript"/>
        </w:rPr>
      </w:pPr>
      <w:r>
        <w:rPr>
          <w:rFonts w:ascii="Times New Roman" w:cs="Times New Roman" w:eastAsia="Times New Roman" w:hAnsi="Times New Roman"/>
          <w:sz w:val="15"/>
          <w:szCs w:val="15"/>
          <w:color w:val="383838"/>
        </w:rPr>
        <w:t xml:space="preserve">Any person or group (within the meaning of Sections 13(d) and 14(d) of the Securities Exchange Act of 1934, as amended (the "Exchange Act"), other than USCB Financial Holdings, Inc. (the "Company"), an affiliate of the Company or a trustee or other fiduciary holding securities under an employee benefit plan of the Company or the Bank or a corporation owned directly or indirectly by the stockholders of the Company in substantially the same proportions as their ownership of stock of the Company, becomes the beneficial owner (within the meaning of Rule 13(d)(3) under the Exchange Act, directly or indirectly (which shall include securities issuable upon conversion, exchange or </w:t>
      </w:r>
      <w:r>
        <w:rPr>
          <w:rFonts w:ascii="Times New Roman" w:cs="Times New Roman" w:eastAsia="Times New Roman" w:hAnsi="Times New Roman"/>
          <w:sz w:val="15"/>
          <w:szCs w:val="15"/>
          <w:color w:val="000000"/>
        </w:rPr>
        <w:t>otherwise</w:t>
      </w:r>
      <w:r>
        <w:rPr>
          <w:rFonts w:ascii="Times New Roman" w:cs="Times New Roman" w:eastAsia="Times New Roman" w:hAnsi="Times New Roman"/>
          <w:sz w:val="15"/>
          <w:szCs w:val="15"/>
          <w:color w:val="383838"/>
        </w:rPr>
        <w:t>) or securities representing 50% or more of the combined voting power of the Company’s or the Bank’s then-outstanding securities entitled generally to vote for the election of directors.</w:t>
      </w:r>
    </w:p>
    <w:p>
      <w:pPr>
        <w:spacing w:after="0" w:line="153" w:lineRule="exact"/>
        <w:rPr>
          <w:rFonts w:ascii="Times New Roman" w:cs="Times New Roman" w:eastAsia="Times New Roman" w:hAnsi="Times New Roman"/>
          <w:sz w:val="30"/>
          <w:szCs w:val="30"/>
          <w:color w:val="383838"/>
          <w:vertAlign w:val="superscript"/>
        </w:rPr>
      </w:pPr>
    </w:p>
    <w:p>
      <w:pPr>
        <w:jc w:val="both"/>
        <w:ind w:left="2400" w:right="1279" w:hanging="259"/>
        <w:spacing w:after="0" w:line="213" w:lineRule="auto"/>
        <w:tabs>
          <w:tab w:leader="none" w:pos="2400" w:val="left"/>
        </w:tabs>
        <w:numPr>
          <w:ilvl w:val="1"/>
          <w:numId w:val="65"/>
        </w:numPr>
        <w:rPr>
          <w:rFonts w:ascii="Times New Roman" w:cs="Times New Roman" w:eastAsia="Times New Roman" w:hAnsi="Times New Roman"/>
          <w:sz w:val="30"/>
          <w:szCs w:val="30"/>
          <w:color w:val="383838"/>
          <w:vertAlign w:val="superscript"/>
        </w:rPr>
      </w:pPr>
      <w:r>
        <w:rPr>
          <w:rFonts w:ascii="Times New Roman" w:cs="Times New Roman" w:eastAsia="Times New Roman" w:hAnsi="Times New Roman"/>
          <w:sz w:val="15"/>
          <w:szCs w:val="15"/>
          <w:color w:val="383838"/>
        </w:rPr>
        <w:t xml:space="preserve">Consummation of an agreement to merge or consolidate with another entity (other than a majority-controlled subsidiary of the Company) unless the Company's stockholders immediately before the merger or consolidation own more than 50% of the combined voting </w:t>
      </w:r>
      <w:r>
        <w:rPr>
          <w:rFonts w:ascii="Times New Roman" w:cs="Times New Roman" w:eastAsia="Times New Roman" w:hAnsi="Times New Roman"/>
          <w:sz w:val="15"/>
          <w:szCs w:val="15"/>
          <w:color w:val="000000"/>
        </w:rPr>
        <w:t>power</w:t>
      </w:r>
      <w:r>
        <w:rPr>
          <w:rFonts w:ascii="Times New Roman" w:cs="Times New Roman" w:eastAsia="Times New Roman" w:hAnsi="Times New Roman"/>
          <w:sz w:val="15"/>
          <w:szCs w:val="15"/>
          <w:color w:val="383838"/>
        </w:rPr>
        <w:t xml:space="preserve"> of the resulting entity's voting securities (giving effect to the conversion or exchange of securities issued in the merger or consolidation to the other entity that are convertible or exchangeable for voting securities) entitled generally to vote for the election of directors.</w:t>
      </w:r>
    </w:p>
    <w:p>
      <w:pPr>
        <w:spacing w:after="0" w:line="151" w:lineRule="exact"/>
        <w:rPr>
          <w:rFonts w:ascii="Times New Roman" w:cs="Times New Roman" w:eastAsia="Times New Roman" w:hAnsi="Times New Roman"/>
          <w:sz w:val="30"/>
          <w:szCs w:val="30"/>
          <w:color w:val="383838"/>
          <w:vertAlign w:val="superscript"/>
        </w:rPr>
      </w:pPr>
    </w:p>
    <w:p>
      <w:pPr>
        <w:jc w:val="both"/>
        <w:ind w:left="2400" w:right="1279" w:hanging="259"/>
        <w:spacing w:after="0"/>
        <w:tabs>
          <w:tab w:leader="none" w:pos="2400" w:val="left"/>
        </w:tabs>
        <w:numPr>
          <w:ilvl w:val="1"/>
          <w:numId w:val="65"/>
        </w:numPr>
        <w:rPr>
          <w:rFonts w:ascii="Times New Roman" w:cs="Times New Roman" w:eastAsia="Times New Roman" w:hAnsi="Times New Roman"/>
          <w:sz w:val="25"/>
          <w:szCs w:val="25"/>
          <w:color w:val="383838"/>
          <w:vertAlign w:val="superscript"/>
        </w:rPr>
      </w:pPr>
      <w:r>
        <w:rPr>
          <w:rFonts w:ascii="Times New Roman" w:cs="Times New Roman" w:eastAsia="Times New Roman" w:hAnsi="Times New Roman"/>
          <w:sz w:val="13"/>
          <w:szCs w:val="13"/>
          <w:color w:val="383838"/>
        </w:rPr>
        <w:t xml:space="preserve">Consummation of an agreement (including, without limitation, an agreement of </w:t>
      </w:r>
      <w:r>
        <w:rPr>
          <w:rFonts w:ascii="Times New Roman" w:cs="Times New Roman" w:eastAsia="Times New Roman" w:hAnsi="Times New Roman"/>
          <w:sz w:val="13"/>
          <w:szCs w:val="13"/>
          <w:color w:val="000000"/>
        </w:rPr>
        <w:t>liquidation</w:t>
      </w:r>
      <w:r>
        <w:rPr>
          <w:rFonts w:ascii="Times New Roman" w:cs="Times New Roman" w:eastAsia="Times New Roman" w:hAnsi="Times New Roman"/>
          <w:sz w:val="13"/>
          <w:szCs w:val="13"/>
          <w:color w:val="383838"/>
        </w:rPr>
        <w:t>) to sell or otherwise dispose of all or substantially all of the business or assets</w:t>
      </w:r>
      <w:r>
        <w:rPr>
          <w:rFonts w:ascii="Times New Roman" w:cs="Times New Roman" w:eastAsia="Times New Roman" w:hAnsi="Times New Roman"/>
          <w:sz w:val="13"/>
          <w:szCs w:val="13"/>
          <w:color w:val="000000"/>
        </w:rPr>
        <w:t xml:space="preserve"> </w:t>
      </w:r>
      <w:r>
        <w:rPr>
          <w:rFonts w:ascii="Times New Roman" w:cs="Times New Roman" w:eastAsia="Times New Roman" w:hAnsi="Times New Roman"/>
          <w:sz w:val="13"/>
          <w:szCs w:val="13"/>
          <w:color w:val="383838"/>
        </w:rPr>
        <w:t>of the Company or the Bank; or</w:t>
      </w:r>
    </w:p>
    <w:p>
      <w:pPr>
        <w:spacing w:after="0" w:line="245" w:lineRule="exact"/>
        <w:rPr>
          <w:rFonts w:ascii="Times New Roman" w:cs="Times New Roman" w:eastAsia="Times New Roman" w:hAnsi="Times New Roman"/>
          <w:sz w:val="25"/>
          <w:szCs w:val="25"/>
          <w:color w:val="383838"/>
          <w:vertAlign w:val="superscript"/>
        </w:rPr>
      </w:pPr>
    </w:p>
    <w:p>
      <w:pPr>
        <w:jc w:val="both"/>
        <w:ind w:left="2400" w:right="1279" w:hanging="259"/>
        <w:spacing w:after="0" w:line="190" w:lineRule="auto"/>
        <w:tabs>
          <w:tab w:leader="none" w:pos="2400" w:val="left"/>
        </w:tabs>
        <w:numPr>
          <w:ilvl w:val="1"/>
          <w:numId w:val="65"/>
        </w:numPr>
        <w:rPr>
          <w:rFonts w:ascii="Times New Roman" w:cs="Times New Roman" w:eastAsia="Times New Roman" w:hAnsi="Times New Roman"/>
          <w:sz w:val="26"/>
          <w:szCs w:val="26"/>
          <w:color w:val="383838"/>
          <w:vertAlign w:val="superscript"/>
        </w:rPr>
      </w:pPr>
      <w:r>
        <w:rPr>
          <w:rFonts w:ascii="Times New Roman" w:cs="Times New Roman" w:eastAsia="Times New Roman" w:hAnsi="Times New Roman"/>
          <w:sz w:val="14"/>
          <w:szCs w:val="14"/>
          <w:color w:val="383838"/>
        </w:rPr>
        <w:t>Individuals who, as of the date hereof, constitute the Board of Directors of the Company (the "</w:t>
      </w:r>
      <w:r>
        <w:rPr>
          <w:rFonts w:ascii="Times New Roman" w:cs="Times New Roman" w:eastAsia="Times New Roman" w:hAnsi="Times New Roman"/>
          <w:sz w:val="14"/>
          <w:szCs w:val="14"/>
          <w:color w:val="000000"/>
        </w:rPr>
        <w:t>Incumbent</w:t>
      </w:r>
      <w:r>
        <w:rPr>
          <w:rFonts w:ascii="Times New Roman" w:cs="Times New Roman" w:eastAsia="Times New Roman" w:hAnsi="Times New Roman"/>
          <w:sz w:val="14"/>
          <w:szCs w:val="14"/>
          <w:color w:val="383838"/>
        </w:rPr>
        <w:t xml:space="preserve"> Board") cease for any reason during any 12 month period to</w:t>
      </w:r>
    </w:p>
    <w:p>
      <w:pPr>
        <w:sectPr>
          <w:pgSz w:w="11900" w:h="16838" w:orient="portrait"/>
          <w:cols w:equalWidth="0" w:num="1">
            <w:col w:w="9019"/>
          </w:cols>
          <w:pgMar w:left="1440" w:top="1234" w:right="1440" w:bottom="1440" w:gutter="0" w:footer="0" w:header="0"/>
        </w:sectPr>
      </w:pPr>
    </w:p>
    <w:bookmarkStart w:id="131" w:name="page132"/>
    <w:bookmarkEnd w:id="131"/>
    <w:p>
      <w:pPr>
        <w:jc w:val="both"/>
        <w:ind w:left="2400" w:right="1279"/>
        <w:spacing w:after="0" w:line="248" w:lineRule="auto"/>
        <w:rPr>
          <w:sz w:val="20"/>
          <w:szCs w:val="20"/>
          <w:color w:val="auto"/>
        </w:rPr>
      </w:pPr>
      <w:r>
        <w:rPr>
          <w:rFonts w:ascii="Times New Roman" w:cs="Times New Roman" w:eastAsia="Times New Roman" w:hAnsi="Times New Roman"/>
          <w:sz w:val="15"/>
          <w:szCs w:val="15"/>
          <w:color w:val="383838"/>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constitute at least a majority of the Board, provided that any person becoming a director subsequent to the date hereof whose election or nomination for election by the stockholders of the Company is approved by a vote of at least a majority of directors then constituting the</w:t>
      </w:r>
      <w:r>
        <w:rPr>
          <w:rFonts w:ascii="Times New Roman" w:cs="Times New Roman" w:eastAsia="Times New Roman" w:hAnsi="Times New Roman"/>
          <w:sz w:val="15"/>
          <w:szCs w:val="15"/>
          <w:color w:val="363636"/>
        </w:rPr>
        <w:t>Incumbent Board shall be, for purposes of this Agreement, considered as</w:t>
      </w:r>
      <w:r>
        <w:rPr>
          <w:rFonts w:ascii="Times New Roman" w:cs="Times New Roman" w:eastAsia="Times New Roman" w:hAnsi="Times New Roman"/>
          <w:sz w:val="15"/>
          <w:szCs w:val="15"/>
          <w:color w:val="383838"/>
        </w:rPr>
        <w:t xml:space="preserve"> </w:t>
      </w:r>
      <w:r>
        <w:rPr>
          <w:rFonts w:ascii="Times New Roman" w:cs="Times New Roman" w:eastAsia="Times New Roman" w:hAnsi="Times New Roman"/>
          <w:sz w:val="15"/>
          <w:szCs w:val="15"/>
          <w:color w:val="363636"/>
        </w:rPr>
        <w:t>though such person were a member of the Incumbent Board.</w:t>
      </w:r>
    </w:p>
    <w:p>
      <w:pPr>
        <w:spacing w:after="0" w:line="133" w:lineRule="exact"/>
        <w:rPr>
          <w:sz w:val="20"/>
          <w:szCs w:val="20"/>
          <w:color w:val="auto"/>
        </w:rPr>
      </w:pPr>
    </w:p>
    <w:p>
      <w:pPr>
        <w:jc w:val="both"/>
        <w:ind w:left="2180" w:right="1259"/>
        <w:spacing w:after="0" w:line="252" w:lineRule="auto"/>
        <w:rPr>
          <w:sz w:val="20"/>
          <w:szCs w:val="20"/>
          <w:color w:val="auto"/>
        </w:rPr>
      </w:pPr>
      <w:r>
        <w:rPr>
          <w:rFonts w:ascii="Times New Roman" w:cs="Times New Roman" w:eastAsia="Times New Roman" w:hAnsi="Times New Roman"/>
          <w:sz w:val="15"/>
          <w:szCs w:val="15"/>
          <w:color w:val="363636"/>
        </w:rPr>
        <w:t>Notwithstanding the foregoing, no event shall constitute a Change in Control unless such event shall also constitute a change in control as defined in Section 409A of the Internal Revenue Code of 1986, as amended.</w:t>
      </w:r>
    </w:p>
    <w:p>
      <w:pPr>
        <w:spacing w:after="0" w:line="139" w:lineRule="exact"/>
        <w:rPr>
          <w:sz w:val="20"/>
          <w:szCs w:val="20"/>
          <w:color w:val="auto"/>
        </w:rPr>
      </w:pPr>
    </w:p>
    <w:p>
      <w:pPr>
        <w:jc w:val="both"/>
        <w:ind w:left="2140" w:right="1279" w:hanging="490"/>
        <w:spacing w:after="0" w:line="203" w:lineRule="auto"/>
        <w:tabs>
          <w:tab w:leader="none" w:pos="2140" w:val="left"/>
        </w:tabs>
        <w:numPr>
          <w:ilvl w:val="0"/>
          <w:numId w:val="66"/>
        </w:numPr>
        <w:rPr>
          <w:rFonts w:ascii="Times New Roman" w:cs="Times New Roman" w:eastAsia="Times New Roman" w:hAnsi="Times New Roman"/>
          <w:sz w:val="30"/>
          <w:szCs w:val="30"/>
          <w:color w:val="363636"/>
          <w:vertAlign w:val="superscript"/>
        </w:rPr>
      </w:pPr>
      <w:r>
        <w:rPr>
          <w:rFonts w:ascii="Times New Roman" w:cs="Times New Roman" w:eastAsia="Times New Roman" w:hAnsi="Times New Roman"/>
          <w:sz w:val="15"/>
          <w:szCs w:val="15"/>
          <w:u w:val="single" w:color="auto"/>
          <w:color w:val="363636"/>
        </w:rPr>
        <w:t>Severability.</w:t>
      </w:r>
      <w:r>
        <w:rPr>
          <w:rFonts w:ascii="Times New Roman" w:cs="Times New Roman" w:eastAsia="Times New Roman" w:hAnsi="Times New Roman"/>
          <w:sz w:val="15"/>
          <w:szCs w:val="15"/>
          <w:color w:val="363636"/>
        </w:rPr>
        <w:t xml:space="preserve"> Should any provision of this Agreement be declared or determined by any court of competent jurisdiction to be unenforceable or invalid for any reason, the validity of the remaining parts, term or provisions of this Agreement shall not be affected thereby and the invalid or unenforceable part, term or provision shall be deemed not to be a part of this Agreement.</w:t>
      </w:r>
    </w:p>
    <w:p>
      <w:pPr>
        <w:spacing w:after="0" w:line="148" w:lineRule="exact"/>
        <w:rPr>
          <w:rFonts w:ascii="Times New Roman" w:cs="Times New Roman" w:eastAsia="Times New Roman" w:hAnsi="Times New Roman"/>
          <w:sz w:val="30"/>
          <w:szCs w:val="30"/>
          <w:color w:val="363636"/>
          <w:vertAlign w:val="superscript"/>
        </w:rPr>
      </w:pPr>
    </w:p>
    <w:p>
      <w:pPr>
        <w:ind w:left="2140" w:right="1279" w:hanging="490"/>
        <w:spacing w:after="0" w:line="209" w:lineRule="auto"/>
        <w:tabs>
          <w:tab w:leader="none" w:pos="2140" w:val="left"/>
        </w:tabs>
        <w:numPr>
          <w:ilvl w:val="0"/>
          <w:numId w:val="66"/>
        </w:numPr>
        <w:rPr>
          <w:rFonts w:ascii="Times New Roman" w:cs="Times New Roman" w:eastAsia="Times New Roman" w:hAnsi="Times New Roman"/>
          <w:sz w:val="30"/>
          <w:szCs w:val="30"/>
          <w:color w:val="363636"/>
          <w:vertAlign w:val="superscript"/>
        </w:rPr>
      </w:pPr>
      <w:r>
        <w:rPr>
          <w:rFonts w:ascii="Times New Roman" w:cs="Times New Roman" w:eastAsia="Times New Roman" w:hAnsi="Times New Roman"/>
          <w:sz w:val="15"/>
          <w:szCs w:val="15"/>
          <w:u w:val="single" w:color="auto"/>
          <w:color w:val="363636"/>
        </w:rPr>
        <w:t>Applicable Law/Forum</w:t>
      </w:r>
      <w:r>
        <w:rPr>
          <w:rFonts w:ascii="Times New Roman" w:cs="Times New Roman" w:eastAsia="Times New Roman" w:hAnsi="Times New Roman"/>
          <w:sz w:val="15"/>
          <w:szCs w:val="15"/>
          <w:color w:val="363636"/>
        </w:rPr>
        <w:t>. This Agreement has been entered into and shall be governed by and construed under the internal laws of the State of Florida, without regard to conflicts of laws or principles. All suits, proceedings and other actions relating to, arising out of or in connection with this Agreement will be submitted solely to the in personam jurisdiction of the United States District Court for the Southern District of Florida ("Federal Court") or to the Circuit Court in Broward County or MiamiDade­ County. Executive hereby waives any claims against or objections to such in personam jurisdiction and venue.</w:t>
      </w:r>
    </w:p>
    <w:p>
      <w:pPr>
        <w:spacing w:after="0" w:line="153" w:lineRule="exact"/>
        <w:rPr>
          <w:rFonts w:ascii="Times New Roman" w:cs="Times New Roman" w:eastAsia="Times New Roman" w:hAnsi="Times New Roman"/>
          <w:sz w:val="30"/>
          <w:szCs w:val="30"/>
          <w:color w:val="363636"/>
          <w:vertAlign w:val="superscript"/>
        </w:rPr>
      </w:pPr>
    </w:p>
    <w:p>
      <w:pPr>
        <w:jc w:val="both"/>
        <w:ind w:left="2140" w:right="1279" w:hanging="490"/>
        <w:spacing w:after="0" w:line="213" w:lineRule="auto"/>
        <w:tabs>
          <w:tab w:leader="none" w:pos="2140" w:val="left"/>
        </w:tabs>
        <w:numPr>
          <w:ilvl w:val="0"/>
          <w:numId w:val="66"/>
        </w:numPr>
        <w:rPr>
          <w:rFonts w:ascii="Times New Roman" w:cs="Times New Roman" w:eastAsia="Times New Roman" w:hAnsi="Times New Roman"/>
          <w:sz w:val="30"/>
          <w:szCs w:val="30"/>
          <w:color w:val="363636"/>
          <w:vertAlign w:val="superscript"/>
        </w:rPr>
      </w:pPr>
      <w:r>
        <w:rPr>
          <w:rFonts w:ascii="Times New Roman" w:cs="Times New Roman" w:eastAsia="Times New Roman" w:hAnsi="Times New Roman"/>
          <w:sz w:val="15"/>
          <w:szCs w:val="15"/>
          <w:u w:val="single" w:color="auto"/>
          <w:color w:val="363636"/>
        </w:rPr>
        <w:t>Notice.</w:t>
      </w:r>
      <w:r>
        <w:rPr>
          <w:rFonts w:ascii="Times New Roman" w:cs="Times New Roman" w:eastAsia="Times New Roman" w:hAnsi="Times New Roman"/>
          <w:sz w:val="15"/>
          <w:szCs w:val="15"/>
          <w:color w:val="363636"/>
        </w:rPr>
        <w:t xml:space="preserve"> All notices and other communications hereunder shall be in writing and shall be deemed to have been given only if and when personally delivered or three (3) business days after mailing, postage prepaid, registered or certified mail, or when delivered (and receipted for) by an express delivery service, addressed in each case as follows. As to notices provided to the Bank, notices shall be sent to the Human Resources Department at the address of the Bank listed in the introductory paragraph of this Agreement. As to notices to Executive, notices shall be sent to the address provided below in the signature block hereto. Executive and the Bank may change the address for the giving of notices.</w:t>
      </w:r>
    </w:p>
    <w:p>
      <w:pPr>
        <w:spacing w:after="0" w:line="147" w:lineRule="exact"/>
        <w:rPr>
          <w:rFonts w:ascii="Times New Roman" w:cs="Times New Roman" w:eastAsia="Times New Roman" w:hAnsi="Times New Roman"/>
          <w:sz w:val="30"/>
          <w:szCs w:val="30"/>
          <w:color w:val="363636"/>
          <w:vertAlign w:val="superscript"/>
        </w:rPr>
      </w:pPr>
    </w:p>
    <w:p>
      <w:pPr>
        <w:jc w:val="both"/>
        <w:ind w:left="2140" w:right="1279" w:hanging="490"/>
        <w:spacing w:after="0" w:line="230" w:lineRule="auto"/>
        <w:tabs>
          <w:tab w:leader="none" w:pos="2140" w:val="left"/>
        </w:tabs>
        <w:numPr>
          <w:ilvl w:val="0"/>
          <w:numId w:val="66"/>
        </w:numPr>
        <w:rPr>
          <w:rFonts w:ascii="Times New Roman" w:cs="Times New Roman" w:eastAsia="Times New Roman" w:hAnsi="Times New Roman"/>
          <w:sz w:val="28"/>
          <w:szCs w:val="28"/>
          <w:color w:val="363636"/>
          <w:vertAlign w:val="superscript"/>
        </w:rPr>
      </w:pPr>
      <w:r>
        <w:rPr>
          <w:rFonts w:ascii="Times New Roman" w:cs="Times New Roman" w:eastAsia="Times New Roman" w:hAnsi="Times New Roman"/>
          <w:sz w:val="14"/>
          <w:szCs w:val="14"/>
          <w:u w:val="single" w:color="auto"/>
          <w:color w:val="363636"/>
        </w:rPr>
        <w:t>Complete Agreement.</w:t>
      </w:r>
      <w:r>
        <w:rPr>
          <w:rFonts w:ascii="Times New Roman" w:cs="Times New Roman" w:eastAsia="Times New Roman" w:hAnsi="Times New Roman"/>
          <w:sz w:val="14"/>
          <w:szCs w:val="14"/>
          <w:color w:val="363636"/>
        </w:rPr>
        <w:t xml:space="preserve"> This Agreement represents the complete agreement between Executive and the Bank regarding the subject matter of this Agreement. </w:t>
      </w:r>
      <w:r>
        <w:rPr>
          <w:rFonts w:ascii="Times New Roman" w:cs="Times New Roman" w:eastAsia="Times New Roman" w:hAnsi="Times New Roman"/>
          <w:sz w:val="14"/>
          <w:szCs w:val="14"/>
          <w:color w:val="000000"/>
        </w:rPr>
        <w:t>All prior agreements between</w:t>
      </w:r>
      <w:r>
        <w:rPr>
          <w:rFonts w:ascii="Times New Roman" w:cs="Times New Roman" w:eastAsia="Times New Roman" w:hAnsi="Times New Roman"/>
          <w:sz w:val="14"/>
          <w:szCs w:val="14"/>
          <w:color w:val="363636"/>
        </w:rPr>
        <w:t xml:space="preserve"> </w:t>
      </w:r>
      <w:r>
        <w:rPr>
          <w:rFonts w:ascii="Times New Roman" w:cs="Times New Roman" w:eastAsia="Times New Roman" w:hAnsi="Times New Roman"/>
          <w:sz w:val="14"/>
          <w:szCs w:val="14"/>
          <w:color w:val="000000"/>
        </w:rPr>
        <w:t xml:space="preserve">the Bank and Executive with respect to the specific matters agreed to herein, including without limitation, the Prior Agreement, are hereby superseded and shall have no force or effect. </w:t>
      </w:r>
      <w:r>
        <w:rPr>
          <w:rFonts w:ascii="Times New Roman" w:cs="Times New Roman" w:eastAsia="Times New Roman" w:hAnsi="Times New Roman"/>
          <w:sz w:val="14"/>
          <w:szCs w:val="14"/>
          <w:color w:val="363636"/>
        </w:rPr>
        <w:t>This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363636"/>
        </w:rPr>
        <w:t>Agreement is in no way dependent upon the performance of any other contract or agreement that may have been or may be entered into between Executive and the Bank and remains in effect during the pendency of this Agreement. As such, the breach or alleged breach of any other contract or agreement is no defense to enforcement of this Agreement.</w:t>
      </w:r>
    </w:p>
    <w:p>
      <w:pPr>
        <w:spacing w:after="0" w:line="147" w:lineRule="exact"/>
        <w:rPr>
          <w:rFonts w:ascii="Times New Roman" w:cs="Times New Roman" w:eastAsia="Times New Roman" w:hAnsi="Times New Roman"/>
          <w:sz w:val="28"/>
          <w:szCs w:val="28"/>
          <w:color w:val="363636"/>
          <w:vertAlign w:val="superscript"/>
        </w:rPr>
      </w:pPr>
    </w:p>
    <w:p>
      <w:pPr>
        <w:jc w:val="both"/>
        <w:ind w:left="2140" w:right="1339" w:hanging="490"/>
        <w:spacing w:after="0" w:line="225" w:lineRule="auto"/>
        <w:tabs>
          <w:tab w:leader="none" w:pos="2140" w:val="left"/>
        </w:tabs>
        <w:numPr>
          <w:ilvl w:val="0"/>
          <w:numId w:val="66"/>
        </w:numPr>
        <w:rPr>
          <w:rFonts w:ascii="Times New Roman" w:cs="Times New Roman" w:eastAsia="Times New Roman" w:hAnsi="Times New Roman"/>
          <w:sz w:val="28"/>
          <w:szCs w:val="28"/>
          <w:color w:val="483D3B"/>
          <w:vertAlign w:val="superscript"/>
        </w:rPr>
      </w:pPr>
      <w:r>
        <w:rPr>
          <w:rFonts w:ascii="Times New Roman" w:cs="Times New Roman" w:eastAsia="Times New Roman" w:hAnsi="Times New Roman"/>
          <w:sz w:val="14"/>
          <w:szCs w:val="14"/>
          <w:u w:val="single" w:color="auto"/>
          <w:color w:val="363636"/>
        </w:rPr>
        <w:t>Amendments in Writing</w:t>
      </w:r>
      <w:r>
        <w:rPr>
          <w:rFonts w:ascii="Times New Roman" w:cs="Times New Roman" w:eastAsia="Times New Roman" w:hAnsi="Times New Roman"/>
          <w:sz w:val="14"/>
          <w:szCs w:val="14"/>
          <w:color w:val="363636"/>
        </w:rPr>
        <w:t>. No amendment, modification, waiver, or other change to this Agreement shall in any event be effective unless the same shall be in writing, specifically identifying this Agreement and the provision intended to be changed and signed by the Bank and Executive, and each such change shall be effective only in the specific instance and for the specific purpose for which it is given. No provision of this Agreement shall be varied, contradicted or explained by any oral agreement, course of dealing or performance or any other matter not set forth in an agreement in writing and signed by Executive and the Bank.</w:t>
      </w:r>
    </w:p>
    <w:p>
      <w:pPr>
        <w:spacing w:after="0" w:line="147" w:lineRule="exact"/>
        <w:rPr>
          <w:rFonts w:ascii="Times New Roman" w:cs="Times New Roman" w:eastAsia="Times New Roman" w:hAnsi="Times New Roman"/>
          <w:sz w:val="28"/>
          <w:szCs w:val="28"/>
          <w:color w:val="483D3B"/>
          <w:vertAlign w:val="superscript"/>
        </w:rPr>
      </w:pPr>
    </w:p>
    <w:p>
      <w:pPr>
        <w:jc w:val="both"/>
        <w:ind w:left="2140" w:right="1339" w:hanging="490"/>
        <w:spacing w:after="0" w:line="220" w:lineRule="auto"/>
        <w:tabs>
          <w:tab w:leader="none" w:pos="2140" w:val="left"/>
        </w:tabs>
        <w:numPr>
          <w:ilvl w:val="0"/>
          <w:numId w:val="66"/>
        </w:numPr>
        <w:rPr>
          <w:rFonts w:ascii="Times New Roman" w:cs="Times New Roman" w:eastAsia="Times New Roman" w:hAnsi="Times New Roman"/>
          <w:sz w:val="28"/>
          <w:szCs w:val="28"/>
          <w:color w:val="483D3B"/>
          <w:vertAlign w:val="superscript"/>
        </w:rPr>
      </w:pPr>
      <w:r>
        <w:rPr>
          <w:rFonts w:ascii="Times New Roman" w:cs="Times New Roman" w:eastAsia="Times New Roman" w:hAnsi="Times New Roman"/>
          <w:sz w:val="14"/>
          <w:szCs w:val="14"/>
          <w:u w:val="single" w:color="auto"/>
          <w:color w:val="483D3B"/>
        </w:rPr>
        <w:t>Term of the Agreement</w:t>
      </w:r>
      <w:r>
        <w:rPr>
          <w:rFonts w:ascii="Times New Roman" w:cs="Times New Roman" w:eastAsia="Times New Roman" w:hAnsi="Times New Roman"/>
          <w:sz w:val="14"/>
          <w:szCs w:val="14"/>
          <w:color w:val="483D3B"/>
        </w:rPr>
        <w:t xml:space="preserve">. </w:t>
      </w:r>
      <w:r>
        <w:rPr>
          <w:rFonts w:ascii="Times New Roman" w:cs="Times New Roman" w:eastAsia="Times New Roman" w:hAnsi="Times New Roman"/>
          <w:sz w:val="14"/>
          <w:szCs w:val="14"/>
          <w:color w:val="000000"/>
        </w:rPr>
        <w:t>Subject to the terms hereof, the term of this Agreement shall commence</w:t>
      </w:r>
      <w:r>
        <w:rPr>
          <w:rFonts w:ascii="Times New Roman" w:cs="Times New Roman" w:eastAsia="Times New Roman" w:hAnsi="Times New Roman"/>
          <w:sz w:val="14"/>
          <w:szCs w:val="14"/>
          <w:color w:val="483D3B"/>
        </w:rPr>
        <w:t xml:space="preserve"> </w:t>
      </w:r>
      <w:r>
        <w:rPr>
          <w:rFonts w:ascii="Times New Roman" w:cs="Times New Roman" w:eastAsia="Times New Roman" w:hAnsi="Times New Roman"/>
          <w:sz w:val="14"/>
          <w:szCs w:val="14"/>
          <w:color w:val="000000"/>
        </w:rPr>
        <w:t xml:space="preserve">on the date hereof and terminate on December 31, 2028 (the </w:t>
      </w:r>
      <w:r>
        <w:rPr>
          <w:rFonts w:ascii="Times New Roman" w:cs="Times New Roman" w:eastAsia="Times New Roman" w:hAnsi="Times New Roman"/>
          <w:sz w:val="14"/>
          <w:szCs w:val="14"/>
          <w:color w:val="383838"/>
        </w:rPr>
        <w:t>"Initial</w:t>
      </w:r>
      <w:r>
        <w:rPr>
          <w:rFonts w:ascii="Times New Roman" w:cs="Times New Roman" w:eastAsia="Times New Roman" w:hAnsi="Times New Roman"/>
          <w:sz w:val="14"/>
          <w:szCs w:val="14"/>
          <w:color w:val="000000"/>
        </w:rPr>
        <w:t xml:space="preserve"> Term</w:t>
      </w:r>
      <w:r>
        <w:rPr>
          <w:rFonts w:ascii="Times New Roman" w:cs="Times New Roman" w:eastAsia="Times New Roman" w:hAnsi="Times New Roman"/>
          <w:sz w:val="14"/>
          <w:szCs w:val="14"/>
          <w:color w:val="383838"/>
        </w:rPr>
        <w:t>").</w:t>
      </w:r>
      <w:r>
        <w:rPr>
          <w:rFonts w:ascii="Times New Roman" w:cs="Times New Roman" w:eastAsia="Times New Roman" w:hAnsi="Times New Roman"/>
          <w:sz w:val="14"/>
          <w:szCs w:val="14"/>
          <w:color w:val="000000"/>
        </w:rPr>
        <w:t xml:space="preserve"> Prior to December 31, 2026 (the </w:t>
      </w:r>
      <w:r>
        <w:rPr>
          <w:rFonts w:ascii="Times New Roman" w:cs="Times New Roman" w:eastAsia="Times New Roman" w:hAnsi="Times New Roman"/>
          <w:sz w:val="14"/>
          <w:szCs w:val="14"/>
          <w:color w:val="383838"/>
        </w:rPr>
        <w:t>"</w:t>
      </w:r>
      <w:r>
        <w:rPr>
          <w:rFonts w:ascii="Times New Roman" w:cs="Times New Roman" w:eastAsia="Times New Roman" w:hAnsi="Times New Roman"/>
          <w:sz w:val="14"/>
          <w:szCs w:val="14"/>
          <w:color w:val="000000"/>
        </w:rPr>
        <w:t>Extension Anniversary Date</w:t>
      </w:r>
      <w:r>
        <w:rPr>
          <w:rFonts w:ascii="Times New Roman" w:cs="Times New Roman" w:eastAsia="Times New Roman" w:hAnsi="Times New Roman"/>
          <w:sz w:val="14"/>
          <w:szCs w:val="14"/>
          <w:color w:val="383838"/>
        </w:rPr>
        <w:t>"</w:t>
      </w:r>
      <w:r>
        <w:rPr>
          <w:rFonts w:ascii="Times New Roman" w:cs="Times New Roman" w:eastAsia="Times New Roman" w:hAnsi="Times New Roman"/>
          <w:sz w:val="14"/>
          <w:szCs w:val="14"/>
          <w:color w:val="000000"/>
        </w:rPr>
        <w:t>) and each annual anniversary thereafter of the Extension Anniversary Date, the Board of Directors of the Bank or the Compensation Committee thereof shall consider and review (with appropriate corporate documentation thereof, and after taking into account all relevant factors, including Executive’s performance</w:t>
      </w:r>
    </w:p>
    <w:p>
      <w:pPr>
        <w:spacing w:after="0" w:line="200" w:lineRule="exact"/>
        <w:rPr>
          <w:sz w:val="20"/>
          <w:szCs w:val="20"/>
          <w:color w:val="auto"/>
        </w:rPr>
      </w:pPr>
    </w:p>
    <w:p>
      <w:pPr>
        <w:spacing w:after="0" w:line="2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238" w:right="1440" w:bottom="1440" w:gutter="0" w:footer="0" w:header="0"/>
        </w:sectPr>
      </w:pPr>
    </w:p>
    <w:bookmarkStart w:id="132" w:name="page133"/>
    <w:bookmarkEnd w:id="132"/>
    <w:p>
      <w:pPr>
        <w:jc w:val="both"/>
        <w:ind w:left="2140" w:right="1339"/>
        <w:spacing w:after="0" w:line="23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hereunder) a one-year extension of the term of this Agreement. If the Board of Directors or the Compensation Committee thereof approve such an extension, then the term of this Agreement shall be so extended as of the Extension Anniversary Date or any relevant annual anniversary of such date unless Executive gives written notice to the Bank of Executive’s election not to extend the term, with such written notice to be given not less than thirty (30) days prior to the Extension Anniversary Date or any relevant annual anniversary of such date. If the Board of Directors elects not to extend the term, it shall give written notice of such decision to Executive not less than thirty (30) days prior to the Extension Anniversary Date or any annual anniversary of such date. If any party gives timely notice that the term will not be extended as of the Extension Anniversary Date or any annual anniversary of such date, then this Agreement and the rights and obligations provided herein shall terminate at the conclusion of its remaining term. References herein to the term of this Agreement shall refer both to the Initial Term and successive terms as the term of this Agreement is extended in accordance with the terms hereof.</w:t>
      </w:r>
    </w:p>
    <w:p>
      <w:pPr>
        <w:spacing w:after="0" w:line="140" w:lineRule="exact"/>
        <w:rPr>
          <w:sz w:val="20"/>
          <w:szCs w:val="20"/>
          <w:color w:val="auto"/>
        </w:rPr>
      </w:pPr>
    </w:p>
    <w:p>
      <w:pPr>
        <w:jc w:val="both"/>
        <w:ind w:left="2140" w:right="1339" w:hanging="490"/>
        <w:spacing w:after="0" w:line="187" w:lineRule="auto"/>
        <w:tabs>
          <w:tab w:leader="none" w:pos="2140" w:val="left"/>
        </w:tabs>
        <w:numPr>
          <w:ilvl w:val="0"/>
          <w:numId w:val="67"/>
        </w:numPr>
        <w:rPr>
          <w:rFonts w:ascii="Times New Roman" w:cs="Times New Roman" w:eastAsia="Times New Roman" w:hAnsi="Times New Roman"/>
          <w:sz w:val="30"/>
          <w:szCs w:val="30"/>
          <w:color w:val="483D3B"/>
          <w:vertAlign w:val="superscript"/>
        </w:rPr>
      </w:pPr>
      <w:r>
        <w:rPr>
          <w:rFonts w:ascii="Times New Roman" w:cs="Times New Roman" w:eastAsia="Times New Roman" w:hAnsi="Times New Roman"/>
          <w:sz w:val="15"/>
          <w:szCs w:val="15"/>
          <w:u w:val="single" w:color="auto"/>
          <w:color w:val="auto"/>
        </w:rPr>
        <w:t>Regulatory Actions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following provisions shall be applicable to the parties hereto or any successor thereto, and shall be controlling in the event of a conflict with any other provision of this Agreement, including without limitation Section 1 hereof:</w:t>
      </w:r>
    </w:p>
    <w:p>
      <w:pPr>
        <w:spacing w:after="0" w:line="159" w:lineRule="exact"/>
        <w:rPr>
          <w:rFonts w:ascii="Times New Roman" w:cs="Times New Roman" w:eastAsia="Times New Roman" w:hAnsi="Times New Roman"/>
          <w:sz w:val="30"/>
          <w:szCs w:val="30"/>
          <w:color w:val="483D3B"/>
          <w:vertAlign w:val="superscript"/>
        </w:rPr>
      </w:pPr>
    </w:p>
    <w:p>
      <w:pPr>
        <w:jc w:val="both"/>
        <w:ind w:left="2400" w:right="1279" w:hanging="259"/>
        <w:spacing w:after="0" w:line="216" w:lineRule="auto"/>
        <w:tabs>
          <w:tab w:leader="none" w:pos="2400" w:val="left"/>
        </w:tabs>
        <w:numPr>
          <w:ilvl w:val="1"/>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suspended from office and/or temporarily prohibited from participating in the conduct of the Bank’s affairs pursuant to notice served under Section 8(e)(3) or Section 8(g)(1) of the Federal Deposit Insurance Act (</w:t>
      </w:r>
      <w:r>
        <w:rPr>
          <w:rFonts w:ascii="Times New Roman" w:cs="Times New Roman" w:eastAsia="Times New Roman" w:hAnsi="Times New Roman"/>
          <w:sz w:val="15"/>
          <w:szCs w:val="15"/>
          <w:color w:val="383838"/>
        </w:rPr>
        <w:t>"</w:t>
      </w:r>
      <w:r>
        <w:rPr>
          <w:rFonts w:ascii="Times New Roman" w:cs="Times New Roman" w:eastAsia="Times New Roman" w:hAnsi="Times New Roman"/>
          <w:sz w:val="15"/>
          <w:szCs w:val="15"/>
          <w:color w:val="auto"/>
        </w:rPr>
        <w:t>FDIA</w:t>
      </w:r>
      <w:r>
        <w:rPr>
          <w:rFonts w:ascii="Times New Roman" w:cs="Times New Roman" w:eastAsia="Times New Roman" w:hAnsi="Times New Roman"/>
          <w:sz w:val="15"/>
          <w:szCs w:val="15"/>
          <w:color w:val="383838"/>
        </w:rPr>
        <w:t>"</w:t>
      </w:r>
      <w:r>
        <w:rPr>
          <w:rFonts w:ascii="Times New Roman" w:cs="Times New Roman" w:eastAsia="Times New Roman" w:hAnsi="Times New Roman"/>
          <w:sz w:val="15"/>
          <w:szCs w:val="15"/>
          <w:color w:val="auto"/>
        </w:rPr>
        <w:t>)(12 U.S.C. §§1818(e)(3) and 1818(g)(1)), the Bank’s obligations under this Agreement shall be suspended as of the date of service, unless stayed by appropriate proceedings. If the charges in the notice are dismissed, the Bank will: (i) pay Executive all or part of the compensation withheld while its obligations under this Agreement were suspended, and (ii) reinstate (in whole or in part) any of its obligations which were suspended.</w:t>
      </w:r>
    </w:p>
    <w:p>
      <w:pPr>
        <w:spacing w:after="0" w:line="149" w:lineRule="exact"/>
        <w:rPr>
          <w:rFonts w:ascii="Times New Roman" w:cs="Times New Roman" w:eastAsia="Times New Roman" w:hAnsi="Times New Roman"/>
          <w:sz w:val="30"/>
          <w:szCs w:val="30"/>
          <w:color w:val="auto"/>
          <w:vertAlign w:val="superscript"/>
        </w:rPr>
      </w:pPr>
    </w:p>
    <w:p>
      <w:pPr>
        <w:jc w:val="both"/>
        <w:ind w:left="2400" w:right="1279" w:hanging="259"/>
        <w:spacing w:after="0" w:line="205" w:lineRule="auto"/>
        <w:tabs>
          <w:tab w:leader="none" w:pos="2400" w:val="left"/>
        </w:tabs>
        <w:numPr>
          <w:ilvl w:val="1"/>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removed from office and/or permanently prohibited from participating in the conduct of the Bank’s affairs by an order issued under Section 8(e)(4) or Section 8(g)(1) of the FDIA (12 U.S.C. §§1818(e)(4) and (g)(1)), all obligations of the Bank under this Agreement shall terminate as of the effective date of the order, but vested rights of Executive and the Bank as of the date of termination shall not be affected.</w:t>
      </w:r>
    </w:p>
    <w:p>
      <w:pPr>
        <w:spacing w:after="0" w:line="150"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9" w:lineRule="auto"/>
        <w:tabs>
          <w:tab w:leader="none" w:pos="2400" w:val="left"/>
        </w:tabs>
        <w:numPr>
          <w:ilvl w:val="1"/>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If the Bank is in default, as defined in Section 3(x)(1) of the FDIA (12 U.S.C. §1813(x)(1)), all obligations under this Agreement shall terminate as of the date of default, but vested rights of Executive and the Bank as of the date of termination shall not be affected.</w:t>
      </w:r>
    </w:p>
    <w:p>
      <w:pPr>
        <w:spacing w:after="0" w:line="147" w:lineRule="exact"/>
        <w:rPr>
          <w:rFonts w:ascii="Times New Roman" w:cs="Times New Roman" w:eastAsia="Times New Roman" w:hAnsi="Times New Roman"/>
          <w:sz w:val="25"/>
          <w:szCs w:val="25"/>
          <w:color w:val="auto"/>
          <w:vertAlign w:val="superscript"/>
        </w:rPr>
      </w:pPr>
    </w:p>
    <w:p>
      <w:pPr>
        <w:jc w:val="both"/>
        <w:ind w:left="2400" w:right="1279" w:hanging="259"/>
        <w:spacing w:after="0" w:line="289" w:lineRule="auto"/>
        <w:tabs>
          <w:tab w:leader="none" w:pos="2400" w:val="left"/>
        </w:tabs>
        <w:numPr>
          <w:ilvl w:val="1"/>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Notwithstanding any other provision of this Agreement to the contrary, any payments made to Executive pursuant to this Agreement, or otherwise, are subject to and conditioned upon their compliance with Section 18(k) of the FDIA (12 U.S.C. §1828(k)) and 12 C.F.R. Part 359.</w:t>
      </w:r>
    </w:p>
    <w:p>
      <w:pPr>
        <w:spacing w:after="0" w:line="116" w:lineRule="exact"/>
        <w:rPr>
          <w:rFonts w:ascii="Times New Roman" w:cs="Times New Roman" w:eastAsia="Times New Roman" w:hAnsi="Times New Roman"/>
          <w:sz w:val="26"/>
          <w:szCs w:val="26"/>
          <w:color w:val="auto"/>
          <w:vertAlign w:val="superscript"/>
        </w:rPr>
      </w:pPr>
    </w:p>
    <w:p>
      <w:pPr>
        <w:jc w:val="both"/>
        <w:ind w:left="2140" w:right="1359" w:hanging="490"/>
        <w:spacing w:after="0" w:line="193" w:lineRule="auto"/>
        <w:tabs>
          <w:tab w:leader="none" w:pos="2140" w:val="left"/>
        </w:tabs>
        <w:numPr>
          <w:ilvl w:val="0"/>
          <w:numId w:val="67"/>
        </w:numPr>
        <w:rPr>
          <w:rFonts w:ascii="Times New Roman" w:cs="Times New Roman" w:eastAsia="Times New Roman" w:hAnsi="Times New Roman"/>
          <w:sz w:val="30"/>
          <w:szCs w:val="30"/>
          <w:color w:val="483D3B"/>
          <w:vertAlign w:val="superscript"/>
        </w:rPr>
      </w:pPr>
      <w:r>
        <w:rPr>
          <w:rFonts w:ascii="Times New Roman" w:cs="Times New Roman" w:eastAsia="Times New Roman" w:hAnsi="Times New Roman"/>
          <w:sz w:val="15"/>
          <w:szCs w:val="15"/>
          <w:u w:val="single" w:color="auto"/>
          <w:color w:val="483D3B"/>
        </w:rPr>
        <w:t>Nature of Obligations</w:t>
      </w:r>
      <w:r>
        <w:rPr>
          <w:rFonts w:ascii="Times New Roman" w:cs="Times New Roman" w:eastAsia="Times New Roman" w:hAnsi="Times New Roman"/>
          <w:sz w:val="15"/>
          <w:szCs w:val="15"/>
          <w:color w:val="483D3B"/>
        </w:rPr>
        <w:t xml:space="preserve">. </w:t>
      </w:r>
      <w:r>
        <w:rPr>
          <w:rFonts w:ascii="Times New Roman" w:cs="Times New Roman" w:eastAsia="Times New Roman" w:hAnsi="Times New Roman"/>
          <w:sz w:val="15"/>
          <w:szCs w:val="15"/>
          <w:color w:val="000000"/>
        </w:rPr>
        <w:t>Nothing contained herein shall be deemed to create other than a</w:t>
      </w:r>
      <w:r>
        <w:rPr>
          <w:rFonts w:ascii="Times New Roman" w:cs="Times New Roman" w:eastAsia="Times New Roman" w:hAnsi="Times New Roman"/>
          <w:sz w:val="15"/>
          <w:szCs w:val="15"/>
          <w:color w:val="483D3B"/>
        </w:rPr>
        <w:t xml:space="preserve"> </w:t>
      </w:r>
      <w:r>
        <w:rPr>
          <w:rFonts w:ascii="Times New Roman" w:cs="Times New Roman" w:eastAsia="Times New Roman" w:hAnsi="Times New Roman"/>
          <w:sz w:val="15"/>
          <w:szCs w:val="15"/>
          <w:color w:val="000000"/>
        </w:rPr>
        <w:t>terminable at will employment relationship between the Bank and Executive, and the Bank may terminate Executive’s employment at any time, subject to providing any payments specified herein in accordance with the terms hereof.</w:t>
      </w:r>
    </w:p>
    <w:p>
      <w:pPr>
        <w:spacing w:after="0" w:line="149" w:lineRule="exact"/>
        <w:rPr>
          <w:rFonts w:ascii="Times New Roman" w:cs="Times New Roman" w:eastAsia="Times New Roman" w:hAnsi="Times New Roman"/>
          <w:sz w:val="30"/>
          <w:szCs w:val="30"/>
          <w:color w:val="483D3B"/>
          <w:vertAlign w:val="superscript"/>
        </w:rPr>
      </w:pPr>
    </w:p>
    <w:p>
      <w:pPr>
        <w:jc w:val="both"/>
        <w:ind w:left="2140" w:right="1339" w:hanging="490"/>
        <w:spacing w:after="0" w:line="196" w:lineRule="auto"/>
        <w:tabs>
          <w:tab w:leader="none" w:pos="2140" w:val="left"/>
        </w:tabs>
        <w:numPr>
          <w:ilvl w:val="0"/>
          <w:numId w:val="67"/>
        </w:numPr>
        <w:rPr>
          <w:rFonts w:ascii="Times New Roman" w:cs="Times New Roman" w:eastAsia="Times New Roman" w:hAnsi="Times New Roman"/>
          <w:sz w:val="30"/>
          <w:szCs w:val="30"/>
          <w:color w:val="483D3B"/>
          <w:vertAlign w:val="superscript"/>
        </w:rPr>
      </w:pPr>
      <w:r>
        <w:rPr>
          <w:rFonts w:ascii="Times New Roman" w:cs="Times New Roman" w:eastAsia="Times New Roman" w:hAnsi="Times New Roman"/>
          <w:sz w:val="15"/>
          <w:szCs w:val="15"/>
          <w:u w:val="single" w:color="auto"/>
          <w:color w:val="483D3B"/>
        </w:rPr>
        <w:t>Acknowledgment</w:t>
      </w:r>
      <w:r>
        <w:rPr>
          <w:rFonts w:ascii="Times New Roman" w:cs="Times New Roman" w:eastAsia="Times New Roman" w:hAnsi="Times New Roman"/>
          <w:sz w:val="15"/>
          <w:szCs w:val="15"/>
          <w:color w:val="483D3B"/>
        </w:rPr>
        <w:t xml:space="preserve">. Executive acknowledges that Executive has read this Agreement in full and completely understands all of its terms and obligations and enters into this Agreement freely and voluntarily, and after having the opportunity to consult with representatives of </w:t>
      </w:r>
      <w:r>
        <w:rPr>
          <w:rFonts w:ascii="Times New Roman" w:cs="Times New Roman" w:eastAsia="Times New Roman" w:hAnsi="Times New Roman"/>
          <w:sz w:val="15"/>
          <w:szCs w:val="15"/>
          <w:color w:val="5B5250"/>
        </w:rPr>
        <w:t>Executive's</w:t>
      </w:r>
      <w:r>
        <w:rPr>
          <w:rFonts w:ascii="Times New Roman" w:cs="Times New Roman" w:eastAsia="Times New Roman" w:hAnsi="Times New Roman"/>
          <w:sz w:val="15"/>
          <w:szCs w:val="15"/>
          <w:color w:val="483D3B"/>
        </w:rPr>
        <w:t xml:space="preserve"> own choosing and that Executive's agreement is freely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238" w:right="1440" w:bottom="1440" w:gutter="0" w:footer="0" w:header="0"/>
        </w:sectPr>
      </w:pPr>
    </w:p>
    <w:bookmarkStart w:id="133" w:name="page134"/>
    <w:bookmarkEnd w:id="133"/>
    <w:p>
      <w:pPr>
        <w:ind w:left="1340" w:right="1279" w:firstLine="490"/>
        <w:spacing w:after="0" w:line="267" w:lineRule="auto"/>
        <w:rPr>
          <w:sz w:val="20"/>
          <w:szCs w:val="20"/>
          <w:color w:val="auto"/>
        </w:rPr>
      </w:pPr>
      <w:r>
        <w:rPr>
          <w:rFonts w:ascii="Times New Roman" w:cs="Times New Roman" w:eastAsia="Times New Roman" w:hAnsi="Times New Roman"/>
          <w:sz w:val="15"/>
          <w:szCs w:val="15"/>
          <w:color w:val="483D3B"/>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IN WITNESS WHEREOF, the parties hereto have duly executed this Agreement as of the date first above mentioned.</w:t>
      </w:r>
    </w:p>
    <w:p>
      <w:pPr>
        <w:spacing w:after="0" w:line="135" w:lineRule="exact"/>
        <w:rPr>
          <w:sz w:val="20"/>
          <w:szCs w:val="20"/>
          <w:color w:val="auto"/>
        </w:rPr>
      </w:pPr>
    </w:p>
    <w:tbl>
      <w:tblPr>
        <w:tblLayout w:type="fixed"/>
        <w:tblInd w:w="1680" w:type="dxa"/>
        <w:tblCellMar>
          <w:top w:w="0" w:type="dxa"/>
          <w:left w:w="0" w:type="dxa"/>
          <w:bottom w:w="0" w:type="dxa"/>
          <w:right w:w="0" w:type="dxa"/>
        </w:tblCellMar>
      </w:tblPr>
      <w:tr>
        <w:trPr>
          <w:trHeight w:val="198"/>
        </w:trPr>
        <w:tc>
          <w:tcPr>
            <w:tcW w:w="23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483D3B"/>
              </w:rPr>
              <w:t>U.S. Century Bank</w:t>
            </w:r>
          </w:p>
        </w:tc>
        <w:tc>
          <w:tcPr>
            <w:tcW w:w="700" w:type="dxa"/>
            <w:vAlign w:val="bottom"/>
          </w:tcPr>
          <w:p>
            <w:pPr>
              <w:spacing w:after="0"/>
              <w:rPr>
                <w:sz w:val="17"/>
                <w:szCs w:val="17"/>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483D3B"/>
              </w:rPr>
              <w:t>Executive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380" w:type="dxa"/>
            <w:vAlign w:val="bottom"/>
            <w:gridSpan w:val="5"/>
          </w:tcPr>
          <w:p>
            <w:pPr>
              <w:spacing w:after="0"/>
              <w:rPr>
                <w:sz w:val="20"/>
                <w:szCs w:val="20"/>
                <w:color w:val="auto"/>
              </w:rPr>
            </w:pPr>
            <w:r>
              <w:rPr>
                <w:rFonts w:ascii="Times New Roman" w:cs="Times New Roman" w:eastAsia="Times New Roman" w:hAnsi="Times New Roman"/>
                <w:sz w:val="15"/>
                <w:szCs w:val="15"/>
                <w:color w:val="483D3B"/>
              </w:rPr>
              <w:t>By: /s/Jessica Goldberg</w:t>
            </w:r>
          </w:p>
        </w:tc>
        <w:tc>
          <w:tcPr>
            <w:tcW w:w="70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5"/>
                <w:szCs w:val="15"/>
                <w:color w:val="483D3B"/>
              </w:rPr>
              <w:t>/s/William Turner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shd w:val="clear" w:color="auto" w:fill="483D3B"/>
          </w:tcPr>
          <w:p>
            <w:pPr>
              <w:spacing w:after="0" w:line="20" w:lineRule="exact"/>
              <w:rPr>
                <w:sz w:val="1"/>
                <w:szCs w:val="1"/>
                <w:color w:val="auto"/>
              </w:rPr>
            </w:pPr>
          </w:p>
        </w:tc>
        <w:tc>
          <w:tcPr>
            <w:tcW w:w="160" w:type="dxa"/>
            <w:vAlign w:val="bottom"/>
            <w:shd w:val="clear" w:color="auto" w:fill="483D3B"/>
          </w:tcPr>
          <w:p>
            <w:pPr>
              <w:spacing w:after="0" w:line="20" w:lineRule="exact"/>
              <w:rPr>
                <w:sz w:val="1"/>
                <w:szCs w:val="1"/>
                <w:color w:val="auto"/>
              </w:rPr>
            </w:pPr>
          </w:p>
        </w:tc>
        <w:tc>
          <w:tcPr>
            <w:tcW w:w="1080" w:type="dxa"/>
            <w:vAlign w:val="bottom"/>
            <w:shd w:val="clear" w:color="auto" w:fill="483D3B"/>
          </w:tcPr>
          <w:p>
            <w:pPr>
              <w:spacing w:after="0" w:line="20" w:lineRule="exact"/>
              <w:rPr>
                <w:sz w:val="1"/>
                <w:szCs w:val="1"/>
                <w:color w:val="auto"/>
              </w:rPr>
            </w:pPr>
          </w:p>
        </w:tc>
        <w:tc>
          <w:tcPr>
            <w:tcW w:w="780" w:type="dxa"/>
            <w:vAlign w:val="bottom"/>
            <w:shd w:val="clear" w:color="auto" w:fill="483D3B"/>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483D3B"/>
          </w:tcPr>
          <w:p>
            <w:pPr>
              <w:spacing w:after="0" w:line="20" w:lineRule="exact"/>
              <w:rPr>
                <w:sz w:val="1"/>
                <w:szCs w:val="1"/>
                <w:color w:val="auto"/>
              </w:rPr>
            </w:pPr>
          </w:p>
        </w:tc>
        <w:tc>
          <w:tcPr>
            <w:tcW w:w="180" w:type="dxa"/>
            <w:vAlign w:val="bottom"/>
            <w:shd w:val="clear" w:color="auto" w:fill="483D3B"/>
          </w:tcPr>
          <w:p>
            <w:pPr>
              <w:spacing w:after="0" w:line="20" w:lineRule="exact"/>
              <w:rPr>
                <w:sz w:val="1"/>
                <w:szCs w:val="1"/>
                <w:color w:val="auto"/>
              </w:rPr>
            </w:pPr>
          </w:p>
        </w:tc>
        <w:tc>
          <w:tcPr>
            <w:tcW w:w="1580" w:type="dxa"/>
            <w:vAlign w:val="bottom"/>
            <w:shd w:val="clear" w:color="auto" w:fill="483D3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380" w:type="dxa"/>
            <w:vAlign w:val="bottom"/>
            <w:gridSpan w:val="5"/>
          </w:tcPr>
          <w:p>
            <w:pPr>
              <w:spacing w:after="0"/>
              <w:rPr>
                <w:sz w:val="20"/>
                <w:szCs w:val="20"/>
                <w:color w:val="auto"/>
              </w:rPr>
            </w:pPr>
            <w:r>
              <w:rPr>
                <w:rFonts w:ascii="Times New Roman" w:cs="Times New Roman" w:eastAsia="Times New Roman" w:hAnsi="Times New Roman"/>
                <w:sz w:val="15"/>
                <w:szCs w:val="15"/>
                <w:color w:val="483D3B"/>
                <w:w w:val="98"/>
              </w:rPr>
              <w:t>Title: Senior Vice President/Director of</w:t>
            </w:r>
          </w:p>
        </w:tc>
        <w:tc>
          <w:tcPr>
            <w:tcW w:w="70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5"/>
                <w:szCs w:val="15"/>
                <w:color w:val="483D3B"/>
              </w:rPr>
              <w:t>Print Name: William Turner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83D3B"/>
          </w:tcPr>
          <w:p>
            <w:pPr>
              <w:spacing w:after="0" w:line="20" w:lineRule="exact"/>
              <w:rPr>
                <w:sz w:val="1"/>
                <w:szCs w:val="1"/>
                <w:color w:val="auto"/>
              </w:rPr>
            </w:pPr>
          </w:p>
        </w:tc>
        <w:tc>
          <w:tcPr>
            <w:tcW w:w="1080" w:type="dxa"/>
            <w:vAlign w:val="bottom"/>
            <w:shd w:val="clear" w:color="auto" w:fill="483D3B"/>
          </w:tcPr>
          <w:p>
            <w:pPr>
              <w:spacing w:after="0" w:line="20" w:lineRule="exact"/>
              <w:rPr>
                <w:sz w:val="1"/>
                <w:szCs w:val="1"/>
                <w:color w:val="auto"/>
              </w:rPr>
            </w:pPr>
          </w:p>
        </w:tc>
        <w:tc>
          <w:tcPr>
            <w:tcW w:w="780" w:type="dxa"/>
            <w:vAlign w:val="bottom"/>
            <w:shd w:val="clear" w:color="auto" w:fill="483D3B"/>
          </w:tcPr>
          <w:p>
            <w:pPr>
              <w:spacing w:after="0" w:line="20" w:lineRule="exact"/>
              <w:rPr>
                <w:sz w:val="1"/>
                <w:szCs w:val="1"/>
                <w:color w:val="auto"/>
              </w:rPr>
            </w:pPr>
          </w:p>
        </w:tc>
        <w:tc>
          <w:tcPr>
            <w:tcW w:w="700" w:type="dxa"/>
            <w:vAlign w:val="bottom"/>
            <w:tcBorders>
              <w:left w:val="single" w:sz="8" w:color="483D3B"/>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483D3B"/>
          </w:tcPr>
          <w:p>
            <w:pPr>
              <w:spacing w:after="0" w:line="20" w:lineRule="exact"/>
              <w:rPr>
                <w:sz w:val="1"/>
                <w:szCs w:val="1"/>
                <w:color w:val="auto"/>
              </w:rPr>
            </w:pPr>
          </w:p>
        </w:tc>
        <w:tc>
          <w:tcPr>
            <w:tcW w:w="40" w:type="dxa"/>
            <w:vAlign w:val="bottom"/>
            <w:tcBorders>
              <w:left w:val="single" w:sz="8" w:color="483D3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spacing w:after="0" w:line="151" w:lineRule="exact"/>
              <w:rPr>
                <w:sz w:val="20"/>
                <w:szCs w:val="20"/>
                <w:color w:val="auto"/>
              </w:rPr>
            </w:pPr>
            <w:r>
              <w:rPr>
                <w:rFonts w:ascii="Times New Roman" w:cs="Times New Roman" w:eastAsia="Times New Roman" w:hAnsi="Times New Roman"/>
                <w:sz w:val="15"/>
                <w:szCs w:val="15"/>
                <w:color w:val="483D3B"/>
              </w:rPr>
              <w:t>Human Resources</w:t>
            </w:r>
          </w:p>
        </w:tc>
        <w:tc>
          <w:tcPr>
            <w:tcW w:w="700" w:type="dxa"/>
            <w:vAlign w:val="bottom"/>
          </w:tcPr>
          <w:p>
            <w:pPr>
              <w:spacing w:after="0"/>
              <w:rPr>
                <w:sz w:val="13"/>
                <w:szCs w:val="13"/>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483D3B"/>
              </w:rPr>
              <w:t>Address: [Redacted]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483D3B"/>
            </w:tcBorders>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Borders>
              <w:bottom w:val="single" w:sz="8" w:color="483D3B"/>
            </w:tcBorders>
          </w:tcPr>
          <w:p>
            <w:pPr>
              <w:spacing w:after="0"/>
              <w:rPr>
                <w:sz w:val="24"/>
                <w:szCs w:val="24"/>
                <w:color w:val="auto"/>
              </w:rPr>
            </w:pPr>
          </w:p>
        </w:tc>
        <w:tc>
          <w:tcPr>
            <w:tcW w:w="180" w:type="dxa"/>
            <w:vAlign w:val="bottom"/>
            <w:tcBorders>
              <w:top w:val="single" w:sz="8" w:color="483D3B"/>
              <w:bottom w:val="single" w:sz="8" w:color="483D3B"/>
            </w:tcBorders>
          </w:tcPr>
          <w:p>
            <w:pPr>
              <w:spacing w:after="0"/>
              <w:rPr>
                <w:sz w:val="24"/>
                <w:szCs w:val="24"/>
                <w:color w:val="auto"/>
              </w:rPr>
            </w:pPr>
          </w:p>
        </w:tc>
        <w:tc>
          <w:tcPr>
            <w:tcW w:w="1580" w:type="dxa"/>
            <w:vAlign w:val="bottom"/>
            <w:tcBorders>
              <w:top w:val="single" w:sz="8" w:color="483D3B"/>
              <w:bottom w:val="single" w:sz="8" w:color="483D3B"/>
            </w:tcBorders>
          </w:tcPr>
          <w:p>
            <w:pPr>
              <w:spacing w:after="0"/>
              <w:rPr>
                <w:sz w:val="24"/>
                <w:szCs w:val="24"/>
                <w:color w:val="auto"/>
              </w:rPr>
            </w:pPr>
          </w:p>
        </w:tc>
        <w:tc>
          <w:tcPr>
            <w:tcW w:w="40" w:type="dxa"/>
            <w:vAlign w:val="bottom"/>
            <w:tcBorders>
              <w:bottom w:val="single" w:sz="8" w:color="483D3B"/>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238" w:right="1440" w:bottom="1440" w:gutter="0" w:footer="0" w:header="0"/>
        </w:sectPr>
      </w:pPr>
    </w:p>
    <w:bookmarkStart w:id="134" w:name="page135"/>
    <w:bookmarkEnd w:id="134"/>
    <w:p>
      <w:pPr>
        <w:ind w:left="70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10.10</w:t>
      </w:r>
    </w:p>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CHANGE IN CONTROL AGREEMENT</w:t>
      </w:r>
    </w:p>
    <w:p>
      <w:pPr>
        <w:spacing w:after="0" w:line="151" w:lineRule="exact"/>
        <w:rPr>
          <w:sz w:val="20"/>
          <w:szCs w:val="20"/>
          <w:color w:val="auto"/>
        </w:rPr>
      </w:pPr>
    </w:p>
    <w:p>
      <w:pPr>
        <w:jc w:val="both"/>
        <w:ind w:left="1140" w:right="1279" w:firstLine="487"/>
        <w:spacing w:after="0" w:line="211" w:lineRule="auto"/>
        <w:rPr>
          <w:sz w:val="20"/>
          <w:szCs w:val="20"/>
          <w:color w:val="auto"/>
        </w:rPr>
      </w:pPr>
      <w:r>
        <w:rPr>
          <w:rFonts w:ascii="Times New Roman" w:cs="Times New Roman" w:eastAsia="Times New Roman" w:hAnsi="Times New Roman"/>
          <w:sz w:val="15"/>
          <w:szCs w:val="15"/>
          <w:color w:val="auto"/>
        </w:rPr>
        <w:t>THIS CHANGE IN CONTROL AGREEMENT (the “Agreement”) is madeas ofthe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5"/>
          <w:szCs w:val="15"/>
          <w:color w:val="auto"/>
        </w:rPr>
        <w:t xml:space="preserve"> day of January 2026 by and between U.S. Century Bank, with Corporate Offices located at 2301 NW 87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Ave., Doral, FL 33172 (hereinafter called the “Bank”) and Mr. Andres Collazo (“Executive”).</w:t>
      </w:r>
    </w:p>
    <w:p>
      <w:pPr>
        <w:spacing w:after="0" w:line="145" w:lineRule="exact"/>
        <w:rPr>
          <w:sz w:val="20"/>
          <w:szCs w:val="20"/>
          <w:color w:val="auto"/>
        </w:rPr>
      </w:pPr>
    </w:p>
    <w:p>
      <w:pPr>
        <w:jc w:val="both"/>
        <w:ind w:left="1140" w:right="1279" w:firstLine="487"/>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as consideration for Executive's continued employment with the Bank as Executive Vice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President/Director of Operations and Information Technology, the parties hereto, intending to be legally bound, agree as follows:</w:t>
      </w:r>
    </w:p>
    <w:p>
      <w:pPr>
        <w:spacing w:after="0" w:line="116" w:lineRule="exact"/>
        <w:rPr>
          <w:sz w:val="20"/>
          <w:szCs w:val="20"/>
          <w:color w:val="auto"/>
        </w:rPr>
      </w:pPr>
    </w:p>
    <w:p>
      <w:pPr>
        <w:jc w:val="both"/>
        <w:ind w:left="2100" w:right="1279" w:hanging="535"/>
        <w:spacing w:after="0" w:line="200" w:lineRule="auto"/>
        <w:tabs>
          <w:tab w:leader="none" w:pos="210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Payment Upon Change in Control.</w:t>
      </w:r>
      <w:r>
        <w:rPr>
          <w:rFonts w:ascii="Times New Roman" w:cs="Times New Roman" w:eastAsia="Times New Roman" w:hAnsi="Times New Roman"/>
          <w:sz w:val="15"/>
          <w:szCs w:val="15"/>
          <w:color w:val="auto"/>
        </w:rPr>
        <w:t xml:space="preserve"> In the event of a Change in Control (as defined herein) during the term of this Agreement, the Bank agrees to pay Executive a cash payment equal to one times the Base Annual Salary of Executive received during the one (1) year period prior to the Change in Control, to be paid within thirty (30) days of the consummation of the Change in Control. The Bank's provision of this benefit to Executive is made without regard to whether, or for how long, Executive remains employed with the surviving company subsequent to the Change in Control.</w:t>
      </w:r>
    </w:p>
    <w:p>
      <w:pPr>
        <w:spacing w:after="0" w:line="130" w:lineRule="exact"/>
        <w:rPr>
          <w:rFonts w:ascii="Times New Roman" w:cs="Times New Roman" w:eastAsia="Times New Roman" w:hAnsi="Times New Roman"/>
          <w:sz w:val="30"/>
          <w:szCs w:val="30"/>
          <w:color w:val="auto"/>
          <w:vertAlign w:val="superscript"/>
        </w:rPr>
      </w:pPr>
    </w:p>
    <w:p>
      <w:pPr>
        <w:ind w:left="2100" w:right="1279" w:hanging="535"/>
        <w:spacing w:after="0" w:line="180" w:lineRule="auto"/>
        <w:tabs>
          <w:tab w:leader="none" w:pos="2100" w:val="left"/>
        </w:tabs>
        <w:numPr>
          <w:ilvl w:val="0"/>
          <w:numId w:val="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xml:space="preserve"> “Change in Control” shall mean the occurrence of an event described in (i), (ii), (iii), or (iv) below:</w:t>
      </w:r>
    </w:p>
    <w:p>
      <w:pPr>
        <w:spacing w:after="0" w:line="137" w:lineRule="exact"/>
        <w:rPr>
          <w:rFonts w:ascii="Times New Roman" w:cs="Times New Roman" w:eastAsia="Times New Roman" w:hAnsi="Times New Roman"/>
          <w:sz w:val="27"/>
          <w:szCs w:val="27"/>
          <w:color w:val="auto"/>
          <w:vertAlign w:val="superscript"/>
        </w:rPr>
      </w:pPr>
    </w:p>
    <w:p>
      <w:pPr>
        <w:jc w:val="both"/>
        <w:ind w:left="2400" w:right="1279" w:hanging="259"/>
        <w:spacing w:after="0" w:line="221" w:lineRule="auto"/>
        <w:tabs>
          <w:tab w:leader="none" w:pos="2400" w:val="left"/>
        </w:tabs>
        <w:numPr>
          <w:ilvl w:val="1"/>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Any person or group (within the meaning of Sections 13(d) and 14(d) of the Securities Exchange Act of 1934, as amended (the “Exchange Act”), other than USCB Financial Holdings, Inc. (the “Company”), an affiliate of the Company or a trustee or other fiduciary holding securities under an employee benefit plan of the Company or the Bank or a corporation owned directly or indirectly by the stockholders of the Company in substantially the same proportions as their ownership of stock of the Company, becomes the beneficial owner (within the meaning of Rule 13(d)(3) under the Exchange Act, directly or indirectly (which shall include securities issuable upon conversion, exchange or otherwise) or securities representing 50% or more of the combined voting power of the Company’s or the Bank’s then-outstanding securities entitled generally to vote for the election of directors.</w:t>
      </w:r>
    </w:p>
    <w:p>
      <w:pPr>
        <w:spacing w:after="0" w:line="153"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1" w:lineRule="auto"/>
        <w:tabs>
          <w:tab w:leader="none" w:pos="2400" w:val="left"/>
        </w:tabs>
        <w:numPr>
          <w:ilvl w:val="1"/>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Consummation of an agreement to merge or consolidate with another entity (other than a majority-controlled subsidiary of the Company) unless the Company's stockholders immediately before the merger or consolidation own more than 50% of the combined voting power of the resulting entity's voting securities (giving effect to the conversion or exchange of securities issued in the merger or consolidation to the other entity that are convertible or exchangeable for voting securities) entitled generally to vote for the election of directors.</w:t>
      </w:r>
    </w:p>
    <w:p>
      <w:pPr>
        <w:spacing w:after="0" w:line="152" w:lineRule="exact"/>
        <w:rPr>
          <w:rFonts w:ascii="Times New Roman" w:cs="Times New Roman" w:eastAsia="Times New Roman" w:hAnsi="Times New Roman"/>
          <w:sz w:val="30"/>
          <w:szCs w:val="30"/>
          <w:color w:val="auto"/>
          <w:vertAlign w:val="superscript"/>
        </w:rPr>
      </w:pPr>
    </w:p>
    <w:p>
      <w:pPr>
        <w:jc w:val="both"/>
        <w:ind w:left="2400" w:right="1279" w:hanging="259"/>
        <w:spacing w:after="0"/>
        <w:tabs>
          <w:tab w:leader="none" w:pos="2400" w:val="left"/>
        </w:tabs>
        <w:numPr>
          <w:ilvl w:val="1"/>
          <w:numId w:val="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Consummation of an agreement (including, without limitation, an agreement of liquidation) to sell or otherwise dispose of all or substantially all of the business or assets of the Company or the Bank; or</w:t>
      </w:r>
    </w:p>
    <w:p>
      <w:pPr>
        <w:spacing w:after="0" w:line="256" w:lineRule="exact"/>
        <w:rPr>
          <w:rFonts w:ascii="Times New Roman" w:cs="Times New Roman" w:eastAsia="Times New Roman" w:hAnsi="Times New Roman"/>
          <w:sz w:val="25"/>
          <w:szCs w:val="25"/>
          <w:color w:val="auto"/>
          <w:vertAlign w:val="superscript"/>
        </w:rPr>
      </w:pPr>
    </w:p>
    <w:p>
      <w:pPr>
        <w:jc w:val="both"/>
        <w:ind w:left="2400" w:right="1279" w:hanging="259"/>
        <w:spacing w:after="0" w:line="231" w:lineRule="auto"/>
        <w:tabs>
          <w:tab w:leader="none" w:pos="2400" w:val="left"/>
        </w:tabs>
        <w:numPr>
          <w:ilvl w:val="1"/>
          <w:numId w:val="6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Individuals who, as of the date hereof, constitute the Board of Directors of the Company (the “Incumbent Board”) cease for any reason during any 12 month period to constitute at least a majority of the Board, provided that any person becoming a director subsequent to the date hereof whose election or nomination for election by the stockholders of the Company is approved by a vote of at least a majority of directors then constituting the Incumbent Board shall be, for purposes of this Agreement, considered as though such person were a member of the Incumbent Board.</w:t>
      </w:r>
    </w:p>
    <w:p>
      <w:pPr>
        <w:spacing w:after="0" w:line="148" w:lineRule="exact"/>
        <w:rPr>
          <w:sz w:val="20"/>
          <w:szCs w:val="20"/>
          <w:color w:val="auto"/>
        </w:rPr>
      </w:pPr>
    </w:p>
    <w:p>
      <w:pPr>
        <w:jc w:val="both"/>
        <w:ind w:left="2180" w:right="1259"/>
        <w:spacing w:after="0" w:line="252" w:lineRule="auto"/>
        <w:rPr>
          <w:sz w:val="20"/>
          <w:szCs w:val="20"/>
          <w:color w:val="auto"/>
        </w:rPr>
      </w:pPr>
      <w:r>
        <w:rPr>
          <w:rFonts w:ascii="Times New Roman" w:cs="Times New Roman" w:eastAsia="Times New Roman" w:hAnsi="Times New Roman"/>
          <w:sz w:val="15"/>
          <w:szCs w:val="15"/>
          <w:color w:val="auto"/>
        </w:rPr>
        <w:t>Notwithstanding the foregoing, no event shall constitute a Change in Control unless such event shall also constitute a change in control as defined in Section 409A of the Internal Revenue Code of 1986, as amended.</w:t>
      </w:r>
    </w:p>
    <w:p>
      <w:pPr>
        <w:sectPr>
          <w:pgSz w:w="11900" w:h="16838" w:orient="portrait"/>
          <w:cols w:equalWidth="0" w:num="1">
            <w:col w:w="9019"/>
          </w:cols>
          <w:pgMar w:left="1440" w:top="1234" w:right="1440" w:bottom="1440" w:gutter="0" w:footer="0" w:header="0"/>
        </w:sectPr>
      </w:pPr>
    </w:p>
    <w:bookmarkStart w:id="135" w:name="page136"/>
    <w:bookmarkEnd w:id="135"/>
    <w:p>
      <w:pPr>
        <w:jc w:val="both"/>
        <w:ind w:left="2140" w:right="1279" w:hanging="490"/>
        <w:spacing w:after="0" w:line="203" w:lineRule="auto"/>
        <w:tabs>
          <w:tab w:leader="none" w:pos="21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Severability.</w:t>
      </w:r>
      <w:r>
        <w:rPr>
          <w:rFonts w:ascii="Times New Roman" w:cs="Times New Roman" w:eastAsia="Times New Roman" w:hAnsi="Times New Roman"/>
          <w:sz w:val="15"/>
          <w:szCs w:val="15"/>
          <w:color w:val="auto"/>
        </w:rPr>
        <w:t xml:space="preserve"> Should any provision of this Agreement be declared or determined by any court of competent jurisdiction to be unenforceable or invalid for any reason, the validity of the remaining parts, term or provisions of this Agreement shall not be affected thereby and the invalid or unenforceable part, term or provision shall be deemed not to be a part of this Agreement.</w:t>
      </w:r>
    </w:p>
    <w:p>
      <w:pPr>
        <w:spacing w:after="0" w:line="148" w:lineRule="exact"/>
        <w:rPr>
          <w:rFonts w:ascii="Times New Roman" w:cs="Times New Roman" w:eastAsia="Times New Roman" w:hAnsi="Times New Roman"/>
          <w:sz w:val="30"/>
          <w:szCs w:val="30"/>
          <w:color w:val="auto"/>
          <w:vertAlign w:val="superscript"/>
        </w:rPr>
      </w:pPr>
    </w:p>
    <w:p>
      <w:pPr>
        <w:ind w:left="2140" w:right="1279" w:hanging="490"/>
        <w:spacing w:after="0" w:line="209" w:lineRule="auto"/>
        <w:tabs>
          <w:tab w:leader="none" w:pos="21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Applicable Law/Forum</w:t>
      </w:r>
      <w:r>
        <w:rPr>
          <w:rFonts w:ascii="Times New Roman" w:cs="Times New Roman" w:eastAsia="Times New Roman" w:hAnsi="Times New Roman"/>
          <w:sz w:val="15"/>
          <w:szCs w:val="15"/>
          <w:color w:val="auto"/>
        </w:rPr>
        <w:t>. This Agreement has been entered into and shall be governed by and construed under the internal laws of the State of Florida, without regard to conflicts of laws or principles. All suits, proceedings and other actions relating to, arising out of or in connection with this Agreement will be submitted solely to the in personam jurisdiction of the United States District Court for the Southern District of Florida (“Federal Court”) or to the Circuit Court in Broward County or MiamiDade­ County. Executive hereby waives any claims against or objections to such in personam jurisdiction and venue.</w:t>
      </w:r>
    </w:p>
    <w:p>
      <w:pPr>
        <w:spacing w:after="0" w:line="153" w:lineRule="exact"/>
        <w:rPr>
          <w:rFonts w:ascii="Times New Roman" w:cs="Times New Roman" w:eastAsia="Times New Roman" w:hAnsi="Times New Roman"/>
          <w:sz w:val="30"/>
          <w:szCs w:val="30"/>
          <w:color w:val="auto"/>
          <w:vertAlign w:val="superscript"/>
        </w:rPr>
      </w:pPr>
    </w:p>
    <w:p>
      <w:pPr>
        <w:jc w:val="both"/>
        <w:ind w:left="2140" w:right="1279" w:hanging="490"/>
        <w:spacing w:after="0" w:line="213" w:lineRule="auto"/>
        <w:tabs>
          <w:tab w:leader="none" w:pos="21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xml:space="preserve"> All notices and other communications hereunder shall be in writing and shall be deemed to have been given only if and when personally delivered or three (3) business days after mailing, postage prepaid, registered or certified mail, or when delivered (and receipted for) by an express delivery service, addressed in each case as follows. As to notices provided to the Bank, notices shall be sent to the Human Resources Department at the address of the Bank listed in the introductory paragraph of this Agreement. As to notices to Executive, notices shall be sent to the address provided below in the signature block hereto. Executive and the Bank may change the address for the giving of notices.</w:t>
      </w:r>
    </w:p>
    <w:p>
      <w:pPr>
        <w:spacing w:after="0" w:line="147" w:lineRule="exact"/>
        <w:rPr>
          <w:rFonts w:ascii="Times New Roman" w:cs="Times New Roman" w:eastAsia="Times New Roman" w:hAnsi="Times New Roman"/>
          <w:sz w:val="30"/>
          <w:szCs w:val="30"/>
          <w:color w:val="auto"/>
          <w:vertAlign w:val="superscript"/>
        </w:rPr>
      </w:pPr>
    </w:p>
    <w:p>
      <w:pPr>
        <w:jc w:val="both"/>
        <w:ind w:left="2140" w:right="1279" w:hanging="490"/>
        <w:spacing w:after="0" w:line="214" w:lineRule="auto"/>
        <w:tabs>
          <w:tab w:leader="none" w:pos="21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Complete Agreement.</w:t>
      </w:r>
      <w:r>
        <w:rPr>
          <w:rFonts w:ascii="Times New Roman" w:cs="Times New Roman" w:eastAsia="Times New Roman" w:hAnsi="Times New Roman"/>
          <w:sz w:val="15"/>
          <w:szCs w:val="15"/>
          <w:color w:val="auto"/>
        </w:rPr>
        <w:t xml:space="preserve"> This Agreement represents the complete agreement between Executive and the Bank regarding the subject matter of this Agreement. All prior agreements between the Bank and Executive with respect to the specific matters agreed to herein are hereby superseded and shall have no force or effect. This Agreement is in no way dependent upon the performance of any other contract or agreement that may have been or may be entered into between Executive and the Bank and remains in effect during the pendency of this Agreement. As such, the breach or alleged breach of any other contract or agreement is no defense to enforcement of this Agreement.</w:t>
      </w:r>
    </w:p>
    <w:p>
      <w:pPr>
        <w:spacing w:after="0" w:line="152" w:lineRule="exact"/>
        <w:rPr>
          <w:rFonts w:ascii="Times New Roman" w:cs="Times New Roman" w:eastAsia="Times New Roman" w:hAnsi="Times New Roman"/>
          <w:sz w:val="30"/>
          <w:szCs w:val="30"/>
          <w:color w:val="auto"/>
          <w:vertAlign w:val="superscript"/>
        </w:rPr>
      </w:pPr>
    </w:p>
    <w:p>
      <w:pPr>
        <w:jc w:val="both"/>
        <w:ind w:left="2140" w:right="1339" w:hanging="490"/>
        <w:spacing w:after="0" w:line="225" w:lineRule="auto"/>
        <w:tabs>
          <w:tab w:leader="none" w:pos="2140" w:val="left"/>
        </w:tabs>
        <w:numPr>
          <w:ilvl w:val="0"/>
          <w:numId w:val="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u w:val="single" w:color="auto"/>
          <w:color w:val="auto"/>
        </w:rPr>
        <w:t>Amendments in Writing</w:t>
      </w:r>
      <w:r>
        <w:rPr>
          <w:rFonts w:ascii="Times New Roman" w:cs="Times New Roman" w:eastAsia="Times New Roman" w:hAnsi="Times New Roman"/>
          <w:sz w:val="14"/>
          <w:szCs w:val="14"/>
          <w:color w:val="auto"/>
        </w:rPr>
        <w:t>. No amendment, modification, waiver, or other change to this Agreement shall in any event be effective unless the same shall be in writing, specifically identifying this Agreement and the provision intended to be changed and signed by the Bank and Executive, and each such change shall be effective only in the specific instance and for the specific purpose for which it is given. No provision of this Agreement shall be varied, contradicted or explained by any oral agreement, course of dealing or performance or any other matter not set forth in an agreement in writing and signed by Executive and the Bank.</w:t>
      </w:r>
    </w:p>
    <w:p>
      <w:pPr>
        <w:spacing w:after="0" w:line="147" w:lineRule="exact"/>
        <w:rPr>
          <w:rFonts w:ascii="Times New Roman" w:cs="Times New Roman" w:eastAsia="Times New Roman" w:hAnsi="Times New Roman"/>
          <w:sz w:val="28"/>
          <w:szCs w:val="28"/>
          <w:color w:val="auto"/>
          <w:vertAlign w:val="superscript"/>
        </w:rPr>
      </w:pPr>
    </w:p>
    <w:p>
      <w:pPr>
        <w:jc w:val="both"/>
        <w:ind w:left="2140" w:right="1339" w:hanging="490"/>
        <w:spacing w:after="0" w:line="239" w:lineRule="auto"/>
        <w:tabs>
          <w:tab w:leader="none" w:pos="2140" w:val="left"/>
        </w:tabs>
        <w:numPr>
          <w:ilvl w:val="0"/>
          <w:numId w:val="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u w:val="single" w:color="auto"/>
          <w:color w:val="auto"/>
        </w:rPr>
        <w:t>Term of the Agreement</w:t>
      </w:r>
      <w:r>
        <w:rPr>
          <w:rFonts w:ascii="Times New Roman" w:cs="Times New Roman" w:eastAsia="Times New Roman" w:hAnsi="Times New Roman"/>
          <w:sz w:val="14"/>
          <w:szCs w:val="14"/>
          <w:color w:val="auto"/>
        </w:rPr>
        <w:t>. Subject to the terms hereof, the term of this Agreement shall commence on the date hereof and terminate on December 31, 2028 (the “Initial Term”). Prior to December 31, 2026 (the “Extension Anniversary Date”) and each annual anniversary thereafter of the Extension Anniversary Date, the Board of Directors of the Bank or the Compensation Committee thereof shall consider and review (with appropriate corporate documentation thereof, and after taking into account all relevant factors, including Executive’s performance hereunder) a one-year extension of the term of this Agreement. If the Board of Directors or the Compensation Committee thereof approve such an extension, then the term of this Agreement shall be so extended as of the Extension Anniversary Date or any relevant annual anniversary of such date unless Executive gives written notice to the Bank of Executive’s election not to extend the term, with such written notice to be given not less than thirty (30) days prior to the Extension Anniversary Date or any relevant annual anniversary of such date. If the Board of Directors elects not to extend the term, it shall give written notice of such decision to Executive not less than thirty (30) days prior to the Extension Anniversary Date or any annual anniversary of such date. If any party gives timely</w:t>
      </w:r>
    </w:p>
    <w:p>
      <w:pPr>
        <w:spacing w:after="0" w:line="200" w:lineRule="exact"/>
        <w:rPr>
          <w:sz w:val="20"/>
          <w:szCs w:val="20"/>
          <w:color w:val="auto"/>
        </w:rPr>
      </w:pP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409" w:right="1440" w:bottom="1440" w:gutter="0" w:footer="0" w:header="0"/>
        </w:sectPr>
      </w:pPr>
    </w:p>
    <w:bookmarkStart w:id="136" w:name="page137"/>
    <w:bookmarkEnd w:id="136"/>
    <w:p>
      <w:pPr>
        <w:jc w:val="both"/>
        <w:ind w:left="2140" w:right="1339"/>
        <w:spacing w:after="0" w:line="24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notice that the term will not be extended as of the Extension Anniversary Date or any annual anniversary of such date, then this Agreement and the rights and obligations provided herein shall terminate at the conclusion of its remaining term. References herein to the term of this Agreement shall refer both to the Initial Term and successive terms as the term of this Agreement is extended in accordance with the terms hereof.</w:t>
      </w:r>
    </w:p>
    <w:p>
      <w:pPr>
        <w:spacing w:after="0" w:line="133" w:lineRule="exact"/>
        <w:rPr>
          <w:sz w:val="20"/>
          <w:szCs w:val="20"/>
          <w:color w:val="auto"/>
        </w:rPr>
      </w:pPr>
    </w:p>
    <w:p>
      <w:pPr>
        <w:jc w:val="both"/>
        <w:ind w:left="2140" w:right="1339" w:hanging="490"/>
        <w:spacing w:after="0" w:line="187" w:lineRule="auto"/>
        <w:tabs>
          <w:tab w:leader="none" w:pos="21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Regulatory Actions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following provisions shall be applicable to the parties hereto or any successor thereto, and shall be controlling in the event of a conflict with any other provision of this Agreement, including without limitation Section 1 hereof:</w:t>
      </w:r>
    </w:p>
    <w:p>
      <w:pPr>
        <w:spacing w:after="0" w:line="149"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6" w:lineRule="auto"/>
        <w:tabs>
          <w:tab w:leader="none" w:pos="2400" w:val="left"/>
        </w:tabs>
        <w:numPr>
          <w:ilvl w:val="1"/>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suspended from office and/or temporarily prohibited from participating in the conduct of the Bank’s affairs pursuant to notice served under Section 8(e)(3) or Section 8(g)(1) of the Federal Deposit Insurance Act (“FDIA”)(12 U.S.C. §§1818(e)(3) and 1818(g)(1)), the Bank’s obligations under this Agreement shall be suspended as of the date of service, unless stayed by appropriate proceedings. If the charges in the notice are dismissed, the Bank will: (i) pay Executive all or part of the compensation withheld while its obligations under this Agreement were suspended, and (ii) reinstate (in whole or in part) any of its obligations which were suspended.</w:t>
      </w:r>
    </w:p>
    <w:p>
      <w:pPr>
        <w:spacing w:after="0" w:line="149" w:lineRule="exact"/>
        <w:rPr>
          <w:rFonts w:ascii="Times New Roman" w:cs="Times New Roman" w:eastAsia="Times New Roman" w:hAnsi="Times New Roman"/>
          <w:sz w:val="30"/>
          <w:szCs w:val="30"/>
          <w:color w:val="auto"/>
          <w:vertAlign w:val="superscript"/>
        </w:rPr>
      </w:pPr>
    </w:p>
    <w:p>
      <w:pPr>
        <w:jc w:val="both"/>
        <w:ind w:left="2400" w:right="1279" w:hanging="259"/>
        <w:spacing w:after="0" w:line="205" w:lineRule="auto"/>
        <w:tabs>
          <w:tab w:leader="none" w:pos="2400" w:val="left"/>
        </w:tabs>
        <w:numPr>
          <w:ilvl w:val="1"/>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removed from office and/or permanently prohibited from participating in the conduct of the Bank’s affairs by an order issued under Section 8(e)(4) or Section 8(g)(1) of the FDIA (12 U.S.C. §§1818(e)(4) and (g)(1)), all obligations of the Bank under this Agreement shall terminate as of the effective date of the order, but vested rights of Executive and the Bank as of the date of termination shall not be affected.</w:t>
      </w:r>
    </w:p>
    <w:p>
      <w:pPr>
        <w:spacing w:after="0" w:line="150"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9" w:lineRule="auto"/>
        <w:tabs>
          <w:tab w:leader="none" w:pos="2400" w:val="left"/>
        </w:tabs>
        <w:numPr>
          <w:ilvl w:val="1"/>
          <w:numId w:val="7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If the Bank is in default, as defined in Section 3(x)(1) of the FDIA (12 U.S.C. §1813(x)(1)), all obligations under this Agreement shall terminate as of the date of default, but vested rights of Executive and the Bank as of the date of termination shall not be affected.</w:t>
      </w:r>
    </w:p>
    <w:p>
      <w:pPr>
        <w:spacing w:after="0" w:line="147" w:lineRule="exact"/>
        <w:rPr>
          <w:rFonts w:ascii="Times New Roman" w:cs="Times New Roman" w:eastAsia="Times New Roman" w:hAnsi="Times New Roman"/>
          <w:sz w:val="25"/>
          <w:szCs w:val="25"/>
          <w:color w:val="auto"/>
          <w:vertAlign w:val="superscript"/>
        </w:rPr>
      </w:pPr>
    </w:p>
    <w:p>
      <w:pPr>
        <w:jc w:val="both"/>
        <w:ind w:left="2400" w:right="1279" w:hanging="259"/>
        <w:spacing w:after="0" w:line="289" w:lineRule="auto"/>
        <w:tabs>
          <w:tab w:leader="none" w:pos="2400" w:val="left"/>
        </w:tabs>
        <w:numPr>
          <w:ilvl w:val="1"/>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Notwithstanding any other provision of this Agreement to the contrary, any payments made to Executive pursuant to this Agreement, or otherwise, are subject to and conditioned upon their compliance with Section 18(k) of the FDIA (12 U.S.C. §1828(k)) and 12 C.F.R. Part 359.</w:t>
      </w:r>
    </w:p>
    <w:p>
      <w:pPr>
        <w:spacing w:after="0" w:line="116" w:lineRule="exact"/>
        <w:rPr>
          <w:rFonts w:ascii="Times New Roman" w:cs="Times New Roman" w:eastAsia="Times New Roman" w:hAnsi="Times New Roman"/>
          <w:sz w:val="26"/>
          <w:szCs w:val="26"/>
          <w:color w:val="auto"/>
          <w:vertAlign w:val="superscript"/>
        </w:rPr>
      </w:pPr>
    </w:p>
    <w:p>
      <w:pPr>
        <w:jc w:val="both"/>
        <w:ind w:left="2140" w:right="1359" w:hanging="490"/>
        <w:spacing w:after="0" w:line="193" w:lineRule="auto"/>
        <w:tabs>
          <w:tab w:leader="none" w:pos="21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Nature of Obligations.</w:t>
      </w:r>
      <w:r>
        <w:rPr>
          <w:rFonts w:ascii="Times New Roman" w:cs="Times New Roman" w:eastAsia="Times New Roman" w:hAnsi="Times New Roman"/>
          <w:sz w:val="15"/>
          <w:szCs w:val="15"/>
          <w:color w:val="auto"/>
        </w:rPr>
        <w:t xml:space="preserve"> Nothing contained herein shall be deemed to create other than a terminable at will employment relationship between the Bank and Executive, and the Bank may terminate Executive’s employment at any time, subject to providing any payments specified herein in accordance with the terms hereof.</w:t>
      </w:r>
    </w:p>
    <w:p>
      <w:pPr>
        <w:spacing w:after="0" w:line="149" w:lineRule="exact"/>
        <w:rPr>
          <w:rFonts w:ascii="Times New Roman" w:cs="Times New Roman" w:eastAsia="Times New Roman" w:hAnsi="Times New Roman"/>
          <w:sz w:val="30"/>
          <w:szCs w:val="30"/>
          <w:color w:val="auto"/>
          <w:vertAlign w:val="superscript"/>
        </w:rPr>
      </w:pPr>
    </w:p>
    <w:p>
      <w:pPr>
        <w:jc w:val="both"/>
        <w:ind w:left="2140" w:right="1339" w:hanging="490"/>
        <w:spacing w:after="0" w:line="196" w:lineRule="auto"/>
        <w:tabs>
          <w:tab w:leader="none" w:pos="21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Acknowledgment</w:t>
      </w:r>
      <w:r>
        <w:rPr>
          <w:rFonts w:ascii="Times New Roman" w:cs="Times New Roman" w:eastAsia="Times New Roman" w:hAnsi="Times New Roman"/>
          <w:sz w:val="15"/>
          <w:szCs w:val="15"/>
          <w:color w:val="auto"/>
        </w:rPr>
        <w:t>. Executive acknowledges that Executive has read this Agreement in full and completely understands all of its terms and obligations and enters into this Agreement freely and voluntarily, and after having the opportunity to consult with representatives of Executive's own choosing and that Executive's agreement is freely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238" w:right="1440" w:bottom="1440" w:gutter="0" w:footer="0" w:header="0"/>
        </w:sectPr>
      </w:pPr>
    </w:p>
    <w:bookmarkStart w:id="137" w:name="page138"/>
    <w:bookmarkEnd w:id="137"/>
    <w:p>
      <w:pPr>
        <w:ind w:left="1340" w:right="1279" w:firstLine="49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IN WITNESS WHEREOF, the parties hereto have duly executed this Agreement as of the date first above mentioned.</w:t>
      </w:r>
    </w:p>
    <w:p>
      <w:pPr>
        <w:spacing w:after="0" w:line="135" w:lineRule="exact"/>
        <w:rPr>
          <w:sz w:val="20"/>
          <w:szCs w:val="20"/>
          <w:color w:val="auto"/>
        </w:rPr>
      </w:pPr>
    </w:p>
    <w:tbl>
      <w:tblPr>
        <w:tblLayout w:type="fixed"/>
        <w:tblInd w:w="1680" w:type="dxa"/>
        <w:tblCellMar>
          <w:top w:w="0" w:type="dxa"/>
          <w:left w:w="0" w:type="dxa"/>
          <w:bottom w:w="0" w:type="dxa"/>
          <w:right w:w="0" w:type="dxa"/>
        </w:tblCellMar>
      </w:tblPr>
      <w:tr>
        <w:trPr>
          <w:trHeight w:val="198"/>
        </w:trPr>
        <w:tc>
          <w:tcPr>
            <w:tcW w:w="30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U.S. Century Bank</w:t>
            </w:r>
          </w:p>
        </w:tc>
        <w:tc>
          <w:tcPr>
            <w:tcW w:w="2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308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color w:val="483D3B"/>
              </w:rPr>
              <w:t>/s/Jessica Goldberg</w:t>
            </w:r>
          </w:p>
        </w:tc>
        <w:tc>
          <w:tcPr>
            <w:tcW w:w="23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/s/Andres Collazo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483D3B"/>
          </w:tcPr>
          <w:p>
            <w:pPr>
              <w:spacing w:after="0" w:line="20" w:lineRule="exact"/>
              <w:rPr>
                <w:sz w:val="1"/>
                <w:szCs w:val="1"/>
                <w:color w:val="auto"/>
              </w:rPr>
            </w:pPr>
          </w:p>
        </w:tc>
        <w:tc>
          <w:tcPr>
            <w:tcW w:w="120" w:type="dxa"/>
            <w:vAlign w:val="bottom"/>
            <w:shd w:val="clear" w:color="auto" w:fill="483D3B"/>
          </w:tcPr>
          <w:p>
            <w:pPr>
              <w:spacing w:after="0" w:line="20" w:lineRule="exact"/>
              <w:rPr>
                <w:sz w:val="1"/>
                <w:szCs w:val="1"/>
                <w:color w:val="auto"/>
              </w:rPr>
            </w:pPr>
          </w:p>
        </w:tc>
        <w:tc>
          <w:tcPr>
            <w:tcW w:w="1080" w:type="dxa"/>
            <w:vAlign w:val="bottom"/>
            <w:shd w:val="clear" w:color="auto" w:fill="483D3B"/>
          </w:tcPr>
          <w:p>
            <w:pPr>
              <w:spacing w:after="0" w:line="20" w:lineRule="exact"/>
              <w:rPr>
                <w:sz w:val="1"/>
                <w:szCs w:val="1"/>
                <w:color w:val="auto"/>
              </w:rPr>
            </w:pPr>
          </w:p>
        </w:tc>
        <w:tc>
          <w:tcPr>
            <w:tcW w:w="780" w:type="dxa"/>
            <w:vAlign w:val="bottom"/>
            <w:shd w:val="clear" w:color="auto" w:fill="483D3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308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 xml:space="preserve">Title: </w:t>
            </w:r>
            <w:r>
              <w:rPr>
                <w:rFonts w:ascii="Times New Roman" w:cs="Times New Roman" w:eastAsia="Times New Roman" w:hAnsi="Times New Roman"/>
                <w:sz w:val="15"/>
                <w:szCs w:val="15"/>
                <w:color w:val="483D3B"/>
              </w:rPr>
              <w:t>Senior Vice President/Director of</w:t>
            </w:r>
          </w:p>
        </w:tc>
        <w:tc>
          <w:tcPr>
            <w:tcW w:w="23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Print Name: /s/Andres Collazo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483D3B"/>
          </w:tcPr>
          <w:p>
            <w:pPr>
              <w:spacing w:after="0" w:line="20" w:lineRule="exact"/>
              <w:rPr>
                <w:sz w:val="1"/>
                <w:szCs w:val="1"/>
                <w:color w:val="auto"/>
              </w:rPr>
            </w:pPr>
          </w:p>
        </w:tc>
        <w:tc>
          <w:tcPr>
            <w:tcW w:w="1080" w:type="dxa"/>
            <w:vAlign w:val="bottom"/>
            <w:shd w:val="clear" w:color="auto" w:fill="483D3B"/>
          </w:tcPr>
          <w:p>
            <w:pPr>
              <w:spacing w:after="0" w:line="20" w:lineRule="exact"/>
              <w:rPr>
                <w:sz w:val="1"/>
                <w:szCs w:val="1"/>
                <w:color w:val="auto"/>
              </w:rPr>
            </w:pPr>
          </w:p>
        </w:tc>
        <w:tc>
          <w:tcPr>
            <w:tcW w:w="800" w:type="dxa"/>
            <w:vAlign w:val="bottom"/>
            <w:gridSpan w:val="2"/>
            <w:shd w:val="clear" w:color="auto" w:fill="483D3B"/>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tcPr>
          <w:p>
            <w:pPr>
              <w:spacing w:after="0" w:line="151" w:lineRule="exact"/>
              <w:rPr>
                <w:sz w:val="20"/>
                <w:szCs w:val="20"/>
                <w:color w:val="auto"/>
              </w:rPr>
            </w:pPr>
            <w:r>
              <w:rPr>
                <w:rFonts w:ascii="Times New Roman" w:cs="Times New Roman" w:eastAsia="Times New Roman" w:hAnsi="Times New Roman"/>
                <w:sz w:val="15"/>
                <w:szCs w:val="15"/>
                <w:color w:val="483D3B"/>
              </w:rPr>
              <w:t>Human Resources</w:t>
            </w:r>
          </w:p>
        </w:tc>
        <w:tc>
          <w:tcPr>
            <w:tcW w:w="680" w:type="dxa"/>
            <w:vAlign w:val="bottom"/>
            <w:vMerge w:val="continue"/>
          </w:tcPr>
          <w:p>
            <w:pPr>
              <w:spacing w:after="0"/>
              <w:rPr>
                <w:sz w:val="13"/>
                <w:szCs w:val="13"/>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Address: [Redacted]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top w:val="single" w:sz="8" w:color="483D3B"/>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238" w:right="1440" w:bottom="1440" w:gutter="0" w:footer="0" w:header="0"/>
        </w:sectPr>
      </w:pPr>
    </w:p>
    <w:bookmarkStart w:id="138" w:name="page139"/>
    <w:bookmarkEnd w:id="138"/>
    <w:p>
      <w:pPr>
        <w:jc w:val="right"/>
        <w:ind w:right="125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10.11</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CHANGE IN CONTROL AGREEMENT</w:t>
      </w:r>
    </w:p>
    <w:p>
      <w:pPr>
        <w:spacing w:after="0" w:line="151" w:lineRule="exact"/>
        <w:rPr>
          <w:sz w:val="20"/>
          <w:szCs w:val="20"/>
          <w:color w:val="auto"/>
        </w:rPr>
      </w:pPr>
    </w:p>
    <w:p>
      <w:pPr>
        <w:jc w:val="both"/>
        <w:ind w:left="1140" w:right="1279" w:firstLine="487"/>
        <w:spacing w:after="0" w:line="211" w:lineRule="auto"/>
        <w:rPr>
          <w:sz w:val="20"/>
          <w:szCs w:val="20"/>
          <w:color w:val="auto"/>
        </w:rPr>
      </w:pPr>
      <w:r>
        <w:rPr>
          <w:rFonts w:ascii="Times New Roman" w:cs="Times New Roman" w:eastAsia="Times New Roman" w:hAnsi="Times New Roman"/>
          <w:sz w:val="15"/>
          <w:szCs w:val="15"/>
          <w:color w:val="auto"/>
        </w:rPr>
        <w:t>THIS CHANGE IN CONTROL AGREEMENT (the “Agreement”) is made as of the 29</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day of December 2025 by and between U.S. Century Bank, with Corporate Offices located at 2301 NW 87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Ave., Doral, FL 33172 (hereinafter called the “Bank”) and Mr. Oscar Gomez (“Executive”).</w:t>
      </w:r>
    </w:p>
    <w:p>
      <w:pPr>
        <w:spacing w:after="0" w:line="145" w:lineRule="exact"/>
        <w:rPr>
          <w:sz w:val="20"/>
          <w:szCs w:val="20"/>
          <w:color w:val="auto"/>
        </w:rPr>
      </w:pPr>
    </w:p>
    <w:p>
      <w:pPr>
        <w:jc w:val="both"/>
        <w:ind w:left="1140" w:right="1279" w:firstLine="487"/>
        <w:spacing w:after="0" w:line="309" w:lineRule="auto"/>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as consideration for Executive's continued employment with the Bank as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President/Head of Global Banking Division, the parties hereto, intending to be legally bound, agree as follows:</w:t>
      </w:r>
    </w:p>
    <w:p>
      <w:pPr>
        <w:spacing w:after="0" w:line="80" w:lineRule="exact"/>
        <w:rPr>
          <w:sz w:val="20"/>
          <w:szCs w:val="20"/>
          <w:color w:val="auto"/>
        </w:rPr>
      </w:pPr>
    </w:p>
    <w:p>
      <w:pPr>
        <w:jc w:val="both"/>
        <w:ind w:left="2100" w:right="1279" w:hanging="535"/>
        <w:spacing w:after="0" w:line="200" w:lineRule="auto"/>
        <w:tabs>
          <w:tab w:leader="none" w:pos="210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Payment Upon Change in Control.</w:t>
      </w:r>
      <w:r>
        <w:rPr>
          <w:rFonts w:ascii="Times New Roman" w:cs="Times New Roman" w:eastAsia="Times New Roman" w:hAnsi="Times New Roman"/>
          <w:sz w:val="15"/>
          <w:szCs w:val="15"/>
          <w:color w:val="auto"/>
        </w:rPr>
        <w:t xml:space="preserve"> In the event of a Change in Control (as defined herein) during the term of this Agreement, the Bank agrees to pay Executive a cash payment equal to one times the Base Annual Salary of Executive received during the one (1) year period prior to the Change in Control, to be paid within thirty (30) days of the consummation of the Change in Control. The Bank's provision of this benefit to Executive is made without regard to whether, or for how long, Executive remains employed with the surviving company subsequent to the Change in Control.</w:t>
      </w:r>
    </w:p>
    <w:p>
      <w:pPr>
        <w:spacing w:after="0" w:line="130" w:lineRule="exact"/>
        <w:rPr>
          <w:rFonts w:ascii="Times New Roman" w:cs="Times New Roman" w:eastAsia="Times New Roman" w:hAnsi="Times New Roman"/>
          <w:sz w:val="30"/>
          <w:szCs w:val="30"/>
          <w:color w:val="auto"/>
          <w:vertAlign w:val="superscript"/>
        </w:rPr>
      </w:pPr>
    </w:p>
    <w:p>
      <w:pPr>
        <w:ind w:left="2100" w:right="1279" w:hanging="535"/>
        <w:spacing w:after="0" w:line="180" w:lineRule="auto"/>
        <w:tabs>
          <w:tab w:leader="none" w:pos="2100"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xml:space="preserve"> “Change in Control” shall mean the occurrence of an event described in (i), (ii), (iii), or (iv) below:</w:t>
      </w:r>
    </w:p>
    <w:p>
      <w:pPr>
        <w:spacing w:after="0" w:line="137" w:lineRule="exact"/>
        <w:rPr>
          <w:rFonts w:ascii="Times New Roman" w:cs="Times New Roman" w:eastAsia="Times New Roman" w:hAnsi="Times New Roman"/>
          <w:sz w:val="27"/>
          <w:szCs w:val="27"/>
          <w:color w:val="auto"/>
          <w:vertAlign w:val="superscript"/>
        </w:rPr>
      </w:pPr>
    </w:p>
    <w:p>
      <w:pPr>
        <w:jc w:val="both"/>
        <w:ind w:left="2400" w:right="1279" w:hanging="259"/>
        <w:spacing w:after="0" w:line="221" w:lineRule="auto"/>
        <w:tabs>
          <w:tab w:leader="none" w:pos="2400" w:val="left"/>
        </w:tabs>
        <w:numPr>
          <w:ilvl w:val="1"/>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Any person or group (within the meaning of Sections 13(d) and 14(d) of the Securities Exchange Act of 1934, as amended (the “Exchange Act”), other than USCB Financial Holdings, Inc. (the “Company”), an affiliate of the Company or a trustee or other fiduciary holding securities under an employee benefit plan of the Company or the Bank or a corporation owned directly or indirectly by the stockholders of the Company in substantially the same proportions as their ownership of stock of the Company, becomes the beneficial owner (within the meaning of Rule 13(d)(3) under the Exchange Act, directly or indirectly (which shall include securities issuable upon conversion, exchange or otherwise) or securities representing 50% or more of the combined voting power of the Company’s or the Bank’s then-outstanding securities entitled generally to vote for the election of directors.</w:t>
      </w:r>
    </w:p>
    <w:p>
      <w:pPr>
        <w:spacing w:after="0" w:line="153"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3" w:lineRule="auto"/>
        <w:tabs>
          <w:tab w:leader="none" w:pos="2400" w:val="left"/>
        </w:tabs>
        <w:numPr>
          <w:ilvl w:val="1"/>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Consummation of an agreement to merge or consolidate with another entity (other than a majority-controlled subsidiary of the Company) unless the Company's stockholders immediately before the merger or consolidation own more than 50% of the combined voting power of the resulting entity's voting securities (giving effect to the conversion or exchange of securities issued in the merger or consolidation to the other entity that are convertible or exchangeable for voting securities) entitled generally to vote for the election of directors.</w:t>
      </w:r>
    </w:p>
    <w:p>
      <w:pPr>
        <w:spacing w:after="0" w:line="151" w:lineRule="exact"/>
        <w:rPr>
          <w:rFonts w:ascii="Times New Roman" w:cs="Times New Roman" w:eastAsia="Times New Roman" w:hAnsi="Times New Roman"/>
          <w:sz w:val="30"/>
          <w:szCs w:val="30"/>
          <w:color w:val="auto"/>
          <w:vertAlign w:val="superscript"/>
        </w:rPr>
      </w:pPr>
    </w:p>
    <w:p>
      <w:pPr>
        <w:jc w:val="both"/>
        <w:ind w:left="2400" w:right="1279" w:hanging="259"/>
        <w:spacing w:after="0"/>
        <w:tabs>
          <w:tab w:leader="none" w:pos="2400" w:val="left"/>
        </w:tabs>
        <w:numPr>
          <w:ilvl w:val="1"/>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Consummation of an agreement (including, without limitation, an agreement of liquidation) to sell or otherwise dispose of all or substantially all of the business or assets of the Company or the Bank; or</w:t>
      </w:r>
    </w:p>
    <w:p>
      <w:pPr>
        <w:spacing w:after="0" w:line="245" w:lineRule="exact"/>
        <w:rPr>
          <w:rFonts w:ascii="Times New Roman" w:cs="Times New Roman" w:eastAsia="Times New Roman" w:hAnsi="Times New Roman"/>
          <w:sz w:val="25"/>
          <w:szCs w:val="25"/>
          <w:color w:val="auto"/>
          <w:vertAlign w:val="superscript"/>
        </w:rPr>
      </w:pPr>
    </w:p>
    <w:p>
      <w:pPr>
        <w:jc w:val="both"/>
        <w:ind w:left="2400" w:right="1279" w:hanging="259"/>
        <w:spacing w:after="0" w:line="231" w:lineRule="auto"/>
        <w:tabs>
          <w:tab w:leader="none" w:pos="2400" w:val="left"/>
        </w:tabs>
        <w:numPr>
          <w:ilvl w:val="1"/>
          <w:numId w:val="7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Individuals who, as of the date hereof, constitute the Board of Directors of the Company (the “Incumbent Board”) cease for any reason during any 12 month period to constitute at least a majority of the Board, provided that any person becoming a director subsequent to the date hereof whose election or nomination for election by the stockholders of the Company is approved by a vote of at least a majority of directors then constituting the Incumbent Board shall be, for purposes of this Agreement, considered as though such person were a member of the Incumbent Board.</w:t>
      </w:r>
    </w:p>
    <w:p>
      <w:pPr>
        <w:spacing w:after="0" w:line="148" w:lineRule="exact"/>
        <w:rPr>
          <w:sz w:val="20"/>
          <w:szCs w:val="20"/>
          <w:color w:val="auto"/>
        </w:rPr>
      </w:pPr>
    </w:p>
    <w:p>
      <w:pPr>
        <w:jc w:val="both"/>
        <w:ind w:left="2180" w:right="1259"/>
        <w:spacing w:after="0" w:line="252" w:lineRule="auto"/>
        <w:rPr>
          <w:sz w:val="20"/>
          <w:szCs w:val="20"/>
          <w:color w:val="auto"/>
        </w:rPr>
      </w:pPr>
      <w:r>
        <w:rPr>
          <w:rFonts w:ascii="Times New Roman" w:cs="Times New Roman" w:eastAsia="Times New Roman" w:hAnsi="Times New Roman"/>
          <w:sz w:val="15"/>
          <w:szCs w:val="15"/>
          <w:color w:val="auto"/>
        </w:rPr>
        <w:t>Notwithstanding the foregoing, no event shall constitute a Change in Control unless such event shall also constitute a change in control as defined in Section 409A of the Internal Revenue Code of 1986, as amended.</w:t>
      </w:r>
    </w:p>
    <w:p>
      <w:pPr>
        <w:sectPr>
          <w:pgSz w:w="11900" w:h="16838" w:orient="portrait"/>
          <w:cols w:equalWidth="0" w:num="1">
            <w:col w:w="9019"/>
          </w:cols>
          <w:pgMar w:left="1440" w:top="1234" w:right="1440" w:bottom="1440" w:gutter="0" w:footer="0" w:header="0"/>
        </w:sectPr>
      </w:pPr>
    </w:p>
    <w:bookmarkStart w:id="139" w:name="page140"/>
    <w:bookmarkEnd w:id="139"/>
    <w:p>
      <w:pPr>
        <w:jc w:val="both"/>
        <w:ind w:left="2140" w:right="1279" w:hanging="490"/>
        <w:spacing w:after="0" w:line="203" w:lineRule="auto"/>
        <w:tabs>
          <w:tab w:leader="none" w:pos="214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Severability.</w:t>
      </w:r>
      <w:r>
        <w:rPr>
          <w:rFonts w:ascii="Times New Roman" w:cs="Times New Roman" w:eastAsia="Times New Roman" w:hAnsi="Times New Roman"/>
          <w:sz w:val="15"/>
          <w:szCs w:val="15"/>
          <w:color w:val="auto"/>
        </w:rPr>
        <w:t xml:space="preserve"> Should any provision of this Agreement be declared or determined by any court of competent jurisdiction to be unenforceable or invalid for any reason, the validity of the remaining parts, term or provisions of this Agreement shall not be affected thereby and the invalid or unenforceable part, term or provision shall be deemed not to be a part of this Agreement.</w:t>
      </w:r>
    </w:p>
    <w:p>
      <w:pPr>
        <w:spacing w:after="0" w:line="148" w:lineRule="exact"/>
        <w:rPr>
          <w:rFonts w:ascii="Times New Roman" w:cs="Times New Roman" w:eastAsia="Times New Roman" w:hAnsi="Times New Roman"/>
          <w:sz w:val="30"/>
          <w:szCs w:val="30"/>
          <w:color w:val="auto"/>
          <w:vertAlign w:val="superscript"/>
        </w:rPr>
      </w:pPr>
    </w:p>
    <w:p>
      <w:pPr>
        <w:ind w:left="2140" w:right="1279" w:hanging="490"/>
        <w:spacing w:after="0" w:line="209" w:lineRule="auto"/>
        <w:tabs>
          <w:tab w:leader="none" w:pos="214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Applicable Law/Forum</w:t>
      </w:r>
      <w:r>
        <w:rPr>
          <w:rFonts w:ascii="Times New Roman" w:cs="Times New Roman" w:eastAsia="Times New Roman" w:hAnsi="Times New Roman"/>
          <w:sz w:val="15"/>
          <w:szCs w:val="15"/>
          <w:color w:val="auto"/>
        </w:rPr>
        <w:t>. This Agreement has been entered into and shall be governed by and construed under the internal laws of the State of Florida, without regard to conflicts of laws or principles. All suits, proceedings and other actions relating to, arising out of or in connection with this Agreement will be submitted solely to the in personam jurisdiction of the United States District Court for the Southern District of Florida (“Federal Court”) or to the Circuit Court in Broward County or MiamiDade­ County. Executive hereby waives any claims against or objections to such in personam jurisdiction and venue.</w:t>
      </w:r>
    </w:p>
    <w:p>
      <w:pPr>
        <w:spacing w:after="0" w:line="153" w:lineRule="exact"/>
        <w:rPr>
          <w:rFonts w:ascii="Times New Roman" w:cs="Times New Roman" w:eastAsia="Times New Roman" w:hAnsi="Times New Roman"/>
          <w:sz w:val="30"/>
          <w:szCs w:val="30"/>
          <w:color w:val="auto"/>
          <w:vertAlign w:val="superscript"/>
        </w:rPr>
      </w:pPr>
    </w:p>
    <w:p>
      <w:pPr>
        <w:jc w:val="both"/>
        <w:ind w:left="2140" w:right="1279" w:hanging="490"/>
        <w:spacing w:after="0" w:line="213" w:lineRule="auto"/>
        <w:tabs>
          <w:tab w:leader="none" w:pos="214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xml:space="preserve"> All notices and other communications hereunder shall be in writing and shall be deemed to have been given only if and when personally delivered or three (3) business days after mailing, postage prepaid, registered or certified mail, or when delivered (and receipted for) by an express delivery service, addressed in each case as follows. As to notices provided to the Bank, notices shall be sent to the Human Resources Department at the address of the Bank listed in the introductory paragraph of this Agreement. As to notices to Executive, notices shall be sent to the address provided below in the signature block hereto. Executive and the Bank may change the address for the giving of notices.</w:t>
      </w:r>
    </w:p>
    <w:p>
      <w:pPr>
        <w:spacing w:after="0" w:line="147" w:lineRule="exact"/>
        <w:rPr>
          <w:rFonts w:ascii="Times New Roman" w:cs="Times New Roman" w:eastAsia="Times New Roman" w:hAnsi="Times New Roman"/>
          <w:sz w:val="30"/>
          <w:szCs w:val="30"/>
          <w:color w:val="auto"/>
          <w:vertAlign w:val="superscript"/>
        </w:rPr>
      </w:pPr>
    </w:p>
    <w:p>
      <w:pPr>
        <w:jc w:val="both"/>
        <w:ind w:left="2140" w:right="1279" w:hanging="490"/>
        <w:spacing w:after="0" w:line="214" w:lineRule="auto"/>
        <w:tabs>
          <w:tab w:leader="none" w:pos="214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Complete Agreement.</w:t>
      </w:r>
      <w:r>
        <w:rPr>
          <w:rFonts w:ascii="Times New Roman" w:cs="Times New Roman" w:eastAsia="Times New Roman" w:hAnsi="Times New Roman"/>
          <w:sz w:val="15"/>
          <w:szCs w:val="15"/>
          <w:color w:val="auto"/>
        </w:rPr>
        <w:t xml:space="preserve"> This Agreement represents the complete agreement between Executive and the Bank regarding the subject matter of this Agreement. All prior agreements between the Bank and Executive with respect to the specific matters agreed to herein are hereby superseded and shall have no force or effect. This Agreement is in no way dependent upon the performance of any other contract or agreement that may have been or may be entered into between Executive and the Bank and remains in effect during the pendency of this Agreement. As such, the breach or alleged breach of any other contract or agreement is no defense to enforcement of this Agreement.</w:t>
      </w:r>
    </w:p>
    <w:p>
      <w:pPr>
        <w:spacing w:after="0" w:line="152" w:lineRule="exact"/>
        <w:rPr>
          <w:rFonts w:ascii="Times New Roman" w:cs="Times New Roman" w:eastAsia="Times New Roman" w:hAnsi="Times New Roman"/>
          <w:sz w:val="30"/>
          <w:szCs w:val="30"/>
          <w:color w:val="auto"/>
          <w:vertAlign w:val="superscript"/>
        </w:rPr>
      </w:pPr>
    </w:p>
    <w:p>
      <w:pPr>
        <w:jc w:val="both"/>
        <w:ind w:left="2140" w:right="1339" w:hanging="490"/>
        <w:spacing w:after="0" w:line="225" w:lineRule="auto"/>
        <w:tabs>
          <w:tab w:leader="none" w:pos="2140" w:val="left"/>
        </w:tabs>
        <w:numPr>
          <w:ilvl w:val="0"/>
          <w:numId w:val="7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u w:val="single" w:color="auto"/>
          <w:color w:val="auto"/>
        </w:rPr>
        <w:t>Amendments in Writing</w:t>
      </w:r>
      <w:r>
        <w:rPr>
          <w:rFonts w:ascii="Times New Roman" w:cs="Times New Roman" w:eastAsia="Times New Roman" w:hAnsi="Times New Roman"/>
          <w:sz w:val="14"/>
          <w:szCs w:val="14"/>
          <w:color w:val="auto"/>
        </w:rPr>
        <w:t>. No amendment, modification, waiver, or other change to this Agreement shall in any event be effective unless the same shall be in writing, specifically identifying this Agreement and the provision intended to be changed and signed by the Bank and Executive, and each such change shall be effective only in the specific instance and for the specific purpose for which it is given. No provision of this Agreement shall be varied, contradicted or explained by any oral agreement, course of dealing or performance or any other matter not set forth in an agreement in writing and signed by Executive and the Bank.</w:t>
      </w:r>
    </w:p>
    <w:p>
      <w:pPr>
        <w:spacing w:after="0" w:line="147" w:lineRule="exact"/>
        <w:rPr>
          <w:rFonts w:ascii="Times New Roman" w:cs="Times New Roman" w:eastAsia="Times New Roman" w:hAnsi="Times New Roman"/>
          <w:sz w:val="28"/>
          <w:szCs w:val="28"/>
          <w:color w:val="auto"/>
          <w:vertAlign w:val="superscript"/>
        </w:rPr>
      </w:pPr>
    </w:p>
    <w:p>
      <w:pPr>
        <w:jc w:val="both"/>
        <w:ind w:left="2140" w:right="1339" w:hanging="490"/>
        <w:spacing w:after="0" w:line="239" w:lineRule="auto"/>
        <w:tabs>
          <w:tab w:leader="none" w:pos="2140" w:val="left"/>
        </w:tabs>
        <w:numPr>
          <w:ilvl w:val="0"/>
          <w:numId w:val="7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u w:val="single" w:color="auto"/>
          <w:color w:val="auto"/>
        </w:rPr>
        <w:t>Term of the Agreement</w:t>
      </w:r>
      <w:r>
        <w:rPr>
          <w:rFonts w:ascii="Times New Roman" w:cs="Times New Roman" w:eastAsia="Times New Roman" w:hAnsi="Times New Roman"/>
          <w:sz w:val="14"/>
          <w:szCs w:val="14"/>
          <w:color w:val="auto"/>
        </w:rPr>
        <w:t>. Subject to the terms hereof, the term of this Agreement shall commence on the date hereof and terminate on December 31, 2028 (the “Initial Term”). Prior to December 31, 2026 (the “Extension Anniversary Date”) and each annual anniversary thereafter of the Extension Anniversary Date, the Board of Directors of the Bank or the Compensation Committee thereof shall consider and review (with appropriate corporate documentation thereof, and after taking into account all relevant factors, including Executive’s performance hereunder) a one-year extension of the term of this Agreement. If the Board of Directors or the Compensation Committee thereof approve such an extension, then the term of this Agreement shall be so extended as of the Extension Anniversary Date or any relevant annual anniversary of such date unless Executive gives written notice to the Bank of Executive’s election not to extend the term, with such written notice to be given not less than thirty (30) days prior to the Extension Anniversary Date or any relevant annual anniversary of such date. If the Board of Directors elects not to extend the term, it shall give written notice of such decision to Executive not less than thirty (30) days prior to the Extension Anniversary Date or any annual anniversary of such date. If any party gives timely notice that the term will not be extended as of the Extension Anniversary Date or any annual</w:t>
      </w: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238" w:right="1440" w:bottom="1440" w:gutter="0" w:footer="0" w:header="0"/>
        </w:sectPr>
      </w:pPr>
    </w:p>
    <w:bookmarkStart w:id="140" w:name="page141"/>
    <w:bookmarkEnd w:id="140"/>
    <w:p>
      <w:pPr>
        <w:jc w:val="both"/>
        <w:ind w:left="2140" w:right="1339"/>
        <w:spacing w:after="0" w:line="24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anniversary of such date, then this Agreement and the rights and obligations provided herein shall terminate at the conclusion of its remaining term. References herein to the term of this Agreement shall refer both to the Initial Term and successive terms as the term of this Agreement is extended in accordance with the terms hereof.</w:t>
      </w:r>
    </w:p>
    <w:p>
      <w:pPr>
        <w:spacing w:after="0" w:line="139" w:lineRule="exact"/>
        <w:rPr>
          <w:sz w:val="20"/>
          <w:szCs w:val="20"/>
          <w:color w:val="auto"/>
        </w:rPr>
      </w:pPr>
    </w:p>
    <w:p>
      <w:pPr>
        <w:jc w:val="both"/>
        <w:ind w:left="2140" w:right="1339" w:hanging="490"/>
        <w:spacing w:after="0" w:line="183" w:lineRule="auto"/>
        <w:tabs>
          <w:tab w:leader="none" w:pos="214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Regulatory Actions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following provisions shall be applicable to the parties hereto or any successor thereto, and shall be controlling in the event of a conflict with any other provision of this Agreement, including without limitation Section 1 hereof:</w:t>
      </w:r>
    </w:p>
    <w:p>
      <w:pPr>
        <w:spacing w:after="0" w:line="160"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4" w:lineRule="auto"/>
        <w:tabs>
          <w:tab w:leader="none" w:pos="2400" w:val="left"/>
        </w:tabs>
        <w:numPr>
          <w:ilvl w:val="1"/>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suspended from office and/or temporarily prohibited from participating in the conduct of the Bank’s affairs pursuant to notice served under Section 8(e)(3) or Section 8(g)(1) of the Federal Deposit Insurance Act (“FDIA”)(12 U.S.C. §§1818(e)(3) and 1818(g)(1)), the Bank’s obligations under this Agreement shall be suspended as of the date of service, unless stayed by appropriate proceedings. If the charges in the notice are dismissed, the Bank will: (i) pay Executive all or part of the compensation withheld while its obligations under this Agreement were suspended, and (ii) reinstate (in whole or in part) any of its obligations which were suspended.</w:t>
      </w:r>
    </w:p>
    <w:p>
      <w:pPr>
        <w:spacing w:after="0" w:line="162" w:lineRule="exact"/>
        <w:rPr>
          <w:rFonts w:ascii="Times New Roman" w:cs="Times New Roman" w:eastAsia="Times New Roman" w:hAnsi="Times New Roman"/>
          <w:sz w:val="30"/>
          <w:szCs w:val="30"/>
          <w:color w:val="auto"/>
          <w:vertAlign w:val="superscript"/>
        </w:rPr>
      </w:pPr>
    </w:p>
    <w:p>
      <w:pPr>
        <w:jc w:val="both"/>
        <w:ind w:left="2400" w:right="1279" w:hanging="259"/>
        <w:spacing w:after="0" w:line="203" w:lineRule="auto"/>
        <w:tabs>
          <w:tab w:leader="none" w:pos="2400" w:val="left"/>
        </w:tabs>
        <w:numPr>
          <w:ilvl w:val="1"/>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removed from office and/or permanently prohibited from participating in the conduct of the Bank’s affairs by an order issued under Section 8(e)(4) or Section 8(g)(1) of the FDIA (12 U.S.C. §§1818(e)(4) and (g)(1)), all obligations of the Bank under this Agreement shall terminate as of the effective date of the order, but vested rights of Executive and the Bank as of the date of termination shall not be affected.</w:t>
      </w:r>
    </w:p>
    <w:p>
      <w:pPr>
        <w:spacing w:after="0" w:line="148"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9" w:lineRule="auto"/>
        <w:tabs>
          <w:tab w:leader="none" w:pos="2400" w:val="left"/>
        </w:tabs>
        <w:numPr>
          <w:ilvl w:val="1"/>
          <w:numId w:val="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If the Bank is in default, as defined in Section 3(x)(1) of the FDIA (12 U.S.C. §1813(x)(1)), all obligations under this Agreement shall terminate as of the date of default, but vested rights of Executive and the Bank as of the date of termination shall not be affected.</w:t>
      </w:r>
    </w:p>
    <w:p>
      <w:pPr>
        <w:spacing w:after="0" w:line="147" w:lineRule="exact"/>
        <w:rPr>
          <w:rFonts w:ascii="Times New Roman" w:cs="Times New Roman" w:eastAsia="Times New Roman" w:hAnsi="Times New Roman"/>
          <w:sz w:val="25"/>
          <w:szCs w:val="25"/>
          <w:color w:val="auto"/>
          <w:vertAlign w:val="superscript"/>
        </w:rPr>
      </w:pPr>
    </w:p>
    <w:p>
      <w:pPr>
        <w:jc w:val="both"/>
        <w:ind w:left="2400" w:right="1279" w:hanging="259"/>
        <w:spacing w:after="0" w:line="289" w:lineRule="auto"/>
        <w:tabs>
          <w:tab w:leader="none" w:pos="2400" w:val="left"/>
        </w:tabs>
        <w:numPr>
          <w:ilvl w:val="1"/>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Notwithstanding any other provision of this Agreement to the contrary, any payments made to Executive pursuant to this Agreement, or otherwise, are subject to and conditioned upon their compliance with Section 18(k) of the FDIA (12 U.S.C. §1828(k)) and 12 C.F.R. Part 359.</w:t>
      </w:r>
    </w:p>
    <w:p>
      <w:pPr>
        <w:spacing w:after="0" w:line="116" w:lineRule="exact"/>
        <w:rPr>
          <w:rFonts w:ascii="Times New Roman" w:cs="Times New Roman" w:eastAsia="Times New Roman" w:hAnsi="Times New Roman"/>
          <w:sz w:val="26"/>
          <w:szCs w:val="26"/>
          <w:color w:val="auto"/>
          <w:vertAlign w:val="superscript"/>
        </w:rPr>
      </w:pPr>
    </w:p>
    <w:p>
      <w:pPr>
        <w:jc w:val="both"/>
        <w:ind w:left="2140" w:right="1359" w:hanging="490"/>
        <w:spacing w:after="0" w:line="193" w:lineRule="auto"/>
        <w:tabs>
          <w:tab w:leader="none" w:pos="214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Nature of Obligations.</w:t>
      </w:r>
      <w:r>
        <w:rPr>
          <w:rFonts w:ascii="Times New Roman" w:cs="Times New Roman" w:eastAsia="Times New Roman" w:hAnsi="Times New Roman"/>
          <w:sz w:val="15"/>
          <w:szCs w:val="15"/>
          <w:color w:val="auto"/>
        </w:rPr>
        <w:t xml:space="preserve"> Nothing contained herein shall be deemed to create other than a terminable at will employment relationship between the Bank and Executive, and the Bank may terminate Executive’s employment at any time, subject to providing any payments specified herein in accordance with the terms hereof.</w:t>
      </w:r>
    </w:p>
    <w:p>
      <w:pPr>
        <w:spacing w:after="0" w:line="149" w:lineRule="exact"/>
        <w:rPr>
          <w:rFonts w:ascii="Times New Roman" w:cs="Times New Roman" w:eastAsia="Times New Roman" w:hAnsi="Times New Roman"/>
          <w:sz w:val="30"/>
          <w:szCs w:val="30"/>
          <w:color w:val="auto"/>
          <w:vertAlign w:val="superscript"/>
        </w:rPr>
      </w:pPr>
    </w:p>
    <w:p>
      <w:pPr>
        <w:jc w:val="both"/>
        <w:ind w:left="2140" w:right="1339" w:hanging="490"/>
        <w:spacing w:after="0" w:line="196" w:lineRule="auto"/>
        <w:tabs>
          <w:tab w:leader="none" w:pos="214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Acknowledgment</w:t>
      </w:r>
      <w:r>
        <w:rPr>
          <w:rFonts w:ascii="Times New Roman" w:cs="Times New Roman" w:eastAsia="Times New Roman" w:hAnsi="Times New Roman"/>
          <w:sz w:val="15"/>
          <w:szCs w:val="15"/>
          <w:color w:val="auto"/>
        </w:rPr>
        <w:t>. Executive acknowledges that Executive has read this Agreement in full and completely understands all of its terms and obligations and enters into this Agreement freely and voluntarily, and after having the opportunity to consult with representatives of Executive's own choosing and that Executive's agreement is freely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238" w:right="1440" w:bottom="1440" w:gutter="0" w:footer="0" w:header="0"/>
        </w:sectPr>
      </w:pPr>
    </w:p>
    <w:bookmarkStart w:id="141" w:name="page142"/>
    <w:bookmarkEnd w:id="141"/>
    <w:p>
      <w:pPr>
        <w:ind w:left="1340" w:right="1279" w:firstLine="49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IN WITNESS WHEREOF, the parties hereto have duly executed this Agreement as of the date first above mentioned.</w:t>
      </w:r>
    </w:p>
    <w:p>
      <w:pPr>
        <w:spacing w:after="0" w:line="135" w:lineRule="exact"/>
        <w:rPr>
          <w:sz w:val="20"/>
          <w:szCs w:val="20"/>
          <w:color w:val="auto"/>
        </w:rPr>
      </w:pPr>
    </w:p>
    <w:tbl>
      <w:tblPr>
        <w:tblLayout w:type="fixed"/>
        <w:tblInd w:w="1680" w:type="dxa"/>
        <w:tblCellMar>
          <w:top w:w="0" w:type="dxa"/>
          <w:left w:w="0" w:type="dxa"/>
          <w:bottom w:w="0" w:type="dxa"/>
          <w:right w:w="0" w:type="dxa"/>
        </w:tblCellMar>
      </w:tblPr>
      <w:tr>
        <w:trPr>
          <w:trHeight w:val="198"/>
        </w:trPr>
        <w:tc>
          <w:tcPr>
            <w:tcW w:w="238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U.S. Century Bank</w:t>
            </w:r>
          </w:p>
        </w:tc>
        <w:tc>
          <w:tcPr>
            <w:tcW w:w="700" w:type="dxa"/>
            <w:vAlign w:val="bottom"/>
          </w:tcPr>
          <w:p>
            <w:pPr>
              <w:spacing w:after="0"/>
              <w:rPr>
                <w:sz w:val="17"/>
                <w:szCs w:val="17"/>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0" w:type="dxa"/>
            <w:vAlign w:val="bottom"/>
          </w:tcPr>
          <w:p>
            <w:pPr>
              <w:spacing w:after="0"/>
              <w:rPr>
                <w:sz w:val="1"/>
                <w:szCs w:val="1"/>
                <w:color w:val="auto"/>
              </w:rPr>
            </w:pPr>
          </w:p>
        </w:tc>
      </w:tr>
      <w:tr>
        <w:trPr>
          <w:trHeight w:val="319"/>
        </w:trPr>
        <w:tc>
          <w:tcPr>
            <w:tcW w:w="23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color w:val="483D3B"/>
              </w:rPr>
              <w:t>/s/Jessica Goldberg</w:t>
            </w:r>
          </w:p>
        </w:tc>
        <w:tc>
          <w:tcPr>
            <w:tcW w:w="700" w:type="dxa"/>
            <w:vAlign w:val="bottom"/>
          </w:tcPr>
          <w:p>
            <w:pPr>
              <w:spacing w:after="0"/>
              <w:rPr>
                <w:sz w:val="24"/>
                <w:szCs w:val="24"/>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/s/Oscar Gomez</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shd w:val="clear" w:color="auto" w:fill="483D3B"/>
          </w:tcPr>
          <w:p>
            <w:pPr>
              <w:spacing w:after="0" w:line="20" w:lineRule="exact"/>
              <w:rPr>
                <w:sz w:val="1"/>
                <w:szCs w:val="1"/>
                <w:color w:val="auto"/>
              </w:rPr>
            </w:pPr>
          </w:p>
        </w:tc>
        <w:tc>
          <w:tcPr>
            <w:tcW w:w="160" w:type="dxa"/>
            <w:vAlign w:val="bottom"/>
            <w:shd w:val="clear" w:color="auto" w:fill="483D3B"/>
          </w:tcPr>
          <w:p>
            <w:pPr>
              <w:spacing w:after="0" w:line="20" w:lineRule="exact"/>
              <w:rPr>
                <w:sz w:val="1"/>
                <w:szCs w:val="1"/>
                <w:color w:val="auto"/>
              </w:rPr>
            </w:pPr>
          </w:p>
        </w:tc>
        <w:tc>
          <w:tcPr>
            <w:tcW w:w="900" w:type="dxa"/>
            <w:vAlign w:val="bottom"/>
            <w:shd w:val="clear" w:color="auto" w:fill="483D3B"/>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380" w:type="dxa"/>
            <w:vAlign w:val="bottom"/>
            <w:gridSpan w:val="6"/>
          </w:tcPr>
          <w:p>
            <w:pPr>
              <w:spacing w:after="0"/>
              <w:rPr>
                <w:sz w:val="20"/>
                <w:szCs w:val="20"/>
                <w:color w:val="auto"/>
              </w:rPr>
            </w:pPr>
            <w:r>
              <w:rPr>
                <w:rFonts w:ascii="Times New Roman" w:cs="Times New Roman" w:eastAsia="Times New Roman" w:hAnsi="Times New Roman"/>
                <w:sz w:val="15"/>
                <w:szCs w:val="15"/>
                <w:color w:val="auto"/>
                <w:w w:val="98"/>
              </w:rPr>
              <w:t xml:space="preserve">Title: </w:t>
            </w:r>
            <w:r>
              <w:rPr>
                <w:rFonts w:ascii="Times New Roman" w:cs="Times New Roman" w:eastAsia="Times New Roman" w:hAnsi="Times New Roman"/>
                <w:sz w:val="15"/>
                <w:szCs w:val="15"/>
                <w:color w:val="483D3B"/>
                <w:w w:val="98"/>
              </w:rPr>
              <w:t>Senior Vice President/Director of</w:t>
            </w:r>
          </w:p>
        </w:tc>
        <w:tc>
          <w:tcPr>
            <w:tcW w:w="700" w:type="dxa"/>
            <w:vAlign w:val="bottom"/>
          </w:tcPr>
          <w:p>
            <w:pPr>
              <w:spacing w:after="0"/>
              <w:rPr>
                <w:sz w:val="24"/>
                <w:szCs w:val="24"/>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Print Name: Oscar Gomez</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83D3B"/>
          </w:tcPr>
          <w:p>
            <w:pPr>
              <w:spacing w:after="0" w:line="20" w:lineRule="exact"/>
              <w:rPr>
                <w:sz w:val="1"/>
                <w:szCs w:val="1"/>
                <w:color w:val="auto"/>
              </w:rPr>
            </w:pPr>
          </w:p>
        </w:tc>
        <w:tc>
          <w:tcPr>
            <w:tcW w:w="1080" w:type="dxa"/>
            <w:vAlign w:val="bottom"/>
            <w:gridSpan w:val="2"/>
            <w:shd w:val="clear" w:color="auto" w:fill="483D3B"/>
          </w:tcPr>
          <w:p>
            <w:pPr>
              <w:spacing w:after="0" w:line="20" w:lineRule="exact"/>
              <w:rPr>
                <w:sz w:val="1"/>
                <w:szCs w:val="1"/>
                <w:color w:val="auto"/>
              </w:rPr>
            </w:pPr>
          </w:p>
        </w:tc>
        <w:tc>
          <w:tcPr>
            <w:tcW w:w="780" w:type="dxa"/>
            <w:vAlign w:val="bottom"/>
            <w:shd w:val="clear" w:color="auto" w:fill="483D3B"/>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3"/>
          </w:tcPr>
          <w:p>
            <w:pPr>
              <w:spacing w:after="0" w:line="151" w:lineRule="exact"/>
              <w:rPr>
                <w:sz w:val="20"/>
                <w:szCs w:val="20"/>
                <w:color w:val="auto"/>
              </w:rPr>
            </w:pPr>
            <w:r>
              <w:rPr>
                <w:rFonts w:ascii="Times New Roman" w:cs="Times New Roman" w:eastAsia="Times New Roman" w:hAnsi="Times New Roman"/>
                <w:sz w:val="15"/>
                <w:szCs w:val="15"/>
                <w:color w:val="483D3B"/>
              </w:rPr>
              <w:t>Human Resources</w:t>
            </w:r>
          </w:p>
        </w:tc>
        <w:tc>
          <w:tcPr>
            <w:tcW w:w="700" w:type="dxa"/>
            <w:vAlign w:val="bottom"/>
          </w:tcPr>
          <w:p>
            <w:pPr>
              <w:spacing w:after="0"/>
              <w:rPr>
                <w:sz w:val="13"/>
                <w:szCs w:val="13"/>
                <w:color w:val="auto"/>
              </w:rPr>
            </w:pPr>
          </w:p>
        </w:tc>
        <w:tc>
          <w:tcPr>
            <w:tcW w:w="238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Address: [Redacted]</w:t>
            </w: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483D3B"/>
            </w:tcBorders>
          </w:tcPr>
          <w:p>
            <w:pPr>
              <w:spacing w:after="0"/>
              <w:rPr>
                <w:sz w:val="13"/>
                <w:szCs w:val="13"/>
                <w:color w:val="auto"/>
              </w:rPr>
            </w:pPr>
          </w:p>
        </w:tc>
        <w:tc>
          <w:tcPr>
            <w:tcW w:w="180" w:type="dxa"/>
            <w:vAlign w:val="bottom"/>
            <w:tcBorders>
              <w:top w:val="single" w:sz="8" w:color="483D3B"/>
            </w:tcBorders>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238" w:right="1440" w:bottom="1440" w:gutter="0" w:footer="0" w:header="0"/>
        </w:sectPr>
      </w:pPr>
    </w:p>
    <w:bookmarkStart w:id="142" w:name="page143"/>
    <w:bookmarkEnd w:id="142"/>
    <w:p>
      <w:pPr>
        <w:ind w:left="700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10.12</w:t>
      </w:r>
    </w:p>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CHANGE IN CONTROL AGREEMENT</w:t>
      </w:r>
    </w:p>
    <w:p>
      <w:pPr>
        <w:spacing w:after="0" w:line="153" w:lineRule="exact"/>
        <w:rPr>
          <w:sz w:val="20"/>
          <w:szCs w:val="20"/>
          <w:color w:val="auto"/>
        </w:rPr>
      </w:pPr>
    </w:p>
    <w:p>
      <w:pPr>
        <w:jc w:val="both"/>
        <w:ind w:left="1140" w:right="1279" w:firstLine="487"/>
        <w:spacing w:after="0" w:line="227" w:lineRule="auto"/>
        <w:rPr>
          <w:sz w:val="20"/>
          <w:szCs w:val="20"/>
          <w:color w:val="auto"/>
        </w:rPr>
      </w:pPr>
      <w:r>
        <w:rPr>
          <w:rFonts w:ascii="Times New Roman" w:cs="Times New Roman" w:eastAsia="Times New Roman" w:hAnsi="Times New Roman"/>
          <w:sz w:val="15"/>
          <w:szCs w:val="15"/>
          <w:color w:val="auto"/>
        </w:rPr>
        <w:t>THIS CHANGE IN CONTROL AGREEMENT (the “Agreement”) is madeas of the 29th day of December 2025 by and between U.S. Century Bank, with Corporate Offices located at 2301 NW 87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Ave., Doral, FL 33172 (hereinafter called the “Bank”) and Ms. Martha Guerra-Kattou (“Executive”).</w:t>
      </w:r>
    </w:p>
    <w:p>
      <w:pPr>
        <w:spacing w:after="0" w:line="146" w:lineRule="exact"/>
        <w:rPr>
          <w:sz w:val="20"/>
          <w:szCs w:val="20"/>
          <w:color w:val="auto"/>
        </w:rPr>
      </w:pPr>
    </w:p>
    <w:p>
      <w:pPr>
        <w:jc w:val="both"/>
        <w:ind w:left="1140" w:right="1279" w:firstLine="487"/>
        <w:spacing w:after="0" w:line="309" w:lineRule="auto"/>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as consideration for Executive's continued employment with the Bank as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President/Director of Sales and Marketing, the parties hereto, intending to be legally bound, agree as follows:</w:t>
      </w:r>
    </w:p>
    <w:p>
      <w:pPr>
        <w:spacing w:after="0" w:line="80" w:lineRule="exact"/>
        <w:rPr>
          <w:sz w:val="20"/>
          <w:szCs w:val="20"/>
          <w:color w:val="auto"/>
        </w:rPr>
      </w:pPr>
    </w:p>
    <w:p>
      <w:pPr>
        <w:jc w:val="both"/>
        <w:ind w:left="2100" w:right="1279" w:hanging="535"/>
        <w:spacing w:after="0" w:line="200" w:lineRule="auto"/>
        <w:tabs>
          <w:tab w:leader="none" w:pos="210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Payment Upon Change in Control.</w:t>
      </w:r>
      <w:r>
        <w:rPr>
          <w:rFonts w:ascii="Times New Roman" w:cs="Times New Roman" w:eastAsia="Times New Roman" w:hAnsi="Times New Roman"/>
          <w:sz w:val="15"/>
          <w:szCs w:val="15"/>
          <w:color w:val="auto"/>
        </w:rPr>
        <w:t xml:space="preserve"> In the event of a Change in Control (as defined herein) during the term of this Agreement, the Bank agrees to pay Executive a cash payment equal to one times the Base Annual Salary of Executive received during the one (1) year period prior to the Change in Control, to be paid within thirty (30) days of the consummation of the Change in Control. The Bank's provision of this benefit to Executive is made without regard to whether, or for how long, Executive remains employed with the surviving company subsequent to the Change in Control.</w:t>
      </w:r>
    </w:p>
    <w:p>
      <w:pPr>
        <w:spacing w:after="0" w:line="130" w:lineRule="exact"/>
        <w:rPr>
          <w:rFonts w:ascii="Times New Roman" w:cs="Times New Roman" w:eastAsia="Times New Roman" w:hAnsi="Times New Roman"/>
          <w:sz w:val="30"/>
          <w:szCs w:val="30"/>
          <w:color w:val="auto"/>
          <w:vertAlign w:val="superscript"/>
        </w:rPr>
      </w:pPr>
    </w:p>
    <w:p>
      <w:pPr>
        <w:ind w:left="2100" w:right="1279" w:hanging="535"/>
        <w:spacing w:after="0" w:line="180" w:lineRule="auto"/>
        <w:tabs>
          <w:tab w:leader="none" w:pos="2100" w:val="left"/>
        </w:tabs>
        <w:numPr>
          <w:ilvl w:val="0"/>
          <w:numId w:val="7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xml:space="preserve"> “Change in Control” shall mean the occurrence of an event described in (i), (ii), (iii), or (iv) below:</w:t>
      </w:r>
    </w:p>
    <w:p>
      <w:pPr>
        <w:spacing w:after="0" w:line="137" w:lineRule="exact"/>
        <w:rPr>
          <w:rFonts w:ascii="Times New Roman" w:cs="Times New Roman" w:eastAsia="Times New Roman" w:hAnsi="Times New Roman"/>
          <w:sz w:val="27"/>
          <w:szCs w:val="27"/>
          <w:color w:val="auto"/>
          <w:vertAlign w:val="superscript"/>
        </w:rPr>
      </w:pPr>
    </w:p>
    <w:p>
      <w:pPr>
        <w:jc w:val="both"/>
        <w:ind w:left="2400" w:right="1279" w:hanging="259"/>
        <w:spacing w:after="0" w:line="221" w:lineRule="auto"/>
        <w:tabs>
          <w:tab w:leader="none" w:pos="2400" w:val="left"/>
        </w:tabs>
        <w:numPr>
          <w:ilvl w:val="1"/>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Any person or group (within the meaning of Sections 13(d) and 14(d) of the Securities Exchange Act of 1934, as amended (the “Exchange Act”), other than USCB Financial Holdings, Inc. (the “Company”), an affiliate of the Company or a trustee or other fiduciary holding securities under an employee benefit plan of the Company or the Bank or a corporation owned directly or indirectly by the stockholders of the Company in substantially the same proportions as their ownership of stock of the Company, becomes the beneficial owner (within the meaning of Rule 13(d)(3) under the Exchange Act, directly or indirectly (which shall include securities issuable upon conversion, exchange or otherwise) or securities representing 50% or more of the combined voting power of the Company’s or the Bank’s then-outstanding securities entitled generally to vote for the election of directors.</w:t>
      </w:r>
    </w:p>
    <w:p>
      <w:pPr>
        <w:spacing w:after="0" w:line="153"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3" w:lineRule="auto"/>
        <w:tabs>
          <w:tab w:leader="none" w:pos="2400" w:val="left"/>
        </w:tabs>
        <w:numPr>
          <w:ilvl w:val="1"/>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Consummation of an agreement to merge or consolidate with another entity (other than a majority-controlled subsidiary of the Company) unless the Company's stockholders immediately before the merger or consolidation own more than 50% of the combined voting power of the resulting entity's voting securities (giving effect to the conversion or exchange of securities issued in the merger or consolidation to the other entity that are convertible or exchangeable for voting securities) entitled generally to vote for the election of directors.</w:t>
      </w:r>
    </w:p>
    <w:p>
      <w:pPr>
        <w:spacing w:after="0" w:line="151" w:lineRule="exact"/>
        <w:rPr>
          <w:rFonts w:ascii="Times New Roman" w:cs="Times New Roman" w:eastAsia="Times New Roman" w:hAnsi="Times New Roman"/>
          <w:sz w:val="30"/>
          <w:szCs w:val="30"/>
          <w:color w:val="auto"/>
          <w:vertAlign w:val="superscript"/>
        </w:rPr>
      </w:pPr>
    </w:p>
    <w:p>
      <w:pPr>
        <w:jc w:val="both"/>
        <w:ind w:left="2400" w:right="1279" w:hanging="259"/>
        <w:spacing w:after="0"/>
        <w:tabs>
          <w:tab w:leader="none" w:pos="2400" w:val="left"/>
        </w:tabs>
        <w:numPr>
          <w:ilvl w:val="1"/>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Consummation of an agreement (including, without limitation, an agreement of liquidation) to sell or otherwise dispose of all or substantially all of the business or assets of the Company or the Bank; or</w:t>
      </w:r>
    </w:p>
    <w:p>
      <w:pPr>
        <w:spacing w:after="0" w:line="245" w:lineRule="exact"/>
        <w:rPr>
          <w:rFonts w:ascii="Times New Roman" w:cs="Times New Roman" w:eastAsia="Times New Roman" w:hAnsi="Times New Roman"/>
          <w:sz w:val="25"/>
          <w:szCs w:val="25"/>
          <w:color w:val="auto"/>
          <w:vertAlign w:val="superscript"/>
        </w:rPr>
      </w:pPr>
    </w:p>
    <w:p>
      <w:pPr>
        <w:jc w:val="both"/>
        <w:ind w:left="2400" w:right="1279" w:hanging="259"/>
        <w:spacing w:after="0" w:line="231" w:lineRule="auto"/>
        <w:tabs>
          <w:tab w:leader="none" w:pos="2400" w:val="left"/>
        </w:tabs>
        <w:numPr>
          <w:ilvl w:val="1"/>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Individuals who, as of the date hereof, constitute the Board of Directors of the Company (the “Incumbent Board”) cease for any reason during any 12 month period to constitute at least a majority of the Board, provided that any person becoming a director subsequent to the date hereof whose election or nomination for election by the stockholders of the Company is approved by a vote of at least a majority of directors then constituting the Incumbent Board shall be, for purposes of this Agreement, considered as though such person were a member of the Incumbent Board.</w:t>
      </w:r>
    </w:p>
    <w:p>
      <w:pPr>
        <w:spacing w:after="0" w:line="148" w:lineRule="exact"/>
        <w:rPr>
          <w:sz w:val="20"/>
          <w:szCs w:val="20"/>
          <w:color w:val="auto"/>
        </w:rPr>
      </w:pPr>
    </w:p>
    <w:p>
      <w:pPr>
        <w:jc w:val="both"/>
        <w:ind w:left="2180" w:right="1259"/>
        <w:spacing w:after="0" w:line="252" w:lineRule="auto"/>
        <w:rPr>
          <w:sz w:val="20"/>
          <w:szCs w:val="20"/>
          <w:color w:val="auto"/>
        </w:rPr>
      </w:pPr>
      <w:r>
        <w:rPr>
          <w:rFonts w:ascii="Times New Roman" w:cs="Times New Roman" w:eastAsia="Times New Roman" w:hAnsi="Times New Roman"/>
          <w:sz w:val="15"/>
          <w:szCs w:val="15"/>
          <w:color w:val="auto"/>
        </w:rPr>
        <w:t>Notwithstanding the foregoing, no event shall constitute a Change in Control unless such event shall also constitute a change in control as defined in Section 409A of the Internal Revenue Code of 1986, as amended.</w:t>
      </w:r>
    </w:p>
    <w:p>
      <w:pPr>
        <w:sectPr>
          <w:pgSz w:w="11900" w:h="16838" w:orient="portrait"/>
          <w:cols w:equalWidth="0" w:num="1">
            <w:col w:w="9019"/>
          </w:cols>
          <w:pgMar w:left="1440" w:top="1234" w:right="1440" w:bottom="1440" w:gutter="0" w:footer="0" w:header="0"/>
        </w:sectPr>
      </w:pPr>
    </w:p>
    <w:bookmarkStart w:id="143" w:name="page144"/>
    <w:bookmarkEnd w:id="143"/>
    <w:p>
      <w:pPr>
        <w:jc w:val="both"/>
        <w:ind w:left="2140" w:right="1279" w:hanging="490"/>
        <w:spacing w:after="0" w:line="203" w:lineRule="auto"/>
        <w:tabs>
          <w:tab w:leader="none" w:pos="214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Severability.</w:t>
      </w:r>
      <w:r>
        <w:rPr>
          <w:rFonts w:ascii="Times New Roman" w:cs="Times New Roman" w:eastAsia="Times New Roman" w:hAnsi="Times New Roman"/>
          <w:sz w:val="15"/>
          <w:szCs w:val="15"/>
          <w:color w:val="auto"/>
        </w:rPr>
        <w:t xml:space="preserve"> Should any provision of this Agreement be declared or determined by any court of competent jurisdiction to be unenforceable or invalid for any reason, the validity of the remaining parts, term or provisions of this Agreement shall not be affected thereby and the invalid or unenforceable part, term or provision shall be deemed not to be a part of this Agreement.</w:t>
      </w:r>
    </w:p>
    <w:p>
      <w:pPr>
        <w:spacing w:after="0" w:line="148" w:lineRule="exact"/>
        <w:rPr>
          <w:rFonts w:ascii="Times New Roman" w:cs="Times New Roman" w:eastAsia="Times New Roman" w:hAnsi="Times New Roman"/>
          <w:sz w:val="30"/>
          <w:szCs w:val="30"/>
          <w:color w:val="auto"/>
          <w:vertAlign w:val="superscript"/>
        </w:rPr>
      </w:pPr>
    </w:p>
    <w:p>
      <w:pPr>
        <w:ind w:left="2140" w:right="1279" w:hanging="490"/>
        <w:spacing w:after="0" w:line="209" w:lineRule="auto"/>
        <w:tabs>
          <w:tab w:leader="none" w:pos="214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Applicable Law/Forum</w:t>
      </w:r>
      <w:r>
        <w:rPr>
          <w:rFonts w:ascii="Times New Roman" w:cs="Times New Roman" w:eastAsia="Times New Roman" w:hAnsi="Times New Roman"/>
          <w:sz w:val="15"/>
          <w:szCs w:val="15"/>
          <w:color w:val="auto"/>
        </w:rPr>
        <w:t>. This Agreement has been entered into and shall be governed by and construed under the internal laws of the State of Florida, without regard to conflicts of laws or principles. All suits, proceedings and other actions relating to, arising out of or in connection with this Agreement will be submitted solely to the in personam jurisdiction of the United States District Court for the Southern District of Florida (“Federal Court”) or to the Circuit Court in Broward County or MiamiDade­ County. Executive hereby waives any claims against or objections to such in personam jurisdiction and venue.</w:t>
      </w:r>
    </w:p>
    <w:p>
      <w:pPr>
        <w:spacing w:after="0" w:line="153" w:lineRule="exact"/>
        <w:rPr>
          <w:rFonts w:ascii="Times New Roman" w:cs="Times New Roman" w:eastAsia="Times New Roman" w:hAnsi="Times New Roman"/>
          <w:sz w:val="30"/>
          <w:szCs w:val="30"/>
          <w:color w:val="auto"/>
          <w:vertAlign w:val="superscript"/>
        </w:rPr>
      </w:pPr>
    </w:p>
    <w:p>
      <w:pPr>
        <w:jc w:val="both"/>
        <w:ind w:left="2140" w:right="1279" w:hanging="490"/>
        <w:spacing w:after="0" w:line="213" w:lineRule="auto"/>
        <w:tabs>
          <w:tab w:leader="none" w:pos="214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xml:space="preserve"> All notices and other communications hereunder shall be in writing and shall be deemed to have been given only if and when personally delivered or three (3) business days after mailing, postage prepaid, registered or certified mail, or when delivered (and receipted for) by an express delivery service, addressed in each case as follows. As to notices provided to the Bank, notices shall be sent to the Human Resources Department at the address of the Bank listed in the introductory paragraph of this Agreement. As to notices to Executive, notices shall be sent to the address provided below in the signature block hereto. Executive and the Bank may change the address for the giving of notices.</w:t>
      </w:r>
    </w:p>
    <w:p>
      <w:pPr>
        <w:spacing w:after="0" w:line="147" w:lineRule="exact"/>
        <w:rPr>
          <w:rFonts w:ascii="Times New Roman" w:cs="Times New Roman" w:eastAsia="Times New Roman" w:hAnsi="Times New Roman"/>
          <w:sz w:val="30"/>
          <w:szCs w:val="30"/>
          <w:color w:val="auto"/>
          <w:vertAlign w:val="superscript"/>
        </w:rPr>
      </w:pPr>
    </w:p>
    <w:p>
      <w:pPr>
        <w:jc w:val="both"/>
        <w:ind w:left="2140" w:right="1279" w:hanging="490"/>
        <w:spacing w:after="0" w:line="214" w:lineRule="auto"/>
        <w:tabs>
          <w:tab w:leader="none" w:pos="214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Complete Agreement.</w:t>
      </w:r>
      <w:r>
        <w:rPr>
          <w:rFonts w:ascii="Times New Roman" w:cs="Times New Roman" w:eastAsia="Times New Roman" w:hAnsi="Times New Roman"/>
          <w:sz w:val="15"/>
          <w:szCs w:val="15"/>
          <w:color w:val="auto"/>
        </w:rPr>
        <w:t xml:space="preserve"> This Agreement represents the complete agreement between Executive and the Bank regarding the subject matter of this Agreement. All prior agreements between the Bank and Executive with respect to the specific matters agreed to herein are hereby superseded and shall have no force or effect. This Agreement is in no way dependent upon the performance of any other contract or agreement that may have been or may be entered into between Executive and the Bank and remains in effect during the pendency of this Agreement. As such, the breach or alleged breach of any other contract or agreement is no defense to enforcement of this Agreement.</w:t>
      </w:r>
    </w:p>
    <w:p>
      <w:pPr>
        <w:spacing w:after="0" w:line="152" w:lineRule="exact"/>
        <w:rPr>
          <w:rFonts w:ascii="Times New Roman" w:cs="Times New Roman" w:eastAsia="Times New Roman" w:hAnsi="Times New Roman"/>
          <w:sz w:val="30"/>
          <w:szCs w:val="30"/>
          <w:color w:val="auto"/>
          <w:vertAlign w:val="superscript"/>
        </w:rPr>
      </w:pPr>
    </w:p>
    <w:p>
      <w:pPr>
        <w:jc w:val="both"/>
        <w:ind w:left="2140" w:right="1339" w:hanging="490"/>
        <w:spacing w:after="0" w:line="225" w:lineRule="auto"/>
        <w:tabs>
          <w:tab w:leader="none" w:pos="2140" w:val="left"/>
        </w:tabs>
        <w:numPr>
          <w:ilvl w:val="0"/>
          <w:numId w:val="7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u w:val="single" w:color="auto"/>
          <w:color w:val="auto"/>
        </w:rPr>
        <w:t>Amendments in Writing</w:t>
      </w:r>
      <w:r>
        <w:rPr>
          <w:rFonts w:ascii="Times New Roman" w:cs="Times New Roman" w:eastAsia="Times New Roman" w:hAnsi="Times New Roman"/>
          <w:sz w:val="14"/>
          <w:szCs w:val="14"/>
          <w:color w:val="auto"/>
        </w:rPr>
        <w:t>. No amendment, modification, waiver, or other change to this Agreement shall in any event be effective unless the same shall be in writing, specifically identifying this Agreement and the provision intended to be changed and signed by the Bank and Executive, and each such change shall be effective only in the specific instance and for the specific purpose for which it is given. No provision of this Agreement shall be varied, contradicted or explained by any oral agreement, course of dealing or performance or any other matter not set forth in an agreement in writing and signed by Executive and the Bank.</w:t>
      </w:r>
    </w:p>
    <w:p>
      <w:pPr>
        <w:spacing w:after="0" w:line="147" w:lineRule="exact"/>
        <w:rPr>
          <w:rFonts w:ascii="Times New Roman" w:cs="Times New Roman" w:eastAsia="Times New Roman" w:hAnsi="Times New Roman"/>
          <w:sz w:val="28"/>
          <w:szCs w:val="28"/>
          <w:color w:val="auto"/>
          <w:vertAlign w:val="superscript"/>
        </w:rPr>
      </w:pPr>
    </w:p>
    <w:p>
      <w:pPr>
        <w:jc w:val="both"/>
        <w:ind w:left="2140" w:right="1339" w:hanging="490"/>
        <w:spacing w:after="0" w:line="239" w:lineRule="auto"/>
        <w:tabs>
          <w:tab w:leader="none" w:pos="2140" w:val="left"/>
        </w:tabs>
        <w:numPr>
          <w:ilvl w:val="0"/>
          <w:numId w:val="7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u w:val="single" w:color="auto"/>
          <w:color w:val="auto"/>
        </w:rPr>
        <w:t>Term of the Agreement</w:t>
      </w:r>
      <w:r>
        <w:rPr>
          <w:rFonts w:ascii="Times New Roman" w:cs="Times New Roman" w:eastAsia="Times New Roman" w:hAnsi="Times New Roman"/>
          <w:sz w:val="14"/>
          <w:szCs w:val="14"/>
          <w:color w:val="auto"/>
        </w:rPr>
        <w:t>. Subject to the terms hereof, the term of this Agreement shall commence on the date hereof and terminate on December 31, 2028 (the “Initial Term”). Prior to December 31, 2026 (the “Extension Anniversary Date”) and each annual anniversary thereafter of the Extension Anniversary Date, the Board of Directors of the Bank or the Compensation Committee thereof shall consider and review (with appropriate corporate documentation thereof, and after taking into account all relevant factors, including Executive’s performance hereunder) a one-year extension of the term of this Agreement. If the Board of Directors or the Compensation Committee thereof approve such an extension, then the term of this Agreement shall be so extended as of the Extension Anniversary Date or any relevant annual anniversary of such date unless Executive gives written notice to the Bank of Executive’s election not to extend the term, with such written notice to be given not less than thirty (30) days prior to the Extension Anniversary Date or any relevant annual anniversary of such date. If the Board of Directors elects not to extend the term, it shall give written notice of such decision to Executive not less than thirty (30) days prior to the Extension Anniversary Date or any annual anniversary of such date. If any party gives timely notice that the term will not be extended as of the Extension Anniversary Date or any annual</w:t>
      </w: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238" w:right="1440" w:bottom="1440" w:gutter="0" w:footer="0" w:header="0"/>
        </w:sectPr>
      </w:pPr>
    </w:p>
    <w:bookmarkStart w:id="144" w:name="page145"/>
    <w:bookmarkEnd w:id="144"/>
    <w:p>
      <w:pPr>
        <w:jc w:val="both"/>
        <w:ind w:left="2140" w:right="1339"/>
        <w:spacing w:after="0" w:line="24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anniversary of such date, then this Agreement and the rights and obligations provided herein shall terminate at the conclusion of its remaining term. References herein to the term of this Agreement shall refer both to the Initial Term and successive terms as the term of this Agreement is extended in accordance with the terms hereof.</w:t>
      </w:r>
    </w:p>
    <w:p>
      <w:pPr>
        <w:spacing w:after="0" w:line="139" w:lineRule="exact"/>
        <w:rPr>
          <w:sz w:val="20"/>
          <w:szCs w:val="20"/>
          <w:color w:val="auto"/>
        </w:rPr>
      </w:pPr>
    </w:p>
    <w:p>
      <w:pPr>
        <w:jc w:val="both"/>
        <w:ind w:left="2140" w:right="1339" w:hanging="490"/>
        <w:spacing w:after="0" w:line="183" w:lineRule="auto"/>
        <w:tabs>
          <w:tab w:leader="none" w:pos="214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Regulatory Actions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following provisions shall be applicable to the parties hereto or any successor thereto, and shall be controlling in the event of a conflict with any other provision of this Agreement, including without limitation Section 1 hereof:</w:t>
      </w:r>
    </w:p>
    <w:p>
      <w:pPr>
        <w:spacing w:after="0" w:line="160"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4" w:lineRule="auto"/>
        <w:tabs>
          <w:tab w:leader="none" w:pos="2400" w:val="left"/>
        </w:tabs>
        <w:numPr>
          <w:ilvl w:val="1"/>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suspended from office and/or temporarily prohibited from participating in the conduct of the Bank’s affairs pursuant to notice served under Section 8(e)(3) or Section 8(g)(1) of the Federal Deposit Insurance Act (“FDIA”)(12 U.S.C. §§1818(e)(3) and 1818(g)(1)), the Bank’s obligations under this Agreement shall be suspended as of the date of service, unless stayed by appropriate proceedings. If the charges in the notice are dismissed, the Bank will: (i) pay Executive all or part of the compensation withheld while its obligations under this Agreement were suspended, and (ii) reinstate (in whole or in part) any of its obligations which were suspended.</w:t>
      </w:r>
    </w:p>
    <w:p>
      <w:pPr>
        <w:spacing w:after="0" w:line="162" w:lineRule="exact"/>
        <w:rPr>
          <w:rFonts w:ascii="Times New Roman" w:cs="Times New Roman" w:eastAsia="Times New Roman" w:hAnsi="Times New Roman"/>
          <w:sz w:val="30"/>
          <w:szCs w:val="30"/>
          <w:color w:val="auto"/>
          <w:vertAlign w:val="superscript"/>
        </w:rPr>
      </w:pPr>
    </w:p>
    <w:p>
      <w:pPr>
        <w:jc w:val="both"/>
        <w:ind w:left="2400" w:right="1279" w:hanging="259"/>
        <w:spacing w:after="0" w:line="203" w:lineRule="auto"/>
        <w:tabs>
          <w:tab w:leader="none" w:pos="2400" w:val="left"/>
        </w:tabs>
        <w:numPr>
          <w:ilvl w:val="1"/>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If Executive is removed from office and/or permanently prohibited from participating in the conduct of the Bank’s affairs by an order issued under Section 8(e)(4) or Section 8(g)(1) of the FDIA (12 U.S.C. §§1818(e)(4) and (g)(1)), all obligations of the Bank under this Agreement shall terminate as of the effective date of the order, but vested rights of Executive and the Bank as of the date of termination shall not be affected.</w:t>
      </w:r>
    </w:p>
    <w:p>
      <w:pPr>
        <w:spacing w:after="0" w:line="148" w:lineRule="exact"/>
        <w:rPr>
          <w:rFonts w:ascii="Times New Roman" w:cs="Times New Roman" w:eastAsia="Times New Roman" w:hAnsi="Times New Roman"/>
          <w:sz w:val="30"/>
          <w:szCs w:val="30"/>
          <w:color w:val="auto"/>
          <w:vertAlign w:val="superscript"/>
        </w:rPr>
      </w:pPr>
    </w:p>
    <w:p>
      <w:pPr>
        <w:jc w:val="both"/>
        <w:ind w:left="2400" w:right="1279" w:hanging="259"/>
        <w:spacing w:after="0" w:line="219" w:lineRule="auto"/>
        <w:tabs>
          <w:tab w:leader="none" w:pos="2400" w:val="left"/>
        </w:tabs>
        <w:numPr>
          <w:ilvl w:val="1"/>
          <w:numId w:val="7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If the Bank is in default, as defined in Section 3(x)(1) of the FDIA (12 U.S.C. §1813(x)(1)), all obligations under this Agreement shall terminate as of the date of default, but vested rights of Executive and the Bank as of the date of termination shall not be affected.</w:t>
      </w:r>
    </w:p>
    <w:p>
      <w:pPr>
        <w:spacing w:after="0" w:line="147" w:lineRule="exact"/>
        <w:rPr>
          <w:rFonts w:ascii="Times New Roman" w:cs="Times New Roman" w:eastAsia="Times New Roman" w:hAnsi="Times New Roman"/>
          <w:sz w:val="25"/>
          <w:szCs w:val="25"/>
          <w:color w:val="auto"/>
          <w:vertAlign w:val="superscript"/>
        </w:rPr>
      </w:pPr>
    </w:p>
    <w:p>
      <w:pPr>
        <w:jc w:val="both"/>
        <w:ind w:left="2400" w:right="1279" w:hanging="259"/>
        <w:spacing w:after="0" w:line="289" w:lineRule="auto"/>
        <w:tabs>
          <w:tab w:leader="none" w:pos="2400" w:val="left"/>
        </w:tabs>
        <w:numPr>
          <w:ilvl w:val="1"/>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Notwithstanding any other provision of this Agreement to the contrary, any payments made to Executive pursuant to this Agreement, or otherwise, are subject to and conditioned upon their compliance with Section 18(k) of the FDIA (12 U.S.C. §1828(k)) and 12 C.F.R. Part 359.</w:t>
      </w:r>
    </w:p>
    <w:p>
      <w:pPr>
        <w:spacing w:after="0" w:line="116" w:lineRule="exact"/>
        <w:rPr>
          <w:rFonts w:ascii="Times New Roman" w:cs="Times New Roman" w:eastAsia="Times New Roman" w:hAnsi="Times New Roman"/>
          <w:sz w:val="26"/>
          <w:szCs w:val="26"/>
          <w:color w:val="auto"/>
          <w:vertAlign w:val="superscript"/>
        </w:rPr>
      </w:pPr>
    </w:p>
    <w:p>
      <w:pPr>
        <w:jc w:val="both"/>
        <w:ind w:left="2140" w:right="1359" w:hanging="490"/>
        <w:spacing w:after="0" w:line="193" w:lineRule="auto"/>
        <w:tabs>
          <w:tab w:leader="none" w:pos="214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Nature of Obligations.</w:t>
      </w:r>
      <w:r>
        <w:rPr>
          <w:rFonts w:ascii="Times New Roman" w:cs="Times New Roman" w:eastAsia="Times New Roman" w:hAnsi="Times New Roman"/>
          <w:sz w:val="15"/>
          <w:szCs w:val="15"/>
          <w:color w:val="auto"/>
        </w:rPr>
        <w:t xml:space="preserve"> Nothing contained herein shall be deemed to create other than a terminable at will employment relationship between the Bank and Executive, and the Bank may terminate Executive’s employment at any time, subject to providing any payments specified herein in accordance with the terms hereof.</w:t>
      </w:r>
    </w:p>
    <w:p>
      <w:pPr>
        <w:spacing w:after="0" w:line="149" w:lineRule="exact"/>
        <w:rPr>
          <w:rFonts w:ascii="Times New Roman" w:cs="Times New Roman" w:eastAsia="Times New Roman" w:hAnsi="Times New Roman"/>
          <w:sz w:val="30"/>
          <w:szCs w:val="30"/>
          <w:color w:val="auto"/>
          <w:vertAlign w:val="superscript"/>
        </w:rPr>
      </w:pPr>
    </w:p>
    <w:p>
      <w:pPr>
        <w:jc w:val="both"/>
        <w:ind w:left="2140" w:right="1339" w:hanging="490"/>
        <w:spacing w:after="0" w:line="196" w:lineRule="auto"/>
        <w:tabs>
          <w:tab w:leader="none" w:pos="214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u w:val="single" w:color="auto"/>
          <w:color w:val="auto"/>
        </w:rPr>
        <w:t>Acknowledgment</w:t>
      </w:r>
      <w:r>
        <w:rPr>
          <w:rFonts w:ascii="Times New Roman" w:cs="Times New Roman" w:eastAsia="Times New Roman" w:hAnsi="Times New Roman"/>
          <w:sz w:val="15"/>
          <w:szCs w:val="15"/>
          <w:color w:val="auto"/>
        </w:rPr>
        <w:t>. Executive acknowledges that Executive has read this Agreement in full and completely understands all of its terms and obligations and enters into this Agreement freely and voluntarily, and after having the opportunity to consult with representatives of Executive's own choosing and that Executive's agreement is freely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238" w:right="1440" w:bottom="1440" w:gutter="0" w:footer="0" w:header="0"/>
        </w:sectPr>
      </w:pPr>
    </w:p>
    <w:bookmarkStart w:id="145" w:name="page146"/>
    <w:bookmarkEnd w:id="145"/>
    <w:p>
      <w:pPr>
        <w:ind w:left="1340" w:right="1279" w:firstLine="49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IN WITNESS WHEREOF, the parties hereto have duly executed this Agreement as of the date first above mentioned.</w:t>
      </w:r>
    </w:p>
    <w:p>
      <w:pPr>
        <w:spacing w:after="0" w:line="135" w:lineRule="exact"/>
        <w:rPr>
          <w:sz w:val="20"/>
          <w:szCs w:val="20"/>
          <w:color w:val="auto"/>
        </w:rPr>
      </w:pPr>
    </w:p>
    <w:tbl>
      <w:tblPr>
        <w:tblLayout w:type="fixed"/>
        <w:tblInd w:w="1680" w:type="dxa"/>
        <w:tblCellMar>
          <w:top w:w="0" w:type="dxa"/>
          <w:left w:w="0" w:type="dxa"/>
          <w:bottom w:w="0" w:type="dxa"/>
          <w:right w:w="0" w:type="dxa"/>
        </w:tblCellMar>
      </w:tblPr>
      <w:tr>
        <w:trPr>
          <w:trHeight w:val="198"/>
        </w:trPr>
        <w:tc>
          <w:tcPr>
            <w:tcW w:w="308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U.S. Century Bank</w:t>
            </w:r>
          </w:p>
        </w:tc>
        <w:tc>
          <w:tcPr>
            <w:tcW w:w="23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308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color w:val="483D3B"/>
              </w:rPr>
              <w:t>/s/Jessica Goldber</w:t>
            </w:r>
            <w:r>
              <w:rPr>
                <w:rFonts w:ascii="Times New Roman" w:cs="Times New Roman" w:eastAsia="Times New Roman" w:hAnsi="Times New Roman"/>
                <w:sz w:val="15"/>
                <w:szCs w:val="15"/>
                <w:color w:val="auto"/>
              </w:rPr>
              <w:t>g</w:t>
            </w:r>
          </w:p>
        </w:tc>
        <w:tc>
          <w:tcPr>
            <w:tcW w:w="23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/s/Martha Guerra-Kattou</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shd w:val="clear" w:color="auto" w:fill="483D3B"/>
          </w:tcPr>
          <w:p>
            <w:pPr>
              <w:spacing w:after="0" w:line="20" w:lineRule="exact"/>
              <w:rPr>
                <w:sz w:val="1"/>
                <w:szCs w:val="1"/>
                <w:color w:val="auto"/>
              </w:rPr>
            </w:pPr>
          </w:p>
        </w:tc>
        <w:tc>
          <w:tcPr>
            <w:tcW w:w="120" w:type="dxa"/>
            <w:vAlign w:val="bottom"/>
            <w:shd w:val="clear" w:color="auto" w:fill="483D3B"/>
          </w:tcPr>
          <w:p>
            <w:pPr>
              <w:spacing w:after="0" w:line="20" w:lineRule="exact"/>
              <w:rPr>
                <w:sz w:val="1"/>
                <w:szCs w:val="1"/>
                <w:color w:val="auto"/>
              </w:rPr>
            </w:pPr>
          </w:p>
        </w:tc>
        <w:tc>
          <w:tcPr>
            <w:tcW w:w="820" w:type="dxa"/>
            <w:vAlign w:val="bottom"/>
            <w:shd w:val="clear" w:color="auto" w:fill="483D3B"/>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308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 xml:space="preserve">Title: </w:t>
            </w:r>
            <w:r>
              <w:rPr>
                <w:rFonts w:ascii="Times New Roman" w:cs="Times New Roman" w:eastAsia="Times New Roman" w:hAnsi="Times New Roman"/>
                <w:sz w:val="15"/>
                <w:szCs w:val="15"/>
                <w:color w:val="483D3B"/>
              </w:rPr>
              <w:t>Senior Vice President/Director of</w:t>
            </w:r>
          </w:p>
        </w:tc>
        <w:tc>
          <w:tcPr>
            <w:tcW w:w="23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Print Name: Martha Guerra-Kattou</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483D3B"/>
          </w:tcPr>
          <w:p>
            <w:pPr>
              <w:spacing w:after="0" w:line="20" w:lineRule="exact"/>
              <w:rPr>
                <w:sz w:val="1"/>
                <w:szCs w:val="1"/>
                <w:color w:val="auto"/>
              </w:rPr>
            </w:pPr>
          </w:p>
        </w:tc>
        <w:tc>
          <w:tcPr>
            <w:tcW w:w="1080" w:type="dxa"/>
            <w:vAlign w:val="bottom"/>
            <w:gridSpan w:val="2"/>
            <w:shd w:val="clear" w:color="auto" w:fill="483D3B"/>
          </w:tcPr>
          <w:p>
            <w:pPr>
              <w:spacing w:after="0" w:line="20" w:lineRule="exact"/>
              <w:rPr>
                <w:sz w:val="1"/>
                <w:szCs w:val="1"/>
                <w:color w:val="auto"/>
              </w:rPr>
            </w:pPr>
          </w:p>
        </w:tc>
        <w:tc>
          <w:tcPr>
            <w:tcW w:w="800" w:type="dxa"/>
            <w:vAlign w:val="bottom"/>
            <w:gridSpan w:val="2"/>
            <w:shd w:val="clear" w:color="auto" w:fill="483D3B"/>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4"/>
          </w:tcPr>
          <w:p>
            <w:pPr>
              <w:spacing w:after="0" w:line="151" w:lineRule="exact"/>
              <w:rPr>
                <w:sz w:val="20"/>
                <w:szCs w:val="20"/>
                <w:color w:val="auto"/>
              </w:rPr>
            </w:pPr>
            <w:r>
              <w:rPr>
                <w:rFonts w:ascii="Times New Roman" w:cs="Times New Roman" w:eastAsia="Times New Roman" w:hAnsi="Times New Roman"/>
                <w:sz w:val="15"/>
                <w:szCs w:val="15"/>
                <w:color w:val="483D3B"/>
              </w:rPr>
              <w:t>Human Resources</w:t>
            </w:r>
          </w:p>
        </w:tc>
        <w:tc>
          <w:tcPr>
            <w:tcW w:w="680" w:type="dxa"/>
            <w:vAlign w:val="bottom"/>
            <w:vMerge w:val="continue"/>
          </w:tcPr>
          <w:p>
            <w:pPr>
              <w:spacing w:after="0"/>
              <w:rPr>
                <w:sz w:val="13"/>
                <w:szCs w:val="13"/>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Address: [Redacted]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483D3B"/>
            </w:tcBorders>
          </w:tcPr>
          <w:p>
            <w:pPr>
              <w:spacing w:after="0"/>
              <w:rPr>
                <w:sz w:val="13"/>
                <w:szCs w:val="13"/>
                <w:color w:val="auto"/>
              </w:rPr>
            </w:pPr>
          </w:p>
        </w:tc>
        <w:tc>
          <w:tcPr>
            <w:tcW w:w="260" w:type="dxa"/>
            <w:vAlign w:val="bottom"/>
            <w:tcBorders>
              <w:top w:val="single" w:sz="8" w:color="483D3B"/>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238" w:right="1440" w:bottom="1440" w:gutter="0" w:footer="0" w:header="0"/>
        </w:sectPr>
      </w:pPr>
    </w:p>
    <w:bookmarkStart w:id="146" w:name="page147"/>
    <w:bookmarkEnd w:id="146"/>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SUBSIDIARY LIST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Subsidiary of USCB Financial Holdings, Inc.: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U.S. Century Bank, a Florida chartered banking corporation.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Subsidiary of U.S. Century Bank:</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Florida Peninsula Title LLC</w:t>
      </w:r>
    </w:p>
    <w:p>
      <w:pPr>
        <w:sectPr>
          <w:pgSz w:w="11900" w:h="16838" w:orient="portrait"/>
          <w:cols w:equalWidth="0" w:num="1">
            <w:col w:w="9019"/>
          </w:cols>
          <w:pgMar w:left="1440" w:top="723" w:right="1440" w:bottom="1440" w:gutter="0" w:footer="0" w:header="0"/>
        </w:sectPr>
      </w:pPr>
    </w:p>
    <w:bookmarkStart w:id="147" w:name="page148"/>
    <w:bookmarkEnd w:id="147"/>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70" w:lineRule="exact"/>
        <w:rPr>
          <w:sz w:val="20"/>
          <w:szCs w:val="20"/>
          <w:color w:val="auto"/>
        </w:rPr>
      </w:pPr>
    </w:p>
    <w:p>
      <w:pPr>
        <w:ind w:left="660" w:right="739"/>
        <w:spacing w:after="0" w:line="256" w:lineRule="auto"/>
        <w:rPr>
          <w:sz w:val="20"/>
          <w:szCs w:val="20"/>
          <w:color w:val="auto"/>
        </w:rPr>
      </w:pPr>
      <w:r>
        <w:rPr>
          <w:rFonts w:ascii="Arial" w:cs="Arial" w:eastAsia="Arial" w:hAnsi="Arial"/>
          <w:sz w:val="14"/>
          <w:szCs w:val="14"/>
          <w:color w:val="auto"/>
        </w:rPr>
        <w:t>We consent to the incorporation by reference in the registration statement on Form S-8 (333-265498), Form S-3 (No 333-286940), and From -4 (No 333-291367) of USCB Financial Holdings, Inc. of our report dated March 13, 2026, related to the consolidated financial statements appearing in this Annual Report on Form 10-K of USCB Financial Holdings,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 Crowe LLP</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Fort Lauderdale, Florida</w:t>
      </w:r>
    </w:p>
    <w:p>
      <w:pPr>
        <w:ind w:left="660"/>
        <w:spacing w:after="0"/>
        <w:rPr>
          <w:sz w:val="20"/>
          <w:szCs w:val="20"/>
          <w:color w:val="auto"/>
        </w:rPr>
      </w:pPr>
      <w:r>
        <w:rPr>
          <w:rFonts w:ascii="Arial" w:cs="Arial" w:eastAsia="Arial" w:hAnsi="Arial"/>
          <w:sz w:val="14"/>
          <w:szCs w:val="14"/>
          <w:color w:val="auto"/>
        </w:rPr>
        <w:t>March 13, 2026</w:t>
      </w:r>
    </w:p>
    <w:p>
      <w:pPr>
        <w:sectPr>
          <w:pgSz w:w="11900" w:h="16838" w:orient="portrait"/>
          <w:cols w:equalWidth="0" w:num="1">
            <w:col w:w="9019"/>
          </w:cols>
          <w:pgMar w:left="1440" w:top="723" w:right="1440" w:bottom="1440" w:gutter="0" w:footer="0" w:header="0"/>
        </w:sectPr>
      </w:pPr>
    </w:p>
    <w:bookmarkStart w:id="148" w:name="page149"/>
    <w:bookmarkEnd w:id="148"/>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57" w:lineRule="auto"/>
        <w:tabs>
          <w:tab w:leader="none" w:pos="639"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7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4"/>
          <w:szCs w:val="14"/>
          <w:color w:val="auto"/>
        </w:rPr>
      </w:pPr>
    </w:p>
    <w:p>
      <w:pPr>
        <w:ind w:left="1180" w:right="679" w:hanging="261"/>
        <w:spacing w:after="0" w:line="292" w:lineRule="auto"/>
        <w:tabs>
          <w:tab w:leader="none" w:pos="11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3/13/2026</w:t>
      </w:r>
    </w:p>
    <w:p>
      <w:pPr>
        <w:sectPr>
          <w:pgSz w:w="11900" w:h="16838" w:orient="portrait"/>
          <w:cols w:equalWidth="0" w:num="1">
            <w:col w:w="9019"/>
          </w:cols>
          <w:pgMar w:left="1440" w:top="723" w:right="1440" w:bottom="1440" w:gutter="0" w:footer="0" w:header="0"/>
        </w:sectPr>
      </w:pPr>
    </w:p>
    <w:bookmarkStart w:id="149" w:name="page150"/>
    <w:bookmarkEnd w:id="149"/>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40" w:hanging="233"/>
        <w:spacing w:after="0"/>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7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68" w:val="left"/>
        </w:tabs>
        <w:numPr>
          <w:ilvl w:val="1"/>
          <w:numId w:val="7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3/13/2026</w:t>
      </w:r>
    </w:p>
    <w:p>
      <w:pPr>
        <w:sectPr>
          <w:pgSz w:w="11900" w:h="16838" w:orient="portrait"/>
          <w:cols w:equalWidth="0" w:num="1">
            <w:col w:w="9019"/>
          </w:cols>
          <w:pgMar w:left="1440" w:top="723" w:right="1440" w:bottom="1440" w:gutter="0" w:footer="0" w:header="0"/>
        </w:sectPr>
      </w:pPr>
    </w:p>
    <w:bookmarkStart w:id="150" w:name="page151"/>
    <w:bookmarkEnd w:id="150"/>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2025 (the “Report”), as filed with the Securities and Exchange Commission on the date hereof (the “Report”), I, Luis de la Aguilera, as President and Chief Executive Officer of the Company, certify, to the best of my knowledge, pursuant to 18 U.S.C. §1350, as adopted pursuant to Section 906 of the Sarbanes-Oxley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3/13/2026</w:t>
      </w:r>
    </w:p>
    <w:p>
      <w:pPr>
        <w:sectPr>
          <w:pgSz w:w="11900" w:h="16838" w:orient="portrait"/>
          <w:cols w:equalWidth="0" w:num="1">
            <w:col w:w="9019"/>
          </w:cols>
          <w:pgMar w:left="1440" w:top="723" w:right="1440" w:bottom="1440" w:gutter="0" w:footer="0" w:header="0"/>
        </w:sectPr>
      </w:pPr>
    </w:p>
    <w:bookmarkStart w:id="151" w:name="page152"/>
    <w:bookmarkEnd w:id="151"/>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2025 (the “Report”), as filed with the Securities and Exchange Commission on the date hereof (the “Report”), I, Robert Anderson, as Chief Financial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56" w:lineRule="exact"/>
        <w:rPr>
          <w:sz w:val="20"/>
          <w:szCs w:val="20"/>
          <w:color w:val="auto"/>
        </w:rPr>
      </w:pPr>
    </w:p>
    <w:p>
      <w:pPr>
        <w:ind w:left="1440" w:right="679" w:hanging="265"/>
        <w:spacing w:after="0" w:line="276" w:lineRule="auto"/>
        <w:tabs>
          <w:tab w:leader="none" w:pos="1428"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3/13/2026</w:t>
      </w:r>
    </w:p>
    <w:p>
      <w:pPr>
        <w:sectPr>
          <w:pgSz w:w="11900" w:h="16838" w:orient="portrait"/>
          <w:cols w:equalWidth="0" w:num="1">
            <w:col w:w="9019"/>
          </w:cols>
          <w:pgMar w:left="1440" w:top="723" w:right="1440"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decimal"/>
      <w:start w:val="2"/>
    </w:lvl>
  </w:abstractNum>
  <w:abstractNum w:abstractNumId="33">
    <w:nsid w:val="1CF10FD8"/>
    <w:multiLevelType w:val="hybridMultilevel"/>
    <w:lvl w:ilvl="0">
      <w:lvlJc w:val="left"/>
      <w:lvlText w:val="%1."/>
      <w:numFmt w:val="decimal"/>
      <w:start w:val="3"/>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4"/>
    </w:lvl>
  </w:abstractNum>
  <w:abstractNum w:abstractNumId="36">
    <w:nsid w:val="47398C89"/>
    <w:multiLevelType w:val="hybridMultilevel"/>
    <w:lvl w:ilvl="0">
      <w:lvlJc w:val="left"/>
      <w:lvlText w:val="%1."/>
      <w:numFmt w:val="decimal"/>
      <w:start w:val="5"/>
    </w:lvl>
  </w:abstractNum>
  <w:abstractNum w:abstractNumId="37">
    <w:nsid w:val="354FE9F9"/>
    <w:multiLevelType w:val="hybridMultilevel"/>
    <w:lvl w:ilvl="0">
      <w:lvlJc w:val="left"/>
      <w:lvlText w:val="%1."/>
      <w:numFmt w:val="decimal"/>
      <w:start w:val="6"/>
    </w:lvl>
  </w:abstractNum>
  <w:abstractNum w:abstractNumId="38">
    <w:nsid w:val="15B5AF5C"/>
    <w:multiLevelType w:val="hybridMultilevel"/>
    <w:lvl w:ilvl="0">
      <w:lvlJc w:val="left"/>
      <w:lvlText w:val="(%1)"/>
      <w:numFmt w:val="decimal"/>
      <w:start w:val="154"/>
    </w:lvl>
    <w:lvl w:ilvl="1">
      <w:lvlJc w:val="left"/>
      <w:lvlText w:val="%2"/>
      <w:numFmt w:val="decimal"/>
      <w:start w:val="1"/>
    </w:lvl>
  </w:abstractNum>
  <w:abstractNum w:abstractNumId="39">
    <w:nsid w:val="741226BB"/>
    <w:multiLevelType w:val="hybridMultilevel"/>
    <w:lvl w:ilvl="0">
      <w:lvlJc w:val="left"/>
      <w:lvlText w:val="(%1)"/>
      <w:numFmt w:val="decimal"/>
      <w:start w:val="5"/>
    </w:lvl>
    <w:lvl w:ilvl="1">
      <w:lvlJc w:val="left"/>
      <w:lvlText w:val="%2"/>
      <w:numFmt w:val="decimal"/>
      <w:start w:val="1"/>
    </w:lvl>
  </w:abstractNum>
  <w:abstractNum w:abstractNumId="40">
    <w:nsid w:val="D34B6A8"/>
    <w:multiLevelType w:val="hybridMultilevel"/>
    <w:lvl w:ilvl="0">
      <w:lvlJc w:val="left"/>
      <w:lvlText w:val="(%1)"/>
      <w:numFmt w:val="decimal"/>
      <w:start w:val="9"/>
    </w:lvl>
  </w:abstractNum>
  <w:abstractNum w:abstractNumId="41">
    <w:nsid w:val="10233C99"/>
    <w:multiLevelType w:val="hybridMultilevel"/>
    <w:lvl w:ilvl="0">
      <w:lvlJc w:val="left"/>
      <w:lvlText w:val="%1."/>
      <w:numFmt w:val="decimal"/>
      <w:start w:val="7"/>
    </w:lvl>
  </w:abstractNum>
  <w:abstractNum w:abstractNumId="42">
    <w:nsid w:val="3F6AB60F"/>
    <w:multiLevelType w:val="hybridMultilevel"/>
    <w:lvl w:ilvl="0">
      <w:lvlJc w:val="left"/>
      <w:lvlText w:val="%1."/>
      <w:numFmt w:val="decimal"/>
      <w:start w:val="8"/>
    </w:lvl>
  </w:abstractNum>
  <w:abstractNum w:abstractNumId="43">
    <w:nsid w:val="61574095"/>
    <w:multiLevelType w:val="hybridMultilevel"/>
    <w:lvl w:ilvl="0">
      <w:lvlJc w:val="left"/>
      <w:lvlText w:val="%1."/>
      <w:numFmt w:val="decimal"/>
      <w:start w:val="9"/>
    </w:lvl>
  </w:abstractNum>
  <w:abstractNum w:abstractNumId="44">
    <w:nsid w:val="7E0C57B1"/>
    <w:multiLevelType w:val="hybridMultilevel"/>
    <w:lvl w:ilvl="0">
      <w:lvlJc w:val="left"/>
      <w:lvlText w:val="%1."/>
      <w:numFmt w:val="decimal"/>
      <w:start w:val="10"/>
    </w:lvl>
  </w:abstractNum>
  <w:abstractNum w:abstractNumId="45">
    <w:nsid w:val="77AE35EB"/>
    <w:multiLevelType w:val="hybridMultilevel"/>
    <w:lvl w:ilvl="0">
      <w:lvlJc w:val="left"/>
      <w:lvlText w:val="%1."/>
      <w:numFmt w:val="decimal"/>
      <w:start w:val="11"/>
    </w:lvl>
  </w:abstractNum>
  <w:abstractNum w:abstractNumId="46">
    <w:nsid w:val="579BE4F1"/>
    <w:multiLevelType w:val="hybridMultilevel"/>
    <w:lvl w:ilvl="0">
      <w:lvlJc w:val="left"/>
      <w:lvlText w:val="%1."/>
      <w:numFmt w:val="decimal"/>
      <w:start w:val="12"/>
    </w:lvl>
  </w:abstractNum>
  <w:abstractNum w:abstractNumId="47">
    <w:nsid w:val="310C50B3"/>
    <w:multiLevelType w:val="hybridMultilevel"/>
    <w:lvl w:ilvl="0">
      <w:lvlJc w:val="left"/>
      <w:lvlText w:val="%1."/>
      <w:numFmt w:val="decimal"/>
      <w:start w:val="13"/>
    </w:lvl>
  </w:abstractNum>
  <w:abstractNum w:abstractNumId="48">
    <w:nsid w:val="5FF87E05"/>
    <w:multiLevelType w:val="hybridMultilevel"/>
    <w:lvl w:ilvl="0">
      <w:lvlJc w:val="left"/>
      <w:lvlText w:val="%1."/>
      <w:numFmt w:val="decimal"/>
      <w:start w:val="14"/>
    </w:lvl>
  </w:abstractNum>
  <w:abstractNum w:abstractNumId="49">
    <w:nsid w:val="2F305DEF"/>
    <w:multiLevelType w:val="hybridMultilevel"/>
    <w:lvl w:ilvl="0">
      <w:lvlJc w:val="left"/>
      <w:lvlText w:val="%1."/>
      <w:numFmt w:val="decimal"/>
      <w:start w:val="15"/>
    </w:lvl>
  </w:abstractNum>
  <w:abstractNum w:abstractNumId="50">
    <w:nsid w:val="25A70BF7"/>
    <w:multiLevelType w:val="hybridMultilevel"/>
    <w:lvl w:ilvl="0">
      <w:lvlJc w:val="left"/>
      <w:lvlText w:val="%1."/>
      <w:numFmt w:val="decimal"/>
      <w:start w:val="16"/>
    </w:lvl>
  </w:abstractNum>
  <w:abstractNum w:abstractNumId="51">
    <w:nsid w:val="1DBABF00"/>
    <w:multiLevelType w:val="hybridMultilevel"/>
    <w:lvl w:ilvl="0">
      <w:lvlJc w:val="left"/>
      <w:lvlText w:val="%1."/>
      <w:numFmt w:val="decimal"/>
      <w:start w:val="17"/>
    </w:lvl>
  </w:abstractNum>
  <w:abstractNum w:abstractNumId="52">
    <w:nsid w:val="4AD084E9"/>
    <w:multiLevelType w:val="hybridMultilevel"/>
    <w:lvl w:ilvl="0">
      <w:lvlJc w:val="left"/>
      <w:lvlText w:val="%1."/>
      <w:numFmt w:val="decimal"/>
      <w:start w:val="18"/>
    </w:lvl>
  </w:abstractNum>
  <w:abstractNum w:abstractNumId="53">
    <w:nsid w:val="1F48EAA1"/>
    <w:multiLevelType w:val="hybridMultilevel"/>
    <w:lvl w:ilvl="0">
      <w:lvlJc w:val="left"/>
      <w:lvlText w:val="%1."/>
      <w:numFmt w:val="decimal"/>
      <w:start w:val="19"/>
    </w:lvl>
  </w:abstractNum>
  <w:abstractNum w:abstractNumId="54">
    <w:nsid w:val="1381823A"/>
    <w:multiLevelType w:val="hybridMultilevel"/>
    <w:lvl w:ilvl="0">
      <w:lvlJc w:val="left"/>
      <w:lvlText w:val="%1."/>
      <w:numFmt w:val="decimal"/>
      <w:start w:val="20"/>
    </w:lvl>
  </w:abstractNum>
  <w:abstractNum w:abstractNumId="55">
    <w:nsid w:val="5DB70AE5"/>
    <w:multiLevelType w:val="hybridMultilevel"/>
    <w:lvl w:ilvl="0">
      <w:lvlJc w:val="left"/>
      <w:lvlText w:val="%1."/>
      <w:numFmt w:val="decimal"/>
      <w:start w:val="2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1)"/>
      <w:numFmt w:val="lowerLetter"/>
      <w:start w:val="2"/>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lowerLetter"/>
      <w:start w:val="1"/>
    </w:lvl>
    <w:lvl w:ilvl="1">
      <w:lvlJc w:val="left"/>
      <w:lvlText w:val="%2)"/>
      <w:numFmt w:val="decimal"/>
      <w:start w:val="1"/>
    </w:lvl>
  </w:abstractNum>
  <w:abstractNum w:abstractNumId="60">
    <w:nsid w:val="98A3148"/>
    <w:multiLevelType w:val="hybridMultilevel"/>
    <w:lvl w:ilvl="0">
      <w:lvlJc w:val="left"/>
      <w:lvlText w:val="%1)"/>
      <w:numFmt w:val="decimal"/>
      <w:start w:val="2"/>
    </w:lvl>
  </w:abstractNum>
  <w:abstractNum w:abstractNumId="61">
    <w:nsid w:val="799D0247"/>
    <w:multiLevelType w:val="hybridMultilevel"/>
    <w:lvl w:ilvl="0">
      <w:lvlJc w:val="left"/>
      <w:lvlText w:val="%1"/>
      <w:numFmt w:val="decimal"/>
      <w:start w:val="104"/>
    </w:lvl>
    <w:lvl w:ilvl="1">
      <w:lvlJc w:val="left"/>
      <w:lvlText w:val="*"/>
      <w:numFmt w:val="bullet"/>
      <w:start w:val="1"/>
    </w:lvl>
  </w:abstractNum>
  <w:abstractNum w:abstractNumId="62">
    <w:nsid w:val="6B94764"/>
    <w:multiLevelType w:val="hybridMultilevel"/>
    <w:lvl w:ilvl="0">
      <w:lvlJc w:val="left"/>
      <w:lvlText w:val="%1"/>
      <w:numFmt w:val="decimal"/>
      <w:start w:val="1"/>
    </w:lvl>
    <w:lvl w:ilvl="1">
      <w:lvlJc w:val="left"/>
      <w:lvlText w:val="**"/>
      <w:numFmt w:val="bullet"/>
      <w:start w:val="1"/>
    </w:lvl>
  </w:abstractNum>
  <w:abstractNum w:abstractNumId="63">
    <w:nsid w:val="42C296BD"/>
    <w:multiLevelType w:val="hybridMultilevel"/>
    <w:lvl w:ilvl="0">
      <w:lvlJc w:val="left"/>
      <w:lvlText w:val="%1"/>
      <w:numFmt w:val="decimal"/>
      <w:start w:val="1"/>
    </w:lvl>
    <w:lvl w:ilvl="1">
      <w:lvlJc w:val="left"/>
      <w:lvlText w:val="***"/>
      <w:numFmt w:val="bullet"/>
      <w:start w:val="1"/>
    </w:lvl>
  </w:abstractNum>
  <w:abstractNum w:abstractNumId="64">
    <w:nsid w:val="168E121F"/>
    <w:multiLevelType w:val="hybridMultilevel"/>
    <w:lvl w:ilvl="0">
      <w:lvlJc w:val="left"/>
      <w:lvlText w:val="%1."/>
      <w:numFmt w:val="decimal"/>
      <w:start w:val="1"/>
    </w:lvl>
    <w:lvl w:ilvl="1">
      <w:lvlJc w:val="left"/>
      <w:lvlText w:val="(%2)"/>
      <w:numFmt w:val="lowerRoman"/>
      <w:start w:val="1"/>
    </w:lvl>
  </w:abstractNum>
  <w:abstractNum w:abstractNumId="65">
    <w:nsid w:val="1EBA5D23"/>
    <w:multiLevelType w:val="hybridMultilevel"/>
    <w:lvl w:ilvl="0">
      <w:lvlJc w:val="left"/>
      <w:lvlText w:val="%1."/>
      <w:numFmt w:val="decimal"/>
      <w:start w:val="3"/>
    </w:lvl>
  </w:abstractNum>
  <w:abstractNum w:abstractNumId="66">
    <w:nsid w:val="661E3F1E"/>
    <w:multiLevelType w:val="hybridMultilevel"/>
    <w:lvl w:ilvl="0">
      <w:lvlJc w:val="left"/>
      <w:lvlText w:val="%1."/>
      <w:numFmt w:val="decimal"/>
      <w:start w:val="9"/>
    </w:lvl>
    <w:lvl w:ilvl="1">
      <w:lvlJc w:val="left"/>
      <w:lvlText w:val="(%2)"/>
      <w:numFmt w:val="lowerRoman"/>
      <w:start w:val="1"/>
    </w:lvl>
  </w:abstractNum>
  <w:abstractNum w:abstractNumId="67">
    <w:nsid w:val="5DC79EA8"/>
    <w:multiLevelType w:val="hybridMultilevel"/>
    <w:lvl w:ilvl="0">
      <w:lvlJc w:val="left"/>
      <w:lvlText w:val="%1."/>
      <w:numFmt w:val="decimal"/>
      <w:start w:val="1"/>
    </w:lvl>
    <w:lvl w:ilvl="1">
      <w:lvlJc w:val="left"/>
      <w:lvlText w:val="(%2)"/>
      <w:numFmt w:val="lowerRoman"/>
      <w:start w:val="1"/>
    </w:lvl>
  </w:abstractNum>
  <w:abstractNum w:abstractNumId="68">
    <w:nsid w:val="540A471C"/>
    <w:multiLevelType w:val="hybridMultilevel"/>
    <w:lvl w:ilvl="0">
      <w:lvlJc w:val="left"/>
      <w:lvlText w:val="%1."/>
      <w:numFmt w:val="decimal"/>
      <w:start w:val="3"/>
    </w:lvl>
  </w:abstractNum>
  <w:abstractNum w:abstractNumId="69">
    <w:nsid w:val="7BD3EE7B"/>
    <w:multiLevelType w:val="hybridMultilevel"/>
    <w:lvl w:ilvl="0">
      <w:lvlJc w:val="left"/>
      <w:lvlText w:val="%1."/>
      <w:numFmt w:val="decimal"/>
      <w:start w:val="9"/>
    </w:lvl>
    <w:lvl w:ilvl="1">
      <w:lvlJc w:val="left"/>
      <w:lvlText w:val="(%2)"/>
      <w:numFmt w:val="lowerRoman"/>
      <w:start w:val="1"/>
    </w:lvl>
  </w:abstractNum>
  <w:abstractNum w:abstractNumId="70">
    <w:nsid w:val="51D9C564"/>
    <w:multiLevelType w:val="hybridMultilevel"/>
    <w:lvl w:ilvl="0">
      <w:lvlJc w:val="left"/>
      <w:lvlText w:val="%1."/>
      <w:numFmt w:val="decimal"/>
      <w:start w:val="1"/>
    </w:lvl>
    <w:lvl w:ilvl="1">
      <w:lvlJc w:val="left"/>
      <w:lvlText w:val="(%2)"/>
      <w:numFmt w:val="lowerRoman"/>
      <w:start w:val="1"/>
    </w:lvl>
  </w:abstractNum>
  <w:abstractNum w:abstractNumId="71">
    <w:nsid w:val="613EFDC5"/>
    <w:multiLevelType w:val="hybridMultilevel"/>
    <w:lvl w:ilvl="0">
      <w:lvlJc w:val="left"/>
      <w:lvlText w:val="%1."/>
      <w:numFmt w:val="decimal"/>
      <w:start w:val="3"/>
    </w:lvl>
  </w:abstractNum>
  <w:abstractNum w:abstractNumId="72">
    <w:nsid w:val="BF72B14"/>
    <w:multiLevelType w:val="hybridMultilevel"/>
    <w:lvl w:ilvl="0">
      <w:lvlJc w:val="left"/>
      <w:lvlText w:val="%1."/>
      <w:numFmt w:val="decimal"/>
      <w:start w:val="9"/>
    </w:lvl>
    <w:lvl w:ilvl="1">
      <w:lvlJc w:val="left"/>
      <w:lvlText w:val="(%2)"/>
      <w:numFmt w:val="lowerRoman"/>
      <w:start w:val="1"/>
    </w:lvl>
  </w:abstractNum>
  <w:abstractNum w:abstractNumId="73">
    <w:nsid w:val="11447B73"/>
    <w:multiLevelType w:val="hybridMultilevel"/>
    <w:lvl w:ilvl="0">
      <w:lvlJc w:val="left"/>
      <w:lvlText w:val="%1."/>
      <w:numFmt w:val="decimal"/>
      <w:start w:val="1"/>
    </w:lvl>
    <w:lvl w:ilvl="1">
      <w:lvlJc w:val="left"/>
      <w:lvlText w:val="(%2)"/>
      <w:numFmt w:val="lowerRoman"/>
      <w:start w:val="1"/>
    </w:lvl>
  </w:abstractNum>
  <w:abstractNum w:abstractNumId="74">
    <w:nsid w:val="42963E5A"/>
    <w:multiLevelType w:val="hybridMultilevel"/>
    <w:lvl w:ilvl="0">
      <w:lvlJc w:val="left"/>
      <w:lvlText w:val="%1."/>
      <w:numFmt w:val="decimal"/>
      <w:start w:val="3"/>
    </w:lvl>
  </w:abstractNum>
  <w:abstractNum w:abstractNumId="75">
    <w:nsid w:val="A0382C5"/>
    <w:multiLevelType w:val="hybridMultilevel"/>
    <w:lvl w:ilvl="0">
      <w:lvlJc w:val="left"/>
      <w:lvlText w:val="%1."/>
      <w:numFmt w:val="decimal"/>
      <w:start w:val="9"/>
    </w:lvl>
    <w:lvl w:ilvl="1">
      <w:lvlJc w:val="left"/>
      <w:lvlText w:val="(%2)"/>
      <w:numFmt w:val="lowerRoman"/>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3"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36" Type="http://schemas.openxmlformats.org/officeDocument/2006/relationships/hyperlink" Target="http://www.sec.gov/Archives/edgar/data/0001901637/000119312521369812/d628417dex21.htm" TargetMode="External"/><Relationship Id="rId137" Type="http://schemas.openxmlformats.org/officeDocument/2006/relationships/hyperlink" Target="http://www.sec.gov/Archives/edgar/data/1901637/000156276223000333/exhibit31.htm" TargetMode="External"/><Relationship Id="rId138" Type="http://schemas.openxmlformats.org/officeDocument/2006/relationships/hyperlink" Target="http://www.sec.gov/Archives/edgar/data/1901637/000092708923000110/ex_549234.htm" TargetMode="External"/><Relationship Id="rId139" Type="http://schemas.openxmlformats.org/officeDocument/2006/relationships/hyperlink" Target="http://www.sec.gov/Archives/edgar/data/0001901637/000119312521369812/d628417dex41.htm" TargetMode="External"/><Relationship Id="rId140" Type="http://schemas.openxmlformats.org/officeDocument/2006/relationships/hyperlink" Target="http://www.sec.gov/Archives/edgar/data/0001901637/000119312521369812/d628417dex42.htm" TargetMode="External"/><Relationship Id="rId141" Type="http://schemas.openxmlformats.org/officeDocument/2006/relationships/hyperlink" Target="http://www.sec.gov/Archives/edgar/data/0001901637/000119312521369812/d628417dex43.htm" TargetMode="External"/><Relationship Id="rId142" Type="http://schemas.openxmlformats.org/officeDocument/2006/relationships/hyperlink" Target="http://www.sec.gov/Archives/edgar/data/1901637/000156276224000061/exhibit44.htm" TargetMode="External"/><Relationship Id="rId143" Type="http://schemas.openxmlformats.org/officeDocument/2006/relationships/hyperlink" Target="http://www.sec.gov/Archives/edgar/data/1901637/000119312525180879/d23435dex41.htm" TargetMode="External"/><Relationship Id="rId144" Type="http://schemas.openxmlformats.org/officeDocument/2006/relationships/hyperlink" Target="http://www.sec.gov/Archives/edgar/data/1901637/000119312525180879/d23435dex102.htm" TargetMode="External"/><Relationship Id="rId145" Type="http://schemas.openxmlformats.org/officeDocument/2006/relationships/hyperlink" Target="http://www.sec.gov/Archives/edgar/data/0001901637/000119312521369812/d628417dex101.htm" TargetMode="External"/><Relationship Id="rId146" Type="http://schemas.openxmlformats.org/officeDocument/2006/relationships/hyperlink" Target="http://www.sec.gov/Archives/edgar/data/1901637/000092708923000011/ex_469828.htm" TargetMode="External"/><Relationship Id="rId147" Type="http://schemas.openxmlformats.org/officeDocument/2006/relationships/hyperlink" Target="http://www.sec.gov/Archives/edgar/data/1901637/000092708923000011/ex_469546.htm" TargetMode="External"/><Relationship Id="rId148" Type="http://schemas.openxmlformats.org/officeDocument/2006/relationships/hyperlink" Target="http://www.sec.gov/Archives/edgar/data/1901637/000092708925000011/ex_758137.htm" TargetMode="External"/><Relationship Id="rId149" Type="http://schemas.openxmlformats.org/officeDocument/2006/relationships/hyperlink" Target="http://www.sec.gov/Archives/edgar/data/1901637/000092708925000220/ex_901809.htm" TargetMode="External"/><Relationship Id="rId150" Type="http://schemas.openxmlformats.org/officeDocument/2006/relationships/hyperlink" Target="http://www.sec.gov/Archives/edgar/data/1901637/000092708926000019/ex_914751.htm" TargetMode="External"/><Relationship Id="rId151" Type="http://schemas.openxmlformats.org/officeDocument/2006/relationships/hyperlink" Target="http://www.sec.gov/Archives/edgar/data/1901637/000092708926000015/ex_913634.htm" TargetMode="External"/><Relationship Id="rId152" Type="http://schemas.openxmlformats.org/officeDocument/2006/relationships/hyperlink" Target="http://www.sec.gov/Archives/edgar/data/1901637/000156276225000122/exhibit101.htm" TargetMode="External"/><Relationship Id="rId154" Type="http://schemas.openxmlformats.org/officeDocument/2006/relationships/hyperlink" Target="http://www.sec.gov/Archives/edgar/data/1901637/000119312525180879/d23435dex101.htm" TargetMode="External"/><Relationship Id="rId155" Type="http://schemas.openxmlformats.org/officeDocument/2006/relationships/hyperlink" Target="http://www.sec.gov/Archives/edgar/data/1901637/000156276225000043/exhibit191.htm" TargetMode="External"/><Relationship Id="rId156" Type="http://schemas.openxmlformats.org/officeDocument/2006/relationships/hyperlink" Target="http://www.sec.gov/Archives/edgar/data/1901637/000156276224000061/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2026-03-13T12:25:56Z</dcterms:created>
  <dcterms:modified xsi:type="dcterms:W3CDTF">2026-03-13T12:25:56Z</dcterms:modified>
</cp:coreProperties>
</file>