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1,623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17.6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41,459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1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6,947 shares of restricted stock which vest at a rate of one-third per year commencing on January 21, 2026, 2,174 shares of restricted stock of a grant of 3,261 shares which commenced vesting at a rate of one-third per year on January 22, 2025, 2,039 shares of restricted stock of a grant of 6,117 shares which commenced vesting at a rate of one-third per year on March 8, 2024, and 13,333 shares of restricted stock of a grant of 20,000 shares which commenced vesting at a rate of one-third per year commencing on October 28,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2025-10-30T11:28:50Z</dcterms:created>
  <dcterms:modified xsi:type="dcterms:W3CDTF">2025-10-30T11:28:50Z</dcterms:modified>
</cp:coreProperties>
</file>