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9, 2022</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USCB Financial Holdings,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Articles)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320" w:type="dxa"/>
        <w:tblCellMar>
          <w:top w:w="0" w:type="dxa"/>
          <w:left w:w="0" w:type="dxa"/>
          <w:bottom w:w="0" w:type="dxa"/>
          <w:right w:w="0" w:type="dxa"/>
        </w:tblCellMar>
      </w:tblPr>
      <w:tr>
        <w:trPr>
          <w:trHeight w:val="214"/>
        </w:trPr>
        <w:tc>
          <w:tcPr>
            <w:tcW w:w="4680" w:type="dxa"/>
            <w:vAlign w:val="bottom"/>
          </w:tcPr>
          <w:p>
            <w:pPr>
              <w:jc w:val="center"/>
              <w:ind w:right="1681"/>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29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87-4070846</w:t>
            </w:r>
          </w:p>
        </w:tc>
      </w:tr>
      <w:tr>
        <w:trPr>
          <w:trHeight w:val="148"/>
        </w:trPr>
        <w:tc>
          <w:tcPr>
            <w:tcW w:w="4680" w:type="dxa"/>
            <w:vAlign w:val="bottom"/>
          </w:tcPr>
          <w:p>
            <w:pPr>
              <w:jc w:val="center"/>
              <w:ind w:right="16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00" w:type="dxa"/>
            <w:vAlign w:val="bottom"/>
          </w:tcPr>
          <w:p>
            <w:pPr>
              <w:jc w:val="center"/>
              <w:ind w:left="17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80" w:type="dxa"/>
            <w:vAlign w:val="bottom"/>
          </w:tcPr>
          <w:p>
            <w:pPr>
              <w:jc w:val="center"/>
              <w:ind w:right="168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00" w:type="dxa"/>
            <w:vAlign w:val="bottom"/>
          </w:tcPr>
          <w:p>
            <w:pPr>
              <w:jc w:val="center"/>
              <w:ind w:left="17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4680" w:type="dxa"/>
            <w:vAlign w:val="bottom"/>
          </w:tcPr>
          <w:p>
            <w:pPr>
              <w:jc w:val="center"/>
              <w:ind w:right="1701"/>
              <w:spacing w:after="0"/>
              <w:rPr>
                <w:sz w:val="20"/>
                <w:szCs w:val="20"/>
                <w:color w:val="auto"/>
              </w:rPr>
            </w:pPr>
            <w:r>
              <w:rPr>
                <w:rFonts w:ascii="Times New Roman" w:cs="Times New Roman" w:eastAsia="Times New Roman" w:hAnsi="Times New Roman"/>
                <w:sz w:val="18"/>
                <w:szCs w:val="18"/>
                <w:b w:val="1"/>
                <w:bCs w:val="1"/>
                <w:color w:val="auto"/>
                <w:w w:val="99"/>
              </w:rPr>
              <w:t>2301 NW 87th Avenue, Doral, Florida</w:t>
            </w:r>
          </w:p>
        </w:tc>
        <w:tc>
          <w:tcPr>
            <w:tcW w:w="29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33172</w:t>
            </w:r>
          </w:p>
        </w:tc>
      </w:tr>
      <w:tr>
        <w:trPr>
          <w:trHeight w:val="190"/>
        </w:trPr>
        <w:tc>
          <w:tcPr>
            <w:tcW w:w="4680" w:type="dxa"/>
            <w:vAlign w:val="bottom"/>
          </w:tcPr>
          <w:p>
            <w:pPr>
              <w:jc w:val="center"/>
              <w:ind w:right="170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00" w:type="dxa"/>
            <w:vAlign w:val="bottom"/>
          </w:tcPr>
          <w:p>
            <w:pPr>
              <w:jc w:val="center"/>
              <w:ind w:left="17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Century Bank Amended and Restated 2015 Equity Incentive Plan</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Robert Anderson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USCB Financial Holdings,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2301 NW 87th Avenue, Doral, Florida 33172</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(305) 715-5200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25" w:right="479" w:bottom="1440" w:gutter="0" w:footer="0" w:header="0"/>
        </w:sectPr>
      </w:pPr>
    </w:p>
    <w:bookmarkStart w:id="1" w:name="page2"/>
    <w:bookmarkEnd w:id="1"/>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relates to 2,400,000 shares of Class A Common Stock, $1.00 par value per share (the “Class A Common Stock”), of USCB Financial Holdings, Inc. (the “Registrant”), which are issuable pursuant to grants of restricted stock or options issued or to be issued under the U.S. Century Bank Amended and Restated 2015 Equity Incentive Plan (the “Plan”). The Plan was assumed by the Registrant pursuant to that certain Agreement and Plan of Share Exchange (the “Share Exchange Agreement”) dated as of December 27, 2021 by and between the Registrant and U.S. Century Bank, a Florida chartered, non-Federal Reserve System member commercial bank (the “Bank”), which assumption of the Plan became effective upon the consummation of the share exchange contemplated by the Share Exchange Agreement on December 30, 2021.</w:t>
      </w:r>
    </w:p>
    <w:p>
      <w:pPr>
        <w:spacing w:after="0" w:line="189"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On December 30, 2021, the Registrant filed a Form 8-K with the Securities and Exchange Commission (the “SEC) as notice that the Registrant is the successor issuer to the Bank pursuant to Rule 12g-3 promulgated under the Securities Exchange Act of 1934, as amended (the “Exchange Act”). As a result, the Registrant’s Class A Common Stock is deemed to be registered under Section 12(b) of the Exchange Act, and the Registrant will file reports, proxy statements and other information with the SEC. Prior to the filing of the Form 8-K pursuant to Rule 12g-3 on December 30, 2021, the Bank filed its reports, proxy statements and other information required under Section 13 of the Exchange Act with the Federal Deposit Insurance Corporation (“FDIC”) in accordance with Section 12(i) of the Exchange Act. Copies of such filings can be inspected and copied at the public reference facilities maintained by the FDIC, Accounting and Securities Disclosure Section, Division of Risk Management Supervision, at the Public Reference Section, Room F-6043, 550 17th Street, N.W., Washington, DC 20429. Requests for copies may be made by telephone at (202) 898-8913 or by fax at</w:t>
      </w:r>
    </w:p>
    <w:p>
      <w:pPr>
        <w:spacing w:after="0" w:line="1" w:lineRule="exact"/>
        <w:rPr>
          <w:sz w:val="20"/>
          <w:szCs w:val="20"/>
          <w:color w:val="auto"/>
        </w:rPr>
      </w:pPr>
    </w:p>
    <w:p>
      <w:pPr>
        <w:ind w:left="4" w:right="320" w:hanging="4"/>
        <w:spacing w:after="0" w:line="255" w:lineRule="auto"/>
        <w:tabs>
          <w:tab w:leader="none" w:pos="43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898-3909. Certain information filed by the Bank with the FDIC is also available electronically at the FDIC’s website at https://efr.fdic.gov/fcxweb/efr/index.html. None of the information about us maintained on the FDIC’s website is incorporated into this Registration Statement.</w:t>
      </w:r>
    </w:p>
    <w:p>
      <w:pPr>
        <w:spacing w:after="0" w:line="39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2944"/>
        <w:spacing w:after="0"/>
        <w:rPr>
          <w:sz w:val="20"/>
          <w:szCs w:val="20"/>
          <w:color w:val="auto"/>
        </w:rPr>
      </w:pPr>
      <w:r>
        <w:rPr>
          <w:rFonts w:ascii="Times New Roman" w:cs="Times New Roman" w:eastAsia="Times New Roman" w:hAnsi="Times New Roman"/>
          <w:sz w:val="18"/>
          <w:szCs w:val="18"/>
          <w:b w:val="1"/>
          <w:bCs w:val="1"/>
          <w:color w:val="auto"/>
        </w:rPr>
        <w:t>INFORMATION REQUIRED IN SECTION 10(a) PROSPECTUS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Items 1 &amp; 2. Plan Information and Registrant Information and Employee Plan Annual Information.</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Registrant will send or give documents containing the information specified by Part I of this Registration Statement to participants in the plan to which this Registration Statement relates, as specified in Rule 428(b)(1) promulgated by the SEC under the Securities Act of 1933, as amended (the “Securities Act”). The Registrant is not filing such documents with the SEC, but these documents constitute (along with the documents incorporated by reference into the Registration Statement pursuant to Item 3 of Part II hereof) a prospectus that meets the requirements of Section 10(a) of the Securities Act. Unless this Registration Statement indicates otherwise or the context otherwise requires, the terms “we”, “our”, “us,” “Company” or “Registrant” refer to USCB Financial Holdings, Inc. and its subsidiaries including U.S. Century Bank.</w:t>
      </w:r>
    </w:p>
    <w:p>
      <w:pPr>
        <w:spacing w:after="0" w:line="39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704"/>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following documents filed by us with the SEC, pursuant to the Exchange Act, are hereby incorporated by reference and shall be deemed to be a part hereof from the date of filing of such document:</w:t>
      </w:r>
    </w:p>
    <w:p>
      <w:pPr>
        <w:spacing w:after="0" w:line="189" w:lineRule="exact"/>
        <w:rPr>
          <w:sz w:val="20"/>
          <w:szCs w:val="20"/>
          <w:color w:val="auto"/>
        </w:rPr>
      </w:pPr>
    </w:p>
    <w:p>
      <w:pPr>
        <w:ind w:left="1084" w:right="140" w:hanging="359"/>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(a)    </w:t>
      </w:r>
      <w:hyperlink r:id="rId17">
        <w:r>
          <w:rPr>
            <w:rFonts w:ascii="Times New Roman" w:cs="Times New Roman" w:eastAsia="Times New Roman" w:hAnsi="Times New Roman"/>
            <w:sz w:val="18"/>
            <w:szCs w:val="18"/>
            <w:u w:val="single" w:color="auto"/>
            <w:color w:val="0000EE"/>
          </w:rPr>
          <w:t>the Registrant’s Annual Report on Form 10-K for the fiscal year ended December 31, 2021, as filed with the Commission on March 24,</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2022;</w:t>
        </w:r>
      </w:hyperlink>
    </w:p>
    <w:p>
      <w:pPr>
        <w:spacing w:after="0" w:line="81" w:lineRule="exact"/>
        <w:rPr>
          <w:sz w:val="20"/>
          <w:szCs w:val="20"/>
          <w:color w:val="auto"/>
        </w:rPr>
      </w:pPr>
    </w:p>
    <w:p>
      <w:pPr>
        <w:ind w:left="1084" w:right="180" w:hanging="359"/>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(b)    </w:t>
      </w:r>
      <w:hyperlink r:id="rId18">
        <w:r>
          <w:rPr>
            <w:rFonts w:ascii="Times New Roman" w:cs="Times New Roman" w:eastAsia="Times New Roman" w:hAnsi="Times New Roman"/>
            <w:sz w:val="18"/>
            <w:szCs w:val="18"/>
            <w:u w:val="single" w:color="auto"/>
            <w:color w:val="0000EE"/>
          </w:rPr>
          <w:t>the Registrant’s Quarterly Report on Form 10-Q for the fiscal quarter ended March 31, 2022, as filed with the Commission on May 12,</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2022;</w:t>
        </w:r>
      </w:hyperlink>
    </w:p>
    <w:p>
      <w:pPr>
        <w:sectPr>
          <w:pgSz w:w="11900" w:h="16838" w:orient="portrait"/>
          <w:cols w:equalWidth="0" w:num="1">
            <w:col w:w="10964"/>
          </w:cols>
          <w:pgMar w:left="436" w:top="266" w:right="499" w:bottom="1440" w:gutter="0" w:footer="0" w:header="0"/>
        </w:sectPr>
      </w:pPr>
    </w:p>
    <w:bookmarkStart w:id="2" w:name="page3"/>
    <w:bookmarkEnd w:id="2"/>
    <w:p>
      <w:pPr>
        <w:ind w:left="1080" w:hanging="359"/>
        <w:spacing w:after="0" w:line="28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 the Registrant’s Current Reports on Form 8-K filed with the SEC on </w:t>
      </w:r>
      <w:hyperlink r:id="rId20">
        <w:r>
          <w:rPr>
            <w:rFonts w:ascii="Times New Roman" w:cs="Times New Roman" w:eastAsia="Times New Roman" w:hAnsi="Times New Roman"/>
            <w:sz w:val="18"/>
            <w:szCs w:val="18"/>
            <w:u w:val="single" w:color="auto"/>
            <w:color w:val="0000EE"/>
          </w:rPr>
          <w:t>February 22, 2022</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April 1, 2022</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April 6, 2022</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April 29,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4">
        <w:r>
          <w:rPr>
            <w:rFonts w:ascii="Times New Roman" w:cs="Times New Roman" w:eastAsia="Times New Roman" w:hAnsi="Times New Roman"/>
            <w:sz w:val="18"/>
            <w:szCs w:val="18"/>
            <w:u w:val="single" w:color="auto"/>
            <w:color w:val="0000EE"/>
          </w:rPr>
          <w:t>June 3,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81" w:lineRule="exact"/>
        <w:rPr>
          <w:rFonts w:ascii="Times New Roman" w:cs="Times New Roman" w:eastAsia="Times New Roman" w:hAnsi="Times New Roman"/>
          <w:sz w:val="18"/>
          <w:szCs w:val="18"/>
          <w:color w:val="auto"/>
        </w:rPr>
      </w:pPr>
    </w:p>
    <w:p>
      <w:pPr>
        <w:ind w:left="1080" w:right="100" w:hanging="359"/>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(d)    </w:t>
      </w:r>
      <w:hyperlink r:id="rId25">
        <w:r>
          <w:rPr>
            <w:rFonts w:ascii="Times New Roman" w:cs="Times New Roman" w:eastAsia="Times New Roman" w:hAnsi="Times New Roman"/>
            <w:sz w:val="18"/>
            <w:szCs w:val="18"/>
            <w:u w:val="single" w:color="auto"/>
            <w:color w:val="0000EE"/>
          </w:rPr>
          <w:t>The description of the Registrant’s Class A Common Stock contained in Exhibit 4.4 to the Registrant’s Annual Report on Form 10-K for</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the fiscal year ended December 31, 2021, including any amendment or report filed for the purpose of updating that description.</w:t>
        </w:r>
      </w:hyperlink>
    </w:p>
    <w:p>
      <w:pPr>
        <w:spacing w:after="0" w:line="16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All reports and other documents subsequently filed by the Registrant pursuant to Sections 13(a), 13(c), 14 and 15(d) of the Exchange Act prior to the filing of a post-effective amendment which indicates that all securities offered have been sold or which deregisters all securities then remaining unsold, shall be deemed to be incorporated by reference herein and shall be a part of this Registration Statement from the date of the filing of such reports and documents. Any statement contained in a document incorporated herein by reference shall be deemed to be modified or superseded for purposes of this Registration Statement to the extent that a statement contained herein or in any other subsequently filed document which also is or is deemed to be incorporated herein by reference modifies or supersedes such statement. Any statement so modified or superseded shall not be deemed, except as so modified or superseded, to constitute a part of this Registration Statement.</w:t>
      </w:r>
    </w:p>
    <w:p>
      <w:pPr>
        <w:spacing w:after="0" w:line="18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we are not incorporating by reference information furnished under Items 2.02 and 7.01 of any Current Report on Form 8-K, including the related exhibits, nor in any document or information deemed to have been furnished and not filed in accordance with Commission rules.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ind w:right="40" w:firstLine="440"/>
        <w:spacing w:after="0" w:line="270" w:lineRule="auto"/>
        <w:rPr>
          <w:sz w:val="20"/>
          <w:szCs w:val="20"/>
          <w:color w:val="auto"/>
        </w:rPr>
      </w:pPr>
      <w:r>
        <w:rPr>
          <w:rFonts w:ascii="Times New Roman" w:cs="Times New Roman" w:eastAsia="Times New Roman" w:hAnsi="Times New Roman"/>
          <w:sz w:val="17"/>
          <w:szCs w:val="17"/>
          <w:color w:val="auto"/>
        </w:rPr>
        <w:t>The Florida Business Corporation Act, or FBCA, authorizes a company to indemnify its directors and officers in certain instances against certain liabilities that they may incur by virtue of their relationship with the company. A company may indemnify any individual who is a party to a proceeding because the individual is or was a director or officer against liability incurred in the proceeding if he or she (i) acted in good faith, (ii) acted in a manner which he or she reasonably believed to be in or not opposed to the best interests of the company, and (iii) in the case of any criminal proceeding, had no reasonable cause to believe his or her conduct was unlawful. Unless ordered by a court, a company may not indemnify a director or an officer in connection with a proceeding by or in the right of the company except for expenses and amounts paid in settlement not exceeding, in the judgment of the board of directors, the estimated expense of litigating the proceeding to conclusion, actually and reasonably incurred in connection with the defense or settlement of such proceeding, including any appeal thereof, where such person acted in good faith and in a manner he or she reasonably believed to be in or not opposed to the best interests of the company. A company must repay the expenses of any individual who is or was a director or officer who is wholly successful, on the merits or otherwise, in the defense of any proceeding against him or her in his or her capacity as such.</w:t>
      </w:r>
    </w:p>
    <w:p>
      <w:pPr>
        <w:spacing w:after="0" w:line="177" w:lineRule="exact"/>
        <w:rPr>
          <w:sz w:val="20"/>
          <w:szCs w:val="20"/>
          <w:color w:val="auto"/>
        </w:rPr>
      </w:pPr>
    </w:p>
    <w:p>
      <w:pPr>
        <w:ind w:right="180" w:firstLine="440"/>
        <w:spacing w:after="0" w:line="254" w:lineRule="auto"/>
        <w:rPr>
          <w:sz w:val="20"/>
          <w:szCs w:val="20"/>
          <w:color w:val="auto"/>
        </w:rPr>
      </w:pPr>
      <w:r>
        <w:rPr>
          <w:rFonts w:ascii="Times New Roman" w:cs="Times New Roman" w:eastAsia="Times New Roman" w:hAnsi="Times New Roman"/>
          <w:sz w:val="18"/>
          <w:szCs w:val="18"/>
          <w:color w:val="auto"/>
        </w:rPr>
        <w:t>A Florida company is authorized to make any other or further indemnification or advancement of expenses of any of its directors, officers, employees, or agents; provided, unless ordered by a court, a company may not indemnify a director officer if a judgment or other final adjudication establishes that his or her actions or omissions were material to the cause of action so adjudicated and constitute (i) a violation of the criminal law (unless the director or officer had no reasonable cause to believe his or her conduct was unlawful), (ii) a transaction in which the director or officer derived an improper personal benefit, (iii) in the case of a director, a circumstance under which certain liability provisions of the FBCA are applicable (related to payment of dividends or other distributions or repurchases of shares in violation of such Act), or (iv) willful or intentional misconduct or a conscious disregard for the best interests of the company in a proceeding by or in the right of the company to procure a judgment in its favor or in a proceeding by or in the right of a company shareholder. A Florida company is also authorized to purchase and maintain liability insurance for its directors and officers.</w:t>
      </w:r>
    </w:p>
    <w:p>
      <w:pPr>
        <w:sectPr>
          <w:pgSz w:w="11900" w:h="16838" w:orient="portrait"/>
          <w:cols w:equalWidth="0" w:num="1">
            <w:col w:w="10980"/>
          </w:cols>
          <w:pgMar w:left="440" w:top="270" w:right="479" w:bottom="1440" w:gutter="0" w:footer="0" w:header="0"/>
        </w:sectPr>
      </w:pPr>
    </w:p>
    <w:bookmarkStart w:id="3" w:name="page4"/>
    <w:bookmarkEnd w:id="3"/>
    <w:p>
      <w:pPr>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Articles of Incorporation and our Amended and Restated Bylaws provide that our directors will not be personally liable for monetary damages to us to the fullest extent permitted by Florida law. Our Articles of Incorporation and our Amended and Restated Bylaws further provide that we may insure, will indemnify and will advance expenses on behalf of our officers and directors to the fullest extent permitted by law.</w:t>
      </w:r>
    </w:p>
    <w:p>
      <w:pPr>
        <w:spacing w:after="0" w:line="176"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Federal banking law, however, which is applicable to us as the holding company of an insured depository institution, limits our ability to indemnify our directors and officers. We may not make, or agree to make, indemnification payments to an institution-affiliated party such as an officer or director in connection with any administrative or civil action instituted by a federal banking agency if, as a result of the banking agency action, the indemnitee is assessed a civil money penalty, is removed from office or prohibited from participating in the conduct of our affairs, or is subject to a cease and desist order. In addition and subject to the foregoing, prior to the resolution of any action instituted by the applicable banking agency, we may indemnify officers and directors only if (i) the respective board of directors, as the case may be, (a) determines that the indemnified person acted in good faith and (b) determines after investigation that making indemnification payments would not affect our safety and soundness, and (ii) the indemnified party agrees in writing to reimburse us for any indemnity payments which turn out to be impermissible.</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21"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The Index of Exhibits filed herewith and appearing immediately after the signature page to this registration statement is incorporated by reference in this Item 8.</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52"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984" w:right="80" w:firstLine="7"/>
        <w:spacing w:after="0" w:line="255" w:lineRule="auto"/>
        <w:tabs>
          <w:tab w:leader="none" w:pos="1249"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1" w:lineRule="exact"/>
        <w:rPr>
          <w:sz w:val="20"/>
          <w:szCs w:val="20"/>
          <w:color w:val="auto"/>
        </w:rPr>
      </w:pPr>
    </w:p>
    <w:p>
      <w:pPr>
        <w:ind w:left="984"/>
        <w:spacing w:after="0" w:line="282" w:lineRule="auto"/>
        <w:rPr>
          <w:sz w:val="20"/>
          <w:szCs w:val="20"/>
          <w:color w:val="auto"/>
        </w:rPr>
      </w:pPr>
      <w:r>
        <w:rPr>
          <w:rFonts w:ascii="Times New Roman" w:cs="Times New Roman" w:eastAsia="Times New Roman" w:hAnsi="Times New Roman"/>
          <w:sz w:val="18"/>
          <w:szCs w:val="18"/>
          <w:color w:val="auto"/>
        </w:rPr>
        <w:t>(iii)To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(1)(i) and (1)(ii) of this section do not apply if the registration statement is on Form S-8, and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included in a post-effective amendment by those subparagraphs is contained in reports filed with or furnished to the Commission by the registrant pursuant to Section 13 or Section 15(d) of the Securities Exchange Act of 1934 that are incorporated by reference in this Registration Statement.</w:t>
      </w:r>
    </w:p>
    <w:p>
      <w:pPr>
        <w:sectPr>
          <w:pgSz w:w="11900" w:h="16838" w:orient="portrait"/>
          <w:cols w:equalWidth="0" w:num="1">
            <w:col w:w="10984"/>
          </w:cols>
          <w:pgMar w:left="436" w:top="270" w:right="479" w:bottom="1440" w:gutter="0" w:footer="0" w:header="0"/>
        </w:sectPr>
      </w:pPr>
    </w:p>
    <w:bookmarkStart w:id="4" w:name="page5"/>
    <w:bookmarkEnd w:id="4"/>
    <w:p>
      <w:pPr>
        <w:ind w:left="4" w:right="80" w:firstLine="436"/>
        <w:spacing w:after="0" w:line="266" w:lineRule="auto"/>
        <w:tabs>
          <w:tab w:leader="none" w:pos="69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 and</w:t>
      </w:r>
    </w:p>
    <w:p>
      <w:pPr>
        <w:spacing w:after="0" w:line="67" w:lineRule="exact"/>
        <w:rPr>
          <w:rFonts w:ascii="Times New Roman" w:cs="Times New Roman" w:eastAsia="Times New Roman" w:hAnsi="Times New Roman"/>
          <w:sz w:val="18"/>
          <w:szCs w:val="18"/>
          <w:color w:val="auto"/>
        </w:rPr>
      </w:pPr>
    </w:p>
    <w:p>
      <w:pPr>
        <w:ind w:left="4" w:right="640" w:firstLine="436"/>
        <w:spacing w:after="0" w:line="282" w:lineRule="auto"/>
        <w:tabs>
          <w:tab w:leader="none" w:pos="69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4" w:right="180" w:hanging="4"/>
        <w:spacing w:after="0" w:line="261"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the purpose of determining any liability under the Securities Act of 1933, as amended, each filing of the Registrant’s annual report pursuant to Section 13(a) or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8"/>
          <w:szCs w:val="18"/>
          <w:color w:val="auto"/>
        </w:rPr>
      </w:pPr>
    </w:p>
    <w:p>
      <w:pPr>
        <w:ind w:left="4" w:hanging="4"/>
        <w:spacing w:after="0" w:line="254" w:lineRule="auto"/>
        <w:tabs>
          <w:tab w:leader="none" w:pos="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ectPr>
          <w:pgSz w:w="11900" w:h="16838" w:orient="portrait"/>
          <w:cols w:equalWidth="0" w:num="1">
            <w:col w:w="11004"/>
          </w:cols>
          <w:pgMar w:left="436" w:top="270"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 AND POWER OF ATTORNEY</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Doral, State of Florida, on June 9, 2022.</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Luis de la Aguilera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Luis de la Aguilera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Each of the undersigned officers and directors of the Registrant hereby constitutes and appoints each of Luis de la Aguilera and Robert Anderson as his or her true and lawful attorney-in-fact and agent, severally, with full power of substitution and resubstitution, in his or her name and on his or her behalf,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of authority to do and perform each and every act and thing requisite or necessary to be done in and about the premises, as fully to all intents and purposes as he or she might or could do in person, thereby ratifying and confirming all that said attorney-in-fact and agent, or his or her substitute, may lawfully do or cause to be done.</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indicated as of this 9th day of June,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600" w:type="dxa"/>
            <w:vAlign w:val="bottom"/>
          </w:tcPr>
          <w:p>
            <w:pPr>
              <w:ind w:left="26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07"/>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Luis de la Aguilera</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w:t>
            </w:r>
          </w:p>
        </w:tc>
      </w:tr>
      <w:tr>
        <w:trPr>
          <w:trHeight w:val="205"/>
        </w:trPr>
        <w:tc>
          <w:tcPr>
            <w:tcW w:w="5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Luis de la Aguilera</w:t>
            </w:r>
          </w:p>
        </w:tc>
        <w:tc>
          <w:tcPr>
            <w:tcW w:w="460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620" w:type="dxa"/>
            <w:vAlign w:val="bottom"/>
          </w:tcPr>
          <w:p>
            <w:pPr>
              <w:spacing w:after="0"/>
              <w:rPr>
                <w:sz w:val="20"/>
                <w:szCs w:val="20"/>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38"/>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Anderson</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Robert Anderson</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319"/>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Aida Levitan</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Aida Levitan</w:t>
            </w:r>
          </w:p>
        </w:tc>
        <w:tc>
          <w:tcPr>
            <w:tcW w:w="4600" w:type="dxa"/>
            <w:vAlign w:val="bottom"/>
          </w:tcPr>
          <w:p>
            <w:pPr>
              <w:spacing w:after="0"/>
              <w:rPr>
                <w:sz w:val="19"/>
                <w:szCs w:val="19"/>
                <w:color w:val="auto"/>
              </w:rPr>
            </w:pPr>
          </w:p>
        </w:tc>
      </w:tr>
      <w:tr>
        <w:trPr>
          <w:trHeight w:val="319"/>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Howard Feinglass</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Howard Feinglass</w:t>
            </w:r>
          </w:p>
        </w:tc>
        <w:tc>
          <w:tcPr>
            <w:tcW w:w="4600" w:type="dxa"/>
            <w:vAlign w:val="bottom"/>
          </w:tcPr>
          <w:p>
            <w:pPr>
              <w:spacing w:after="0"/>
              <w:rPr>
                <w:sz w:val="19"/>
                <w:szCs w:val="19"/>
                <w:color w:val="auto"/>
              </w:rPr>
            </w:pPr>
          </w:p>
        </w:tc>
      </w:tr>
      <w:tr>
        <w:trPr>
          <w:trHeight w:val="319"/>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Kirk Wycoff</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Kirk Wycoff</w:t>
            </w:r>
          </w:p>
        </w:tc>
        <w:tc>
          <w:tcPr>
            <w:tcW w:w="4600" w:type="dxa"/>
            <w:vAlign w:val="bottom"/>
          </w:tcPr>
          <w:p>
            <w:pPr>
              <w:spacing w:after="0"/>
              <w:rPr>
                <w:sz w:val="19"/>
                <w:szCs w:val="19"/>
                <w:color w:val="auto"/>
              </w:rPr>
            </w:pPr>
          </w:p>
        </w:tc>
      </w:tr>
      <w:tr>
        <w:trPr>
          <w:trHeight w:val="319"/>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Ramon A. Abadin</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Ramon A. Abadin</w:t>
            </w:r>
          </w:p>
        </w:tc>
        <w:tc>
          <w:tcPr>
            <w:tcW w:w="4600" w:type="dxa"/>
            <w:vAlign w:val="bottom"/>
          </w:tcPr>
          <w:p>
            <w:pPr>
              <w:spacing w:after="0"/>
              <w:rPr>
                <w:sz w:val="19"/>
                <w:szCs w:val="19"/>
                <w:color w:val="auto"/>
              </w:rPr>
            </w:pPr>
          </w:p>
        </w:tc>
      </w:tr>
      <w:tr>
        <w:trPr>
          <w:trHeight w:val="319"/>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Bernardo B. Fernandez</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Bernardo B. Fernandez</w:t>
            </w:r>
          </w:p>
        </w:tc>
        <w:tc>
          <w:tcPr>
            <w:tcW w:w="4600" w:type="dxa"/>
            <w:vAlign w:val="bottom"/>
          </w:tcPr>
          <w:p>
            <w:pPr>
              <w:spacing w:after="0"/>
              <w:rPr>
                <w:sz w:val="19"/>
                <w:szCs w:val="19"/>
                <w:color w:val="auto"/>
              </w:rPr>
            </w:pPr>
          </w:p>
        </w:tc>
      </w:tr>
      <w:tr>
        <w:trPr>
          <w:trHeight w:val="319"/>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Ramon A. Rodriguez</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Ramon A. Rodriguez</w:t>
            </w:r>
          </w:p>
        </w:tc>
        <w:tc>
          <w:tcPr>
            <w:tcW w:w="4600" w:type="dxa"/>
            <w:vAlign w:val="bottom"/>
          </w:tcPr>
          <w:p>
            <w:pPr>
              <w:spacing w:after="0"/>
              <w:rPr>
                <w:sz w:val="19"/>
                <w:szCs w:val="19"/>
                <w:color w:val="auto"/>
              </w:rPr>
            </w:pPr>
          </w:p>
        </w:tc>
      </w:tr>
      <w:tr>
        <w:trPr>
          <w:trHeight w:val="319"/>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Maria del Carmen Alonso</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Maria del Carmen Alonso</w:t>
            </w:r>
          </w:p>
        </w:tc>
        <w:tc>
          <w:tcPr>
            <w:tcW w:w="4600" w:type="dxa"/>
            <w:vAlign w:val="bottom"/>
          </w:tcPr>
          <w:p>
            <w:pPr>
              <w:spacing w:after="0"/>
              <w:rPr>
                <w:sz w:val="19"/>
                <w:szCs w:val="19"/>
                <w:color w:val="auto"/>
              </w:rPr>
            </w:pPr>
          </w:p>
        </w:tc>
      </w:tr>
      <w:tr>
        <w:trPr>
          <w:trHeight w:val="319"/>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E. Kafafian</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Robert E. Kafafian</w:t>
            </w:r>
          </w:p>
        </w:tc>
        <w:tc>
          <w:tcPr>
            <w:tcW w:w="4600" w:type="dxa"/>
            <w:vAlign w:val="bottom"/>
          </w:tcPr>
          <w:p>
            <w:pPr>
              <w:spacing w:after="0"/>
              <w:rPr>
                <w:sz w:val="19"/>
                <w:szCs w:val="19"/>
                <w:color w:val="auto"/>
              </w:rPr>
            </w:pPr>
          </w:p>
        </w:tc>
      </w:tr>
    </w:tbl>
    <w:p>
      <w:pPr>
        <w:sectPr>
          <w:pgSz w:w="11900" w:h="16838" w:orient="portrait"/>
          <w:cols w:equalWidth="0" w:num="1">
            <w:col w:w="11000"/>
          </w:cols>
          <w:pgMar w:left="440" w:top="266" w:right="45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920" w:type="dxa"/>
            <w:vAlign w:val="bottom"/>
            <w:gridSpan w:val="15"/>
          </w:tcPr>
          <w:p>
            <w:pPr>
              <w:ind w:left="500"/>
              <w:spacing w:after="0"/>
              <w:rPr>
                <w:sz w:val="20"/>
                <w:szCs w:val="20"/>
                <w:color w:val="auto"/>
              </w:rPr>
            </w:pPr>
            <w:r>
              <w:rPr>
                <w:rFonts w:ascii="Times New Roman" w:cs="Times New Roman" w:eastAsia="Times New Roman" w:hAnsi="Times New Roman"/>
                <w:sz w:val="18"/>
                <w:szCs w:val="18"/>
                <w:b w:val="1"/>
                <w:bCs w:val="1"/>
                <w:color w:val="auto"/>
              </w:rPr>
              <w:t>INDEX OF EXHIBITS</w:t>
            </w:r>
          </w:p>
        </w:tc>
        <w:tc>
          <w:tcPr>
            <w:tcW w:w="0" w:type="dxa"/>
            <w:vAlign w:val="bottom"/>
          </w:tcPr>
          <w:p>
            <w:pPr>
              <w:spacing w:after="0"/>
              <w:rPr>
                <w:sz w:val="1"/>
                <w:szCs w:val="1"/>
                <w:color w:val="auto"/>
              </w:rPr>
            </w:pPr>
          </w:p>
        </w:tc>
      </w:tr>
      <w:tr>
        <w:trPr>
          <w:trHeight w:val="367"/>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24"/>
                <w:szCs w:val="24"/>
                <w:color w:val="auto"/>
              </w:rPr>
            </w:pPr>
          </w:p>
        </w:tc>
        <w:tc>
          <w:tcPr>
            <w:tcW w:w="9980" w:type="dxa"/>
            <w:vAlign w:val="bottom"/>
            <w:gridSpan w:val="19"/>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9980" w:type="dxa"/>
            <w:vAlign w:val="bottom"/>
            <w:tcBorders>
              <w:bottom w:val="single" w:sz="8" w:color="auto"/>
            </w:tcBorders>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3"/>
                <w:szCs w:val="23"/>
                <w:color w:val="auto"/>
              </w:rPr>
            </w:pPr>
          </w:p>
        </w:tc>
        <w:tc>
          <w:tcPr>
            <w:tcW w:w="9980" w:type="dxa"/>
            <w:vAlign w:val="bottom"/>
            <w:gridSpan w:val="19"/>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Agreement and Plan of Share Exchange, dated December 27, 2021, by and between U.S. Century Bank and USCB Financial Holdings,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Inc. (incorporated by reference to Exhibit 2.1 to the Registrant’s Current Report on Form 8-K (File No. 001-41196) filed with the</w:t>
              </w:r>
            </w:hyperlink>
          </w:p>
        </w:tc>
        <w:tc>
          <w:tcPr>
            <w:tcW w:w="460" w:type="dxa"/>
            <w:vAlign w:val="bottom"/>
            <w:tcBorders>
              <w:top w:val="single" w:sz="8" w:color="0000EE"/>
            </w:tcBorders>
            <w:gridSpan w:val="5"/>
          </w:tcPr>
          <w:p>
            <w:pPr>
              <w:spacing w:after="0"/>
              <w:rPr>
                <w:sz w:val="17"/>
                <w:szCs w:val="17"/>
                <w:color w:val="auto"/>
              </w:rPr>
            </w:pP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9"/>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Securities and Exchange Commission on December 30,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9980" w:type="dxa"/>
            <w:vAlign w:val="bottom"/>
            <w:gridSpan w:val="19"/>
          </w:tcPr>
          <w:p>
            <w:pPr>
              <w:spacing w:after="0"/>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Articles of Incorporation of USCB Financial Holdings, Inc. (incorporated by reference to Exhibit 3.1 to the Registrant’s Current Report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Form 8-K (File No. 001-41196) filed with the Securities and Exchange Commission on December 30, 2021)</w:t>
              </w:r>
            </w:hyperlink>
          </w:p>
        </w:tc>
        <w:tc>
          <w:tcPr>
            <w:tcW w:w="216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tcPr>
          <w:p>
            <w:pPr>
              <w:spacing w:after="0"/>
              <w:rPr>
                <w:sz w:val="24"/>
                <w:szCs w:val="24"/>
                <w:color w:val="auto"/>
              </w:rPr>
            </w:pPr>
          </w:p>
        </w:tc>
        <w:tc>
          <w:tcPr>
            <w:tcW w:w="96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Amended and Restated Bylaws of USCB Financial Holdings, Inc. (incorporated by reference to Exhibit 3.2 to the Registrant’s Current</w:t>
              </w:r>
            </w:hyperlink>
          </w:p>
        </w:tc>
        <w:tc>
          <w:tcPr>
            <w:tcW w:w="3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5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Report on Form 8-K (File No. 001-41196) filed with the Securities and Exchange Commission on December 30,2021)</w:t>
              </w:r>
            </w:hyperlink>
          </w:p>
        </w:tc>
        <w:tc>
          <w:tcPr>
            <w:tcW w:w="14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tcPr>
          <w:p>
            <w:pPr>
              <w:spacing w:after="0"/>
              <w:rPr>
                <w:sz w:val="24"/>
                <w:szCs w:val="24"/>
                <w:color w:val="auto"/>
              </w:rPr>
            </w:pPr>
          </w:p>
        </w:tc>
        <w:tc>
          <w:tcPr>
            <w:tcW w:w="97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Side Letter Agreement, dated December 30, 2021, between USCB Financial Holdings, Inc., U.S. Century Bank, Priam Capital Fund II,</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3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LP, Patriot Financial Partners II, L.P. and Patriot Financial Partners Parallel II, L.P. (incorporated by reference to Exhibit 4.1 to the</w:t>
              </w:r>
            </w:hyperlink>
          </w:p>
        </w:tc>
        <w:tc>
          <w:tcPr>
            <w:tcW w:w="6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Registrant’s Current Report on Form 8-K (File No. 001-41196) filed with the Securities and Exchange Commission on December 30,</w:t>
              </w:r>
            </w:hyperlink>
          </w:p>
        </w:tc>
        <w:tc>
          <w:tcPr>
            <w:tcW w:w="3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960" w:type="dxa"/>
            <w:vAlign w:val="bottom"/>
            <w:gridSpan w:val="2"/>
          </w:tcPr>
          <w:p>
            <w:pPr>
              <w:ind w:left="540"/>
              <w:spacing w:after="0" w:line="196" w:lineRule="exact"/>
              <w:rPr>
                <w:rFonts w:ascii="Times New Roman" w:cs="Times New Roman" w:eastAsia="Times New Roman" w:hAnsi="Times New Roman"/>
                <w:sz w:val="18"/>
                <w:szCs w:val="18"/>
                <w:color w:val="0000EE"/>
                <w:w w:val="95"/>
              </w:rPr>
            </w:pPr>
            <w:hyperlink r:id="rId34">
              <w:r>
                <w:rPr>
                  <w:rFonts w:ascii="Times New Roman" w:cs="Times New Roman" w:eastAsia="Times New Roman" w:hAnsi="Times New Roman"/>
                  <w:sz w:val="18"/>
                  <w:szCs w:val="18"/>
                  <w:color w:val="0000EE"/>
                  <w:w w:val="95"/>
                </w:rPr>
                <w:t>2021)</w:t>
              </w:r>
            </w:hyperlink>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tcPr>
          <w:p>
            <w:pPr>
              <w:spacing w:after="0"/>
              <w:rPr>
                <w:sz w:val="24"/>
                <w:szCs w:val="24"/>
                <w:color w:val="auto"/>
              </w:rPr>
            </w:pPr>
          </w:p>
        </w:tc>
        <w:tc>
          <w:tcPr>
            <w:tcW w:w="95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U.S. Century Bank Amended and Restated 2015 Equity Incentive Plan (incorporated by reference to Exhibit 10.1 to the Registrant’s</w:t>
              </w:r>
            </w:hyperlink>
          </w:p>
        </w:tc>
        <w:tc>
          <w:tcPr>
            <w:tcW w:w="4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1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Current Report on Form 8-K (File No. 001-41196) filed with the Securities and Exchange Commission on December 30, 2021)</w:t>
              </w:r>
            </w:hyperlink>
          </w:p>
        </w:tc>
        <w:tc>
          <w:tcPr>
            <w:tcW w:w="8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99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Opinion of Squire Patton Boggs (US)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1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99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Consent of Squire Patton Boggs (US) LLP (included in exhibit 5.1)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48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Consent of Crowe LLP</w:t>
            </w:r>
          </w:p>
        </w:tc>
        <w:tc>
          <w:tcPr>
            <w:tcW w:w="51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1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4"/>
                <w:szCs w:val="24"/>
                <w:color w:val="auto"/>
              </w:rPr>
            </w:pPr>
          </w:p>
        </w:tc>
        <w:tc>
          <w:tcPr>
            <w:tcW w:w="99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Power of Attorney included as part of signature page.</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spacing w:after="0"/>
              <w:rPr>
                <w:sz w:val="24"/>
                <w:szCs w:val="24"/>
                <w:color w:val="auto"/>
              </w:rPr>
            </w:pPr>
          </w:p>
        </w:tc>
        <w:tc>
          <w:tcPr>
            <w:tcW w:w="11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2660" w:type="dxa"/>
            <w:vAlign w:val="bottom"/>
            <w:tcBorders>
              <w:top w:val="single" w:sz="8" w:color="0000EE"/>
            </w:tcBorders>
            <w:gridSpan w:val="3"/>
          </w:tcPr>
          <w:p>
            <w:pPr>
              <w:spacing w:after="0"/>
              <w:rPr>
                <w:sz w:val="24"/>
                <w:szCs w:val="24"/>
                <w:color w:val="auto"/>
              </w:rPr>
            </w:pPr>
          </w:p>
        </w:tc>
        <w:tc>
          <w:tcPr>
            <w:tcW w:w="61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ectPr>
          <w:pgSz w:w="11900" w:h="16838" w:orient="portrait"/>
          <w:cols w:equalWidth="0" w:num="1">
            <w:col w:w="11024"/>
          </w:cols>
          <w:pgMar w:left="436" w:top="266"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1311275" cy="4800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13112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June 9, 2022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2301 NW 87th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Doral, Florida 33172</w:t>
      </w:r>
    </w:p>
    <w:p>
      <w:pPr>
        <w:spacing w:after="0" w:line="23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Registration Statement on Form S-8</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We have acted as counsel to USCB Financial Holdings, Inc., a Florida corporation (the “Company”), in connection with the preparation and filing with the U.S. Securities and Exchange Commission (the “Commission”), pursuant to the Securities Act of 1933, as amended (the “Securities Act”), of a registration statement on Form S-8 (the “Registration Statement”), relating to the registration of 2,400,000 shares (the “Shares”) of the Company’s Class A Common Stock, par value $1.00 per share, reserved for issuance pursuant to the U.S. Century Bank Amended and Restated 2015 Equity Incentive Plan (the “Plan”).</w:t>
      </w:r>
    </w:p>
    <w:p>
      <w:pPr>
        <w:spacing w:after="0" w:line="183"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As such counsel and for purposes of our opinion set forth below, we have examined originals or copies, certified or otherwise identified to our satisfaction, of the Plan and other such documents, resolutions, certificates and instruments of the Company and corporate records furnished to us by the Company, certificates of public officials, statutes, records and such other instruments and documents as we have deemed necessary or appropriate as a basis for the opinion set forth below. In addition to the foregoing, we have made such investigations of law and fact as we have deemed necessary or appropriate as a basis for the opinion set forth herein.</w:t>
      </w:r>
    </w:p>
    <w:p>
      <w:pPr>
        <w:spacing w:after="0" w:line="183" w:lineRule="exact"/>
        <w:rPr>
          <w:sz w:val="20"/>
          <w:szCs w:val="20"/>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7"/>
          <w:szCs w:val="17"/>
          <w:color w:val="auto"/>
        </w:rPr>
        <w:t>In such examination and in rendering the opinion expressed below, we have assumed, without independent investigation or verification: (i) the genuineness of all signatures on all agreements, instruments, corporate records, certificates and other documents submitted to us, (ii) the legal capacity and authority of all persons or entities (other than the Company) executing all agreements, instruments, corporate records, certificates and other documents submitted to us, (iii) the authenticity and completeness of all agreements, instruments, corporate records, certificates and other documents submitted to us as originals, (iv) that all agreements, instruments, corporate records, certificates and other documents submitted to us as certified, electronic, facsimile, conformed, photostatic or other copies conform to authentic originals thereof, and that such originals are authentic and complete,</w:t>
      </w:r>
    </w:p>
    <w:p>
      <w:pPr>
        <w:spacing w:after="0" w:line="5" w:lineRule="exact"/>
        <w:rPr>
          <w:sz w:val="20"/>
          <w:szCs w:val="20"/>
          <w:color w:val="auto"/>
        </w:rPr>
      </w:pPr>
    </w:p>
    <w:p>
      <w:pPr>
        <w:ind w:left="4" w:right="160" w:hanging="4"/>
        <w:spacing w:after="0" w:line="252"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due authorization, execution and delivery of all agreements, instruments, certificates and other documents by all parties thereto (other than the Company), (vi) that the statements contained in the certificates and comparable documents of public officials, officers and representatives of the Company and other persons on which we have relied for the purposes of this opinion set forth below are true and correct, and (vii) that the officers and directors of the Company have properly exercised their fiduciary duties. As to all questions of fact material to the opinion and as to the materiality of any fact or other matter referred to herein, we have relied (without independent investigation) upon representations and certificates or comparable documents of officers and representatives of the Company.</w:t>
      </w:r>
    </w:p>
    <w:p>
      <w:pPr>
        <w:sectPr>
          <w:pgSz w:w="11900" w:h="16838" w:orient="portrait"/>
          <w:cols w:equalWidth="0" w:num="1">
            <w:col w:w="11024"/>
          </w:cols>
          <w:pgMar w:left="436" w:top="117"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Squire Patton Boggs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-5658485</wp:posOffset>
            </wp:positionH>
            <wp:positionV relativeFrom="paragraph">
              <wp:posOffset>-206375</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661" w:lineRule="exact"/>
        <w:rPr>
          <w:sz w:val="20"/>
          <w:szCs w:val="20"/>
          <w:color w:val="auto"/>
        </w:rPr>
      </w:pPr>
    </w:p>
    <w:p>
      <w:pPr>
        <w:sectPr>
          <w:pgSz w:w="11900" w:h="16838" w:orient="portrait"/>
          <w:cols w:equalWidth="0" w:num="2">
            <w:col w:w="8060" w:space="720"/>
            <w:col w:w="2240"/>
          </w:cols>
          <w:pgMar w:left="440" w:top="270" w:right="439" w:bottom="1440" w:gutter="0" w:footer="0" w:header="0"/>
        </w:sectPr>
      </w:pPr>
    </w:p>
    <w:p>
      <w:pPr>
        <w:spacing w:after="0" w:line="169" w:lineRule="exact"/>
        <w:rPr>
          <w:sz w:val="20"/>
          <w:szCs w:val="20"/>
          <w:color w:val="auto"/>
        </w:rPr>
      </w:pPr>
    </w:p>
    <w:p>
      <w:pPr>
        <w:jc w:val="both"/>
        <w:ind w:right="480" w:firstLine="440"/>
        <w:spacing w:after="0" w:line="266" w:lineRule="auto"/>
        <w:rPr>
          <w:sz w:val="20"/>
          <w:szCs w:val="20"/>
          <w:color w:val="auto"/>
        </w:rPr>
      </w:pPr>
      <w:r>
        <w:rPr>
          <w:rFonts w:ascii="Times New Roman" w:cs="Times New Roman" w:eastAsia="Times New Roman" w:hAnsi="Times New Roman"/>
          <w:sz w:val="18"/>
          <w:szCs w:val="18"/>
          <w:color w:val="auto"/>
        </w:rPr>
        <w:t>Based upon the foregoing, and in reliance thereon, and subject to the limitations, qualifications and exceptions set forth herein, we are of the opinion that the Shares have been duly authorized by the Company and, when issued or sold in accordance with the Registration Statement and in accordance with the Plan and the applicable award agreements thereunder, will be validly issued, fully paid and nonassessable.</w:t>
      </w:r>
    </w:p>
    <w:p>
      <w:pPr>
        <w:spacing w:after="0" w:line="176"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Without limiting any of the other limitations, exceptions and qualifications stated elsewhere herein, we express no opinion with regard to the applicability or effect of the law of any jurisdiction other than, as in effect as of the date of this letter, the laws of the State of Florida.</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This opinion letter deals only with the specified legal issues expressly addressed herein, and you should not infer any opinion that is not explicitly stated herein from any matter addressed in this opinion letter. This opinion is given as of the effective date of the Registration Statement, and we assume no obligation to update or supplement the opinions contained herein to reflect any facts or circumstances which may hereafter come to our attention or any changes in laws which may hereafter occur.</w:t>
      </w:r>
    </w:p>
    <w:p>
      <w:pPr>
        <w:spacing w:after="0" w:line="180"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letter as Exhibit 5.1 to the Registration Statement. In giving this consent, we do not admit that we are within the category of persons whose consent is required under Section 7 of the Securities Act or the rules and regulations of the Commission promulgated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Squire Patton Boggs (US) LLP</w:t>
      </w:r>
    </w:p>
    <w:p>
      <w:pPr>
        <w:sectPr>
          <w:pgSz w:w="11900" w:h="16838" w:orient="portrait"/>
          <w:cols w:equalWidth="0" w:num="1">
            <w:col w:w="11020"/>
          </w:cols>
          <w:pgMar w:left="440" w:top="270" w:right="43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USCB Financial Holdings, Inc. of our report dated March 24, 2022 relating to the consolidated financial statements appearing in the Annual Report on Form 10-K of USCB Financial Holdings, Inc. for the year ended December 31, 2021.</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Crowe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2022</w:t>
      </w:r>
    </w:p>
    <w:p>
      <w:pPr>
        <w:sectPr>
          <w:pgSz w:w="11900" w:h="16838" w:orient="portrait"/>
          <w:cols w:equalWidth="0" w:num="1">
            <w:col w:w="11020"/>
          </w:cols>
          <w:pgMar w:left="440" w:top="117"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-7620</wp:posOffset>
            </wp:positionV>
            <wp:extent cx="6153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615315" cy="8255"/>
                    </a:xfrm>
                    <a:prstGeom prst="rect">
                      <a:avLst/>
                    </a:prstGeom>
                    <a:noFill/>
                  </pic:spPr>
                </pic:pic>
              </a:graphicData>
            </a:graphic>
          </wp:anchor>
        </w:drawing>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-7620</wp:posOffset>
            </wp:positionV>
            <wp:extent cx="20027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734" w:type="dxa"/>
        <w:tblCellMar>
          <w:top w:w="0" w:type="dxa"/>
          <w:left w:w="0" w:type="dxa"/>
          <w:bottom w:w="0" w:type="dxa"/>
          <w:right w:w="0" w:type="dxa"/>
        </w:tblCellMar>
      </w:tblPr>
      <w:tr>
        <w:trPr>
          <w:trHeight w:val="144"/>
        </w:trPr>
        <w:tc>
          <w:tcPr>
            <w:tcW w:w="680" w:type="dxa"/>
            <w:vAlign w:val="bottom"/>
            <w:tcBorders>
              <w:top w:val="single" w:sz="8" w:color="auto"/>
              <w:left w:val="single" w:sz="8" w:color="auto"/>
              <w:right w:val="single" w:sz="8" w:color="auto"/>
            </w:tcBorders>
          </w:tcPr>
          <w:p>
            <w:pPr>
              <w:spacing w:after="0"/>
              <w:rPr>
                <w:sz w:val="12"/>
                <w:szCs w:val="12"/>
                <w:color w:val="auto"/>
              </w:rPr>
            </w:pPr>
          </w:p>
        </w:tc>
        <w:tc>
          <w:tcPr>
            <w:tcW w:w="374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Maximum</w:t>
            </w:r>
          </w:p>
        </w:tc>
        <w:tc>
          <w:tcPr>
            <w:tcW w:w="88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8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Fee</w:t>
            </w:r>
          </w:p>
        </w:tc>
        <w:tc>
          <w:tcPr>
            <w:tcW w:w="8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06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80" w:type="dxa"/>
            <w:vAlign w:val="bottom"/>
            <w:tcBorders>
              <w:left w:val="single" w:sz="8" w:color="auto"/>
              <w:right w:val="single" w:sz="8" w:color="auto"/>
            </w:tcBorders>
          </w:tcPr>
          <w:p>
            <w:pPr>
              <w:spacing w:after="0"/>
              <w:rPr>
                <w:sz w:val="11"/>
                <w:szCs w:val="11"/>
                <w:color w:val="auto"/>
              </w:rPr>
            </w:pPr>
          </w:p>
        </w:tc>
        <w:tc>
          <w:tcPr>
            <w:tcW w:w="3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Calculation or</w:t>
            </w:r>
          </w:p>
        </w:tc>
        <w:tc>
          <w:tcPr>
            <w:tcW w:w="84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8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135"/>
        </w:trPr>
        <w:tc>
          <w:tcPr>
            <w:tcW w:w="680" w:type="dxa"/>
            <w:vAlign w:val="bottom"/>
            <w:tcBorders>
              <w:left w:val="single" w:sz="8" w:color="auto"/>
              <w:right w:val="single" w:sz="8" w:color="auto"/>
            </w:tcBorders>
          </w:tcPr>
          <w:p>
            <w:pPr>
              <w:jc w:val="center"/>
              <w:ind w:left="68"/>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3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Carry Forward</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74"/>
        </w:trPr>
        <w:tc>
          <w:tcPr>
            <w:tcW w:w="680" w:type="dxa"/>
            <w:vAlign w:val="bottom"/>
            <w:tcBorders>
              <w:left w:val="single" w:sz="8" w:color="auto"/>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3"/>
                <w:szCs w:val="13"/>
                <w:color w:val="auto"/>
                <w:w w:val="89"/>
              </w:rPr>
              <w:t>Type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Registered</w:t>
            </w:r>
            <w:r>
              <w:rPr>
                <w:rFonts w:ascii="Times New Roman" w:cs="Times New Roman" w:eastAsia="Times New Roman" w:hAnsi="Times New Roman"/>
                <w:sz w:val="10"/>
                <w:szCs w:val="10"/>
                <w:color w:val="auto"/>
                <w:w w:val="98"/>
              </w:rPr>
              <w:t>(1)</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Share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Price</w:t>
            </w:r>
            <w:r>
              <w:rPr>
                <w:rFonts w:ascii="Times New Roman" w:cs="Times New Roman" w:eastAsia="Times New Roman" w:hAnsi="Times New Roman"/>
                <w:sz w:val="10"/>
                <w:szCs w:val="10"/>
                <w:color w:val="auto"/>
                <w:w w:val="98"/>
              </w:rPr>
              <w:t>(2)</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33"/>
        </w:trPr>
        <w:tc>
          <w:tcPr>
            <w:tcW w:w="680" w:type="dxa"/>
            <w:vAlign w:val="bottom"/>
            <w:tcBorders>
              <w:left w:val="single" w:sz="8" w:color="auto"/>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8"/>
                <w:szCs w:val="18"/>
                <w:color w:val="auto"/>
                <w:w w:val="99"/>
              </w:rPr>
              <w:t>Equity</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$1.00 par value per share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457(c), (h)</w:t>
            </w:r>
          </w:p>
        </w:tc>
        <w:tc>
          <w:tcPr>
            <w:tcW w:w="84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8"/>
                <w:szCs w:val="18"/>
                <w:color w:val="auto"/>
                <w:w w:val="99"/>
              </w:rPr>
              <w:t>2,400,000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$13.04</w:t>
            </w:r>
          </w:p>
        </w:tc>
        <w:tc>
          <w:tcPr>
            <w:tcW w:w="106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color w:val="auto"/>
              </w:rPr>
              <w:t>$31,296,000</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0.0000927</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$2,901.14</w:t>
            </w:r>
          </w:p>
        </w:tc>
        <w:tc>
          <w:tcPr>
            <w:tcW w:w="0" w:type="dxa"/>
            <w:vAlign w:val="bottom"/>
          </w:tcPr>
          <w:p>
            <w:pPr>
              <w:spacing w:after="0"/>
              <w:rPr>
                <w:sz w:val="1"/>
                <w:szCs w:val="1"/>
                <w:color w:val="auto"/>
              </w:rPr>
            </w:pPr>
          </w:p>
        </w:tc>
      </w:tr>
      <w:tr>
        <w:trPr>
          <w:trHeight w:val="236"/>
        </w:trPr>
        <w:tc>
          <w:tcPr>
            <w:tcW w:w="680" w:type="dxa"/>
            <w:vAlign w:val="bottom"/>
            <w:tcBorders>
              <w:left w:val="single" w:sz="8" w:color="auto"/>
              <w:bottom w:val="single" w:sz="8" w:color="auto"/>
            </w:tcBorders>
          </w:tcPr>
          <w:p>
            <w:pPr>
              <w:spacing w:after="0"/>
              <w:rPr>
                <w:sz w:val="20"/>
                <w:szCs w:val="20"/>
                <w:color w:val="auto"/>
              </w:rPr>
            </w:pPr>
          </w:p>
        </w:tc>
        <w:tc>
          <w:tcPr>
            <w:tcW w:w="3740" w:type="dxa"/>
            <w:vAlign w:val="bottom"/>
            <w:tcBorders>
              <w:bottom w:val="single" w:sz="8" w:color="auto"/>
            </w:tcBorders>
          </w:tcPr>
          <w:p>
            <w:pPr>
              <w:jc w:val="center"/>
              <w:ind w:left="1080"/>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8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color w:val="auto"/>
              </w:rPr>
              <w:t>$31,296,000</w:t>
            </w:r>
          </w:p>
        </w:tc>
        <w:tc>
          <w:tcPr>
            <w:tcW w:w="8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$2,901.14</w:t>
            </w:r>
          </w:p>
        </w:tc>
        <w:tc>
          <w:tcPr>
            <w:tcW w:w="0" w:type="dxa"/>
            <w:vAlign w:val="bottom"/>
          </w:tcPr>
          <w:p>
            <w:pPr>
              <w:spacing w:after="0"/>
              <w:rPr>
                <w:sz w:val="1"/>
                <w:szCs w:val="1"/>
                <w:color w:val="auto"/>
              </w:rPr>
            </w:pPr>
          </w:p>
        </w:tc>
      </w:tr>
      <w:tr>
        <w:trPr>
          <w:trHeight w:val="237"/>
        </w:trPr>
        <w:tc>
          <w:tcPr>
            <w:tcW w:w="680" w:type="dxa"/>
            <w:vAlign w:val="bottom"/>
            <w:tcBorders>
              <w:left w:val="single" w:sz="8" w:color="auto"/>
              <w:bottom w:val="single" w:sz="8" w:color="auto"/>
            </w:tcBorders>
          </w:tcPr>
          <w:p>
            <w:pPr>
              <w:spacing w:after="0"/>
              <w:rPr>
                <w:sz w:val="20"/>
                <w:szCs w:val="20"/>
                <w:color w:val="auto"/>
              </w:rPr>
            </w:pPr>
          </w:p>
        </w:tc>
        <w:tc>
          <w:tcPr>
            <w:tcW w:w="3740" w:type="dxa"/>
            <w:vAlign w:val="bottom"/>
            <w:tcBorders>
              <w:bottom w:val="single" w:sz="8" w:color="auto"/>
            </w:tcBorders>
          </w:tcPr>
          <w:p>
            <w:pPr>
              <w:jc w:val="center"/>
              <w:ind w:left="1080"/>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8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80" w:type="dxa"/>
            <w:vAlign w:val="bottom"/>
            <w:tcBorders>
              <w:left w:val="single" w:sz="8" w:color="auto"/>
              <w:bottom w:val="single" w:sz="8" w:color="auto"/>
            </w:tcBorders>
          </w:tcPr>
          <w:p>
            <w:pPr>
              <w:spacing w:after="0"/>
              <w:rPr>
                <w:sz w:val="20"/>
                <w:szCs w:val="20"/>
                <w:color w:val="auto"/>
              </w:rPr>
            </w:pPr>
          </w:p>
        </w:tc>
        <w:tc>
          <w:tcPr>
            <w:tcW w:w="3740" w:type="dxa"/>
            <w:vAlign w:val="bottom"/>
            <w:tcBorders>
              <w:bottom w:val="single" w:sz="8" w:color="auto"/>
            </w:tcBorders>
          </w:tcPr>
          <w:p>
            <w:pPr>
              <w:jc w:val="center"/>
              <w:ind w:left="1060"/>
              <w:spacing w:after="0"/>
              <w:rPr>
                <w:sz w:val="20"/>
                <w:szCs w:val="20"/>
                <w:color w:val="auto"/>
              </w:rPr>
            </w:pPr>
            <w:r>
              <w:rPr>
                <w:rFonts w:ascii="Times New Roman" w:cs="Times New Roman" w:eastAsia="Times New Roman" w:hAnsi="Times New Roman"/>
                <w:sz w:val="18"/>
                <w:szCs w:val="18"/>
                <w:color w:val="auto"/>
                <w:w w:val="98"/>
              </w:rPr>
              <w:t>Total Fee Offsets:</w:t>
            </w:r>
          </w:p>
        </w:tc>
        <w:tc>
          <w:tcPr>
            <w:tcW w:w="8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80" w:type="dxa"/>
            <w:vAlign w:val="bottom"/>
            <w:tcBorders>
              <w:left w:val="single" w:sz="8" w:color="auto"/>
              <w:bottom w:val="single" w:sz="8" w:color="auto"/>
            </w:tcBorders>
          </w:tcPr>
          <w:p>
            <w:pPr>
              <w:spacing w:after="0"/>
              <w:rPr>
                <w:sz w:val="20"/>
                <w:szCs w:val="20"/>
                <w:color w:val="auto"/>
              </w:rPr>
            </w:pPr>
          </w:p>
        </w:tc>
        <w:tc>
          <w:tcPr>
            <w:tcW w:w="3740" w:type="dxa"/>
            <w:vAlign w:val="bottom"/>
            <w:tcBorders>
              <w:bottom w:val="single" w:sz="8" w:color="auto"/>
            </w:tcBorders>
          </w:tcPr>
          <w:p>
            <w:pPr>
              <w:jc w:val="center"/>
              <w:ind w:left="1060"/>
              <w:spacing w:after="0"/>
              <w:rPr>
                <w:sz w:val="20"/>
                <w:szCs w:val="20"/>
                <w:color w:val="auto"/>
              </w:rPr>
            </w:pPr>
            <w:r>
              <w:rPr>
                <w:rFonts w:ascii="Times New Roman" w:cs="Times New Roman" w:eastAsia="Times New Roman" w:hAnsi="Times New Roman"/>
                <w:sz w:val="18"/>
                <w:szCs w:val="18"/>
                <w:color w:val="auto"/>
                <w:w w:val="99"/>
              </w:rPr>
              <w:t>Net Fee Due:</w:t>
            </w:r>
          </w:p>
        </w:tc>
        <w:tc>
          <w:tcPr>
            <w:tcW w:w="8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$2.901.14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300"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common stock of the Company that become issuable under the Plan by reason of any stock dividend, stock split, recapitalization or other similar transaction effected without the receipt of consideration that results in an increase or decrease in the number of outstanding shares of the common stock of the Company.</w:t>
      </w:r>
    </w:p>
    <w:p>
      <w:pPr>
        <w:spacing w:after="0" w:line="206" w:lineRule="exact"/>
        <w:rPr>
          <w:rFonts w:ascii="Times New Roman" w:cs="Times New Roman" w:eastAsia="Times New Roman" w:hAnsi="Times New Roman"/>
          <w:sz w:val="18"/>
          <w:szCs w:val="18"/>
          <w:color w:val="auto"/>
        </w:rPr>
      </w:pPr>
    </w:p>
    <w:p>
      <w:pPr>
        <w:jc w:val="both"/>
        <w:ind w:left="424" w:right="400" w:hanging="424"/>
        <w:spacing w:after="0" w:line="266"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made solely for the purpose of determining the registration fee pursuant to the provisions of Rule 457(c) and (h) under the Securities Act, based on the average high and low prices of the Registrant’s Common Stock on June 6, 2022, as reported on the Nasdaq Stock Market.</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02"/>
    </w:lvl>
  </w:abstractNum>
  <w:abstractNum w:abstractNumId="1">
    <w:nsid w:val="238E1F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46E87CCD"/>
    <w:multiLevelType w:val="hybridMultilevel"/>
    <w:lvl w:ilvl="0">
      <w:lvlJc w:val="left"/>
      <w:lvlText w:val="%1"/>
      <w:numFmt w:val="lowerLetter"/>
      <w:start w:val="1"/>
    </w:lvl>
    <w:lvl w:ilvl="1">
      <w:lvlJc w:val="left"/>
      <w:lvlText w:val="(%2)"/>
      <w:numFmt w:val="decimal"/>
      <w:start w:val="2"/>
    </w:lvl>
  </w:abstractNum>
  <w:abstractNum w:abstractNumId="3">
    <w:nsid w:val="3D1B58BA"/>
    <w:multiLevelType w:val="hybridMultilevel"/>
    <w:lvl w:ilvl="0">
      <w:lvlJc w:val="left"/>
      <w:lvlText w:val="(%1)"/>
      <w:numFmt w:val="lowerLetter"/>
      <w:start w:val="2"/>
    </w:lvl>
    <w:lvl w:ilvl="1">
      <w:lvlJc w:val="left"/>
      <w:lvlText w:val="%2"/>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5"/>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6" Type="http://schemas.openxmlformats.org/officeDocument/2006/relationships/image" Target="media/image16.jpe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17" Type="http://schemas.openxmlformats.org/officeDocument/2006/relationships/hyperlink" Target="http://www.sec.gov/ix?doc=/Archives/edgar/data/1901637/000156276222000137/uscb-10K-20211231.htm" TargetMode="External"/><Relationship Id="rId18" Type="http://schemas.openxmlformats.org/officeDocument/2006/relationships/hyperlink" Target="http://www.sec.gov/ix?doc=/Archives/edgar/data/1901637/000190163722000004/uscb-10K-20211231.htm" TargetMode="External"/><Relationship Id="rId20" Type="http://schemas.openxmlformats.org/officeDocument/2006/relationships/hyperlink" Target="http://www.sec.gov/ix?doc=/Archives/edgar/data/1901637/000092708922000027/uscb20220218_8k.htm" TargetMode="External"/><Relationship Id="rId21" Type="http://schemas.openxmlformats.org/officeDocument/2006/relationships/hyperlink" Target="http://www.sec.gov/ix?doc=/Archives/edgar/data/1901637/000092708922000036/uscb20220401_8k.htm" TargetMode="External"/><Relationship Id="rId22" Type="http://schemas.openxmlformats.org/officeDocument/2006/relationships/hyperlink" Target="http://www.sec.gov/ix?doc=/Archives/edgar/data/1901637/000092708922000043/uscb20220404b_8k.htm" TargetMode="External"/><Relationship Id="rId23" Type="http://schemas.openxmlformats.org/officeDocument/2006/relationships/hyperlink" Target="http://www.sec.gov/ix?doc=/Archives/edgar/data/1901637/000092708922000065/uscb20220427_8k.htm" TargetMode="External"/><Relationship Id="rId24" Type="http://schemas.openxmlformats.org/officeDocument/2006/relationships/hyperlink" Target="http://www.sec.gov/ix?doc=/Archives/edgar/data/1901637/000092708922000081/uscb20220602_8k.htm" TargetMode="External"/><Relationship Id="rId25" Type="http://schemas.openxmlformats.org/officeDocument/2006/relationships/hyperlink" Target="http://www.sec.gov/Archives/edgar/data/1901637/000156276222000137/exhibit44.htm" TargetMode="External"/><Relationship Id="rId31" Type="http://schemas.openxmlformats.org/officeDocument/2006/relationships/hyperlink" Target="http://www.sec.gov/Archives/edgar/data/1901637/000119312521369812/d628417dex21.htm" TargetMode="External"/><Relationship Id="rId32" Type="http://schemas.openxmlformats.org/officeDocument/2006/relationships/hyperlink" Target="http://www.sec.gov/Archives/edgar/data/1901637/000119312521369812/d628417dex31.htm" TargetMode="External"/><Relationship Id="rId33" Type="http://schemas.openxmlformats.org/officeDocument/2006/relationships/hyperlink" Target="http://www.sec.gov/Archives/edgar/data/1901637/000119312521369812/d628417dex32.htm" TargetMode="External"/><Relationship Id="rId34" Type="http://schemas.openxmlformats.org/officeDocument/2006/relationships/hyperlink" Target="http://www.sec.gov/Archives/edgar/data/1901637/000119312521369812/d628417dex41.htm" TargetMode="External"/><Relationship Id="rId35" Type="http://schemas.openxmlformats.org/officeDocument/2006/relationships/hyperlink" Target="http://www.sec.gov/Archives/edgar/data/1901637/000119312521369812/d62841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2022-06-09T15:19:56Z</dcterms:created>
  <dcterms:modified xsi:type="dcterms:W3CDTF">2022-06-09T15:19:56Z</dcterms:modified>
</cp:coreProperties>
</file>