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-240665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80" w:type="dxa"/>
            <w:vAlign w:val="bottom"/>
          </w:tcPr>
          <w:p>
            <w:pPr>
              <w:jc w:val="center"/>
              <w:ind w:right="11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80" w:type="dxa"/>
            <w:vAlign w:val="bottom"/>
            <w:vMerge w:val="restart"/>
          </w:tcPr>
          <w:p>
            <w:pPr>
              <w:jc w:val="center"/>
              <w:ind w:right="94"/>
              <w:spacing w:after="0" w:line="14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8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5314315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-1583690</wp:posOffset>
            </wp:positionH>
            <wp:positionV relativeFrom="paragraph">
              <wp:posOffset>26035</wp:posOffset>
            </wp:positionV>
            <wp:extent cx="6990715" cy="5868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0715" cy="58686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180" w:space="300"/>
            <w:col w:w="8600"/>
          </w:cols>
          <w:pgMar w:left="460" w:top="218" w:right="359" w:bottom="1440" w:gutter="0" w:footer="0" w:header="0"/>
        </w:sectPr>
      </w:pPr>
    </w:p>
    <w:p>
      <w:pPr>
        <w:spacing w:after="0" w:line="10"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ABADIN RAMON</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40"/>
        <w:spacing w:after="0" w:line="357" w:lineRule="auto"/>
        <w:rPr>
          <w:sz w:val="20"/>
          <w:szCs w:val="20"/>
          <w:color w:val="auto"/>
        </w:rPr>
      </w:pPr>
      <w:r>
        <w:rPr>
          <w:rFonts w:ascii="Times New Roman" w:cs="Times New Roman" w:eastAsia="Times New Roman" w:hAnsi="Times New Roman"/>
          <w:sz w:val="17"/>
          <w:szCs w:val="17"/>
          <w:color w:val="0000FF"/>
        </w:rPr>
        <w:t>C/O USCB FINANCIAL HOLDINGS, INC. 2301 N.W. 87TH AVENUE</w:t>
      </w:r>
    </w:p>
    <w:p>
      <w:pPr>
        <w:spacing w:after="0" w:line="170" w:lineRule="exact"/>
        <w:rPr>
          <w:sz w:val="24"/>
          <w:szCs w:val="24"/>
          <w:color w:val="auto"/>
        </w:rPr>
      </w:pPr>
    </w:p>
    <w:tbl>
      <w:tblPr>
        <w:tblLayout w:type="fixed"/>
        <w:tblInd w:w="80" w:type="dxa"/>
        <w:tblCellMar>
          <w:top w:w="0" w:type="dxa"/>
          <w:left w:w="0" w:type="dxa"/>
          <w:bottom w:w="0" w:type="dxa"/>
          <w:right w:w="0" w:type="dxa"/>
        </w:tblCellMar>
      </w:tblPr>
      <w:tr>
        <w:trPr>
          <w:trHeight w:val="173"/>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4"/>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DORAL</w:t>
            </w: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33172</w:t>
            </w:r>
          </w:p>
        </w:tc>
      </w:tr>
      <w:tr>
        <w:trPr>
          <w:trHeight w:val="152"/>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5"/>
        </w:trPr>
        <w:tc>
          <w:tcPr>
            <w:tcW w:w="60" w:type="dxa"/>
            <w:vAlign w:val="bottom"/>
          </w:tcPr>
          <w:p>
            <w:pPr>
              <w:spacing w:after="0"/>
              <w:rPr>
                <w:sz w:val="12"/>
                <w:szCs w:val="12"/>
                <w:color w:val="auto"/>
              </w:rPr>
            </w:pPr>
          </w:p>
        </w:tc>
        <w:tc>
          <w:tcPr>
            <w:tcW w:w="3760" w:type="dxa"/>
            <w:vAlign w:val="bottom"/>
            <w:gridSpan w:val="3"/>
          </w:tcPr>
          <w:p>
            <w:pPr>
              <w:spacing w:after="0" w:line="145"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USCB FINANCIAL HOLDINGS, INC. </w:t>
              </w:r>
            </w:hyperlink>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60" w:type="dxa"/>
            <w:vAlign w:val="bottom"/>
          </w:tcPr>
          <w:p>
            <w:pPr>
              <w:spacing w:after="0"/>
              <w:rPr>
                <w:sz w:val="3"/>
                <w:szCs w:val="3"/>
                <w:color w:val="auto"/>
              </w:rPr>
            </w:pPr>
          </w:p>
        </w:tc>
        <w:tc>
          <w:tcPr>
            <w:tcW w:w="3760" w:type="dxa"/>
            <w:vAlign w:val="bottom"/>
            <w:gridSpan w:val="3"/>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vMerge w:val="restart"/>
          </w:tcPr>
          <w:p>
            <w:pPr>
              <w:ind w:left="60"/>
              <w:spacing w:after="0" w:line="51" w:lineRule="exact"/>
              <w:rPr>
                <w:sz w:val="20"/>
                <w:szCs w:val="20"/>
                <w:color w:val="auto"/>
              </w:rPr>
            </w:pPr>
            <w:r>
              <w:rPr>
                <w:rFonts w:ascii="Times New Roman" w:cs="Times New Roman" w:eastAsia="Times New Roman" w:hAnsi="Times New Roman"/>
                <w:sz w:val="5"/>
                <w:szCs w:val="5"/>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60" w:type="dxa"/>
            <w:vAlign w:val="bottom"/>
          </w:tcPr>
          <w:p>
            <w:pPr>
              <w:spacing w:after="0" w:line="20" w:lineRule="exact"/>
              <w:rPr>
                <w:sz w:val="1"/>
                <w:szCs w:val="1"/>
                <w:color w:val="auto"/>
              </w:rPr>
            </w:pPr>
          </w:p>
        </w:tc>
        <w:tc>
          <w:tcPr>
            <w:tcW w:w="3400" w:type="dxa"/>
            <w:vAlign w:val="bottom"/>
            <w:gridSpan w:val="2"/>
            <w:shd w:val="clear" w:color="auto" w:fill="0000EE"/>
          </w:tcPr>
          <w:p>
            <w:pPr>
              <w:spacing w:after="0"/>
              <w:rPr>
                <w:rFonts w:ascii="Times New Roman" w:cs="Times New Roman" w:eastAsia="Times New Roman" w:hAnsi="Times New Roman"/>
                <w:sz w:val="1"/>
                <w:szCs w:val="1"/>
                <w:color w:val="0000FF"/>
              </w:rPr>
            </w:pPr>
            <w:hyperlink r:id="rId13">
              <w:r>
                <w:rPr>
                  <w:rFonts w:ascii="Times New Roman" w:cs="Times New Roman" w:eastAsia="Times New Roman" w:hAnsi="Times New Roman"/>
                  <w:sz w:val="1"/>
                  <w:szCs w:val="1"/>
                  <w:color w:val="0000FF"/>
                </w:rPr>
                <w:t xml:space="preserve">USCB </w:t>
              </w:r>
              <w:r>
                <w:rPr>
                  <w:rFonts w:ascii="Times New Roman" w:cs="Times New Roman" w:eastAsia="Times New Roman" w:hAnsi="Times New Roman"/>
                  <w:sz w:val="1"/>
                  <w:szCs w:val="1"/>
                  <w:color w:val="000000"/>
                </w:rPr>
                <w:t>]</w:t>
              </w:r>
            </w:hyperlink>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32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3"/>
        </w:trPr>
        <w:tc>
          <w:tcPr>
            <w:tcW w:w="3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02/16/2024</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1" w:lineRule="exact"/>
        <w:rPr>
          <w:sz w:val="20"/>
          <w:szCs w:val="20"/>
          <w:color w:val="auto"/>
        </w:rPr>
      </w:pPr>
    </w:p>
    <w:p>
      <w:pPr>
        <w:ind w:left="4100"/>
        <w:spacing w:after="0"/>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8"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21" w:lineRule="exact"/>
        <w:rPr>
          <w:sz w:val="20"/>
          <w:szCs w:val="20"/>
          <w:color w:val="auto"/>
        </w:rPr>
      </w:pPr>
    </w:p>
    <w:p>
      <w:pPr>
        <w:ind w:left="340" w:right="500"/>
        <w:spacing w:after="0" w:line="25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0"/>
          <w:szCs w:val="20"/>
          <w:color w:val="auto"/>
        </w:rPr>
      </w:pPr>
    </w:p>
    <w:p>
      <w:pPr>
        <w:sectPr>
          <w:pgSz w:w="11900" w:h="16838" w:orient="portrait"/>
          <w:cols w:equalWidth="0" w:num="2">
            <w:col w:w="3740" w:space="100"/>
            <w:col w:w="724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620"/>
              <w:spacing w:after="0" w:line="132"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98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20"/>
              <w:spacing w:after="0" w:line="132"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240"/>
              <w:spacing w:after="0" w:line="132" w:lineRule="exact"/>
              <w:rPr>
                <w:sz w:val="20"/>
                <w:szCs w:val="20"/>
                <w:color w:val="auto"/>
              </w:rPr>
            </w:pPr>
            <w:r>
              <w:rPr>
                <w:rFonts w:ascii="Arial" w:cs="Arial" w:eastAsia="Arial" w:hAnsi="Arial"/>
                <w:sz w:val="12"/>
                <w:szCs w:val="12"/>
                <w:b w:val="1"/>
                <w:bCs w:val="1"/>
                <w:color w:val="auto"/>
                <w:w w:val="93"/>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60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72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0000FF"/>
              </w:rPr>
              <w:t>02/16/2024</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981</w:t>
            </w:r>
          </w:p>
        </w:tc>
        <w:tc>
          <w:tcPr>
            <w:tcW w:w="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11.35</w:t>
            </w: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23,633</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20" w:type="dxa"/>
            <w:vAlign w:val="bottom"/>
            <w:gridSpan w:val="10"/>
          </w:tcPr>
          <w:p>
            <w:pPr>
              <w:ind w:left="5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2"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28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2"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and 4)</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5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9"/>
              </w:rPr>
              <w:t>Class</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Times New Roman" w:cs="Times New Roman" w:eastAsia="Times New Roman" w:hAnsi="Times New Roman"/>
                <w:sz w:val="13"/>
                <w:szCs w:val="13"/>
                <w:color w:val="0000FF"/>
              </w:rPr>
              <w:t>Option</w:t>
            </w:r>
          </w:p>
        </w:tc>
        <w:tc>
          <w:tcPr>
            <w:tcW w:w="800" w:type="dxa"/>
            <w:vAlign w:val="bottom"/>
            <w:vMerge w:val="restart"/>
          </w:tcPr>
          <w:p>
            <w:pPr>
              <w:jc w:val="center"/>
              <w:ind w:right="20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7.5</w:t>
            </w: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01/23/2018</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01/23/2027</w:t>
            </w:r>
          </w:p>
        </w:tc>
        <w:tc>
          <w:tcPr>
            <w:tcW w:w="56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5,000</w:t>
            </w:r>
          </w:p>
        </w:tc>
        <w:tc>
          <w:tcPr>
            <w:tcW w:w="920" w:type="dxa"/>
            <w:vAlign w:val="bottom"/>
            <w:vMerge w:val="restart"/>
          </w:tcPr>
          <w:p>
            <w:pPr>
              <w:ind w:left="56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tcPr>
          <w:p>
            <w:pPr>
              <w:ind w:left="80"/>
              <w:spacing w:after="0" w:line="145" w:lineRule="exact"/>
              <w:rPr>
                <w:sz w:val="20"/>
                <w:szCs w:val="20"/>
                <w:color w:val="auto"/>
              </w:rPr>
            </w:pPr>
            <w:r>
              <w:rPr>
                <w:rFonts w:ascii="Times New Roman" w:cs="Times New Roman" w:eastAsia="Times New Roman" w:hAnsi="Times New Roman"/>
                <w:sz w:val="13"/>
                <w:szCs w:val="13"/>
                <w:color w:val="0000FF"/>
              </w:rPr>
              <w:t>Voting</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9"/>
              </w:rPr>
              <w:t>Class</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Times New Roman" w:cs="Times New Roman" w:eastAsia="Times New Roman" w:hAnsi="Times New Roman"/>
                <w:sz w:val="13"/>
                <w:szCs w:val="13"/>
                <w:color w:val="0000FF"/>
              </w:rPr>
              <w:t>Option</w:t>
            </w:r>
          </w:p>
        </w:tc>
        <w:tc>
          <w:tcPr>
            <w:tcW w:w="800" w:type="dxa"/>
            <w:vAlign w:val="bottom"/>
            <w:vMerge w:val="restart"/>
          </w:tcPr>
          <w:p>
            <w:pPr>
              <w:jc w:val="center"/>
              <w:ind w:right="14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11.35</w:t>
            </w: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09/23/2020</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09/23/2029</w:t>
            </w:r>
          </w:p>
        </w:tc>
        <w:tc>
          <w:tcPr>
            <w:tcW w:w="56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4,000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4,000</w:t>
            </w:r>
          </w:p>
        </w:tc>
        <w:tc>
          <w:tcPr>
            <w:tcW w:w="920" w:type="dxa"/>
            <w:vAlign w:val="bottom"/>
            <w:vMerge w:val="restart"/>
          </w:tcPr>
          <w:p>
            <w:pPr>
              <w:ind w:left="56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tcPr>
          <w:p>
            <w:pPr>
              <w:ind w:left="80"/>
              <w:spacing w:after="0" w:line="145" w:lineRule="exact"/>
              <w:rPr>
                <w:sz w:val="20"/>
                <w:szCs w:val="20"/>
                <w:color w:val="auto"/>
              </w:rPr>
            </w:pPr>
            <w:r>
              <w:rPr>
                <w:rFonts w:ascii="Times New Roman" w:cs="Times New Roman" w:eastAsia="Times New Roman" w:hAnsi="Times New Roman"/>
                <w:sz w:val="13"/>
                <w:szCs w:val="13"/>
                <w:color w:val="0000FF"/>
              </w:rPr>
              <w:t>Voting</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-2682875</wp:posOffset>
            </wp:positionV>
            <wp:extent cx="29210" cy="2687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68732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Robert Anderson by P.O.A.</w:t>
            </w:r>
          </w:p>
        </w:tc>
        <w:tc>
          <w:tcPr>
            <w:tcW w:w="12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02/21/2024</w:t>
            </w:r>
          </w:p>
        </w:tc>
        <w:tc>
          <w:tcPr>
            <w:tcW w:w="0" w:type="dxa"/>
            <w:vAlign w:val="bottom"/>
          </w:tcPr>
          <w:p>
            <w:pPr>
              <w:spacing w:after="0"/>
              <w:rPr>
                <w:sz w:val="1"/>
                <w:szCs w:val="1"/>
                <w:color w:val="auto"/>
              </w:rPr>
            </w:pPr>
          </w:p>
        </w:tc>
      </w:tr>
      <w:tr>
        <w:trPr>
          <w:trHeight w:val="90"/>
        </w:trPr>
        <w:tc>
          <w:tcPr>
            <w:tcW w:w="2200" w:type="dxa"/>
            <w:vAlign w:val="bottom"/>
            <w:gridSpan w:val="3"/>
            <w:vMerge w:val="restart"/>
          </w:tcPr>
          <w:p>
            <w:pPr>
              <w:spacing w:after="0" w:line="191" w:lineRule="exact"/>
              <w:rPr>
                <w:sz w:val="20"/>
                <w:szCs w:val="20"/>
                <w:color w:val="auto"/>
              </w:rPr>
            </w:pPr>
            <w:r>
              <w:rPr>
                <w:rFonts w:ascii="Times New Roman" w:cs="Times New Roman" w:eastAsia="Times New Roman" w:hAnsi="Times New Roman"/>
                <w:sz w:val="17"/>
                <w:szCs w:val="17"/>
                <w:color w:val="0000FF"/>
              </w:rPr>
              <w:t>for Ramon Abadin</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420" w:firstLine="5"/>
        <w:spacing w:after="0" w:line="317" w:lineRule="auto"/>
        <w:tabs>
          <w:tab w:leader="none" w:pos="179"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8"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t>Exhibit 24</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00" w:lineRule="exact"/>
        <w:rPr>
          <w:sz w:val="20"/>
          <w:szCs w:val="20"/>
          <w:color w:val="auto"/>
        </w:rPr>
      </w:pPr>
    </w:p>
    <w:p>
      <w:pPr>
        <w:spacing w:after="0" w:line="226" w:lineRule="exact"/>
        <w:rPr>
          <w:sz w:val="20"/>
          <w:szCs w:val="20"/>
          <w:color w:val="auto"/>
        </w:rPr>
      </w:pPr>
    </w:p>
    <w:p>
      <w:pPr>
        <w:ind w:right="260" w:firstLine="475"/>
        <w:spacing w:after="0" w:line="269"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Luis de la Aguilera, Robert Anderson and Roberto Diaz, signing singly, the undersigned's true and lawful attorney-in-fact to:</w:t>
      </w:r>
    </w:p>
    <w:p>
      <w:pPr>
        <w:spacing w:after="0" w:line="169" w:lineRule="exact"/>
        <w:rPr>
          <w:sz w:val="20"/>
          <w:szCs w:val="20"/>
          <w:color w:val="auto"/>
        </w:rPr>
      </w:pPr>
    </w:p>
    <w:p>
      <w:pPr>
        <w:ind w:right="140" w:firstLine="480"/>
        <w:spacing w:after="0" w:line="269" w:lineRule="auto"/>
        <w:tabs>
          <w:tab w:leader="none" w:pos="7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individual capacity, Forms 3, 4, and 5 in accordance with Section 16(a) of the Securities Exchange Act of 1934, and the rules and regulations promulgated thereunder (the “Exchange Act”);</w:t>
      </w:r>
    </w:p>
    <w:p>
      <w:pPr>
        <w:spacing w:after="0" w:line="168" w:lineRule="exact"/>
        <w:rPr>
          <w:rFonts w:ascii="Times New Roman" w:cs="Times New Roman" w:eastAsia="Times New Roman" w:hAnsi="Times New Roman"/>
          <w:sz w:val="18"/>
          <w:szCs w:val="18"/>
          <w:color w:val="auto"/>
        </w:rPr>
      </w:pPr>
    </w:p>
    <w:p>
      <w:pPr>
        <w:ind w:right="80" w:firstLine="480"/>
        <w:spacing w:after="0" w:line="257" w:lineRule="auto"/>
        <w:tabs>
          <w:tab w:leader="none" w:pos="7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 Form ID (if necessary) and any such Form 3, 4, or 5, complete and execute any amendment or amendments thereto and timely file such form with the United States Securities and Exchange Commission and any stock exchange or similar authority; and</w:t>
      </w:r>
    </w:p>
    <w:p>
      <w:pPr>
        <w:spacing w:after="0" w:line="178" w:lineRule="exact"/>
        <w:rPr>
          <w:rFonts w:ascii="Times New Roman" w:cs="Times New Roman" w:eastAsia="Times New Roman" w:hAnsi="Times New Roman"/>
          <w:sz w:val="18"/>
          <w:szCs w:val="18"/>
          <w:color w:val="auto"/>
        </w:rPr>
      </w:pPr>
    </w:p>
    <w:p>
      <w:pPr>
        <w:ind w:right="120" w:firstLine="480"/>
        <w:spacing w:after="0" w:line="252" w:lineRule="auto"/>
        <w:tabs>
          <w:tab w:leader="none" w:pos="7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5" w:lineRule="exact"/>
        <w:rPr>
          <w:sz w:val="20"/>
          <w:szCs w:val="20"/>
          <w:color w:val="auto"/>
        </w:rPr>
      </w:pPr>
    </w:p>
    <w:p>
      <w:pPr>
        <w:ind w:right="40" w:firstLine="475"/>
        <w:spacing w:after="0" w:line="248"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USCB Financial Holdings, Inc. (the “Company”) assuming, any of the undersigned's responsibilities to comply with Section 16 of the Exchange Act.</w:t>
      </w:r>
    </w:p>
    <w:p>
      <w:pPr>
        <w:spacing w:after="0" w:line="190" w:lineRule="exact"/>
        <w:rPr>
          <w:sz w:val="20"/>
          <w:szCs w:val="20"/>
          <w:color w:val="auto"/>
        </w:rPr>
      </w:pPr>
    </w:p>
    <w:p>
      <w:pPr>
        <w:jc w:val="both"/>
        <w:ind w:right="180" w:firstLine="475"/>
        <w:spacing w:after="0" w:line="257"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22nd day of January 2024.</w:t>
      </w:r>
    </w:p>
    <w:p>
      <w:pPr>
        <w:spacing w:after="0" w:line="200" w:lineRule="exact"/>
        <w:rPr>
          <w:sz w:val="20"/>
          <w:szCs w:val="20"/>
          <w:color w:val="auto"/>
        </w:rPr>
      </w:pPr>
    </w:p>
    <w:p>
      <w:pPr>
        <w:spacing w:after="0" w:line="22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By: /s/ Ramón Abadin</w:t>
      </w:r>
    </w:p>
    <w:p>
      <w:pPr>
        <w:spacing w:after="0" w:line="2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Ramón Abadin</w:t>
      </w:r>
    </w:p>
    <w:sectPr>
      <w:pgSz w:w="11900" w:h="16838" w:orient="portrait"/>
      <w:cols w:equalWidth="0" w:num="1">
        <w:col w:w="10980"/>
      </w:cols>
      <w:pgMar w:left="460" w:top="12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16995" TargetMode="External"/><Relationship Id="rId13"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2024-02-21T11:04:17Z</dcterms:created>
  <dcterms:modified xsi:type="dcterms:W3CDTF">2024-02-21T11:04:17Z</dcterms:modified>
</cp:coreProperties>
</file>