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jc w:val="center"/>
        <w:spacing w:after="0" w:line="239" w:lineRule="auto"/>
        <w:rPr>
          <w:sz w:val="20"/>
          <w:szCs w:val="20"/>
          <w:color w:val="auto"/>
        </w:rPr>
      </w:pPr>
      <w:r>
        <w:rPr>
          <w:rFonts w:ascii="Times New Roman" w:cs="Times New Roman" w:eastAsia="Times New Roman" w:hAnsi="Times New Roman"/>
          <w:sz w:val="26"/>
          <w:szCs w:val="26"/>
          <w:b w:val="1"/>
          <w:bCs w:val="1"/>
          <w:color w:val="auto"/>
        </w:rPr>
        <w:t>FORM 8-K</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26, 2023</w:t>
      </w:r>
    </w:p>
    <w:p>
      <w:pPr>
        <w:spacing w:after="0" w:line="2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USCB Financial Holdings,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327"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2520" w:type="dxa"/>
            <w:vAlign w:val="bottom"/>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001-41196</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87-4070846</w:t>
            </w:r>
          </w:p>
        </w:tc>
      </w:tr>
      <w:tr>
        <w:trPr>
          <w:trHeight w:val="160"/>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33172</w:t>
            </w:r>
          </w:p>
        </w:tc>
      </w:tr>
      <w:tr>
        <w:trPr>
          <w:trHeight w:val="17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Miami,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6"/>
        </w:trPr>
        <w:tc>
          <w:tcPr>
            <w:tcW w:w="26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(305) 715-5200</w:t>
      </w:r>
    </w:p>
    <w:p>
      <w:pPr>
        <w:spacing w:after="0" w:line="13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8" w:lineRule="exact"/>
        <w:rPr>
          <w:sz w:val="24"/>
          <w:szCs w:val="24"/>
          <w:color w:val="auto"/>
        </w:rPr>
      </w:pPr>
    </w:p>
    <w:p>
      <w:pPr>
        <w:ind w:left="660" w:right="679"/>
        <w:spacing w:after="0" w:line="27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8"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7"/>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5"/>
        </w:trPr>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$1.00 par value per share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USCB</w:t>
            </w:r>
          </w:p>
        </w:tc>
        <w:tc>
          <w:tcPr>
            <w:tcW w:w="20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2" w:lineRule="exact"/>
        <w:rPr>
          <w:sz w:val="24"/>
          <w:szCs w:val="24"/>
          <w:color w:val="auto"/>
        </w:rPr>
      </w:pPr>
    </w:p>
    <w:p>
      <w:pPr>
        <w:jc w:val="both"/>
        <w:ind w:left="660" w:right="699"/>
        <w:spacing w:after="0" w:line="27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3"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1" w:lineRule="exact"/>
        <w:rPr>
          <w:sz w:val="24"/>
          <w:szCs w:val="24"/>
          <w:color w:val="auto"/>
        </w:rPr>
      </w:pPr>
    </w:p>
    <w:p>
      <w:pPr>
        <w:jc w:val="both"/>
        <w:ind w:left="660" w:right="699"/>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95" w:right="1440"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Item 2.02. Results of Operations and Financial Condition.</w:t>
      </w:r>
    </w:p>
    <w:p>
      <w:pPr>
        <w:spacing w:after="0" w:line="172" w:lineRule="exact"/>
        <w:rPr>
          <w:sz w:val="20"/>
          <w:szCs w:val="20"/>
          <w:color w:val="auto"/>
        </w:rPr>
      </w:pPr>
    </w:p>
    <w:p>
      <w:pPr>
        <w:jc w:val="both"/>
        <w:ind w:left="660" w:right="679" w:firstLine="512"/>
        <w:spacing w:after="0" w:line="263" w:lineRule="auto"/>
        <w:rPr>
          <w:sz w:val="20"/>
          <w:szCs w:val="20"/>
          <w:color w:val="auto"/>
        </w:rPr>
      </w:pPr>
      <w:r>
        <w:rPr>
          <w:rFonts w:ascii="Times New Roman" w:cs="Times New Roman" w:eastAsia="Times New Roman" w:hAnsi="Times New Roman"/>
          <w:sz w:val="14"/>
          <w:szCs w:val="14"/>
          <w:color w:val="auto"/>
        </w:rPr>
        <w:t>On January 26, 2023, USCB Financial Holdings, Inc. (the “Company”), issued a press release announcing its financial results for the fourth quarter ended December 31, 2022. A copy of the press release is furnished as Exhibit 99.1 to this Current Report on Form 8-K and is incorporated herein by reference.</w:t>
      </w:r>
    </w:p>
    <w:p>
      <w:pPr>
        <w:spacing w:after="0" w:line="122"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The information in this Item 2.02, including Exhibit 99.1,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(the “Securities Act”) or the Exchange Act.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2"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As previously announced, at 9:00 a.m. ET on January 27, 2023, the Company will hold an earnings conference call to discuss its financial performance for the quarter ended December 31, 2022. A copy of the slides forming the basis of the presentation is being furnished as Exhibit 99.2 to this Current Report on Form 8-K and is incorporated herein by reference. A copy of the slides has also been posted to the Company’s investor relations website, located at investors.uscenturybank.com.</w:t>
      </w:r>
    </w:p>
    <w:p>
      <w:pPr>
        <w:spacing w:after="0" w:line="127" w:lineRule="exact"/>
        <w:rPr>
          <w:sz w:val="20"/>
          <w:szCs w:val="20"/>
          <w:color w:val="auto"/>
        </w:rPr>
      </w:pPr>
    </w:p>
    <w:p>
      <w:pPr>
        <w:jc w:val="both"/>
        <w:ind w:left="660" w:right="659" w:firstLine="512"/>
        <w:spacing w:after="0" w:line="263" w:lineRule="auto"/>
        <w:rPr>
          <w:sz w:val="20"/>
          <w:szCs w:val="20"/>
          <w:color w:val="auto"/>
        </w:rPr>
      </w:pPr>
      <w:r>
        <w:rPr>
          <w:rFonts w:ascii="Times New Roman" w:cs="Times New Roman" w:eastAsia="Times New Roman" w:hAnsi="Times New Roman"/>
          <w:sz w:val="14"/>
          <w:szCs w:val="14"/>
          <w:color w:val="auto"/>
        </w:rPr>
        <w:t>The information in this Item 7.01, including Exhibit 99.2, is being furnished and shall not be deemed “filed” for purposes of Section 18 of the Exchange Act, or otherwise subject to the liability of that section, and shall not be deemed to be incorporated by reference into any filing under the Securities Act or the Exchange Act.</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59"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 Exhibits.</w:t>
            </w:r>
          </w:p>
        </w:tc>
        <w:tc>
          <w:tcPr>
            <w:tcW w:w="2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321"/>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29"/>
        </w:trPr>
        <w:tc>
          <w:tcPr>
            <w:tcW w:w="9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99.1</w:t>
            </w:r>
          </w:p>
        </w:tc>
        <w:tc>
          <w:tcPr>
            <w:tcW w:w="62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0563C1"/>
              </w:rPr>
              <w:t>USCB Financial Holdings, Inc. Press Release, dated January 26, 2022</w:t>
            </w:r>
          </w:p>
        </w:tc>
      </w:tr>
      <w:tr>
        <w:trPr>
          <w:trHeight w:val="140"/>
        </w:trPr>
        <w:tc>
          <w:tcPr>
            <w:tcW w:w="920" w:type="dxa"/>
            <w:vAlign w:val="bottom"/>
          </w:tcPr>
          <w:p>
            <w:pPr>
              <w:ind w:left="20"/>
              <w:spacing w:after="0" w:line="140" w:lineRule="exact"/>
              <w:rPr>
                <w:sz w:val="20"/>
                <w:szCs w:val="20"/>
                <w:color w:val="auto"/>
              </w:rPr>
            </w:pPr>
            <w:r>
              <w:rPr>
                <w:rFonts w:ascii="Times New Roman" w:cs="Times New Roman" w:eastAsia="Times New Roman" w:hAnsi="Times New Roman"/>
                <w:sz w:val="14"/>
                <w:szCs w:val="14"/>
                <w:color w:val="auto"/>
              </w:rPr>
              <w:t>99.2</w:t>
            </w:r>
          </w:p>
        </w:tc>
        <w:tc>
          <w:tcPr>
            <w:tcW w:w="2620" w:type="dxa"/>
            <w:vAlign w:val="bottom"/>
            <w:tcBorders>
              <w:top w:val="single" w:sz="8" w:color="0563C1"/>
              <w:bottom w:val="single" w:sz="8" w:color="0563C1"/>
            </w:tcBorders>
          </w:tcPr>
          <w:p>
            <w:pPr>
              <w:spacing w:after="0" w:line="140" w:lineRule="exact"/>
              <w:rPr>
                <w:sz w:val="20"/>
                <w:szCs w:val="20"/>
                <w:color w:val="auto"/>
              </w:rPr>
            </w:pPr>
            <w:r>
              <w:rPr>
                <w:rFonts w:ascii="Times New Roman" w:cs="Times New Roman" w:eastAsia="Times New Roman" w:hAnsi="Times New Roman"/>
                <w:sz w:val="14"/>
                <w:szCs w:val="14"/>
                <w:color w:val="0563C1"/>
              </w:rPr>
              <w:t>Earnings Presentation, dated January 27, 2022</w:t>
            </w:r>
          </w:p>
        </w:tc>
        <w:tc>
          <w:tcPr>
            <w:tcW w:w="1340" w:type="dxa"/>
            <w:vAlign w:val="bottom"/>
            <w:tcBorders>
              <w:top w:val="single" w:sz="8" w:color="0563C1"/>
            </w:tcBorders>
          </w:tcPr>
          <w:p>
            <w:pPr>
              <w:spacing w:after="0"/>
              <w:rPr>
                <w:sz w:val="12"/>
                <w:szCs w:val="12"/>
                <w:color w:val="auto"/>
              </w:rPr>
            </w:pPr>
          </w:p>
        </w:tc>
        <w:tc>
          <w:tcPr>
            <w:tcW w:w="2300" w:type="dxa"/>
            <w:vAlign w:val="bottom"/>
          </w:tcPr>
          <w:p>
            <w:pPr>
              <w:spacing w:after="0"/>
              <w:rPr>
                <w:sz w:val="12"/>
                <w:szCs w:val="12"/>
                <w:color w:val="auto"/>
              </w:rPr>
            </w:pPr>
          </w:p>
        </w:tc>
      </w:tr>
      <w:tr>
        <w:trPr>
          <w:trHeight w:val="182"/>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6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1" w:right="1440" w:bottom="1440" w:gutter="0" w:footer="0" w:header="0"/>
        </w:sectPr>
      </w:pPr>
    </w:p>
    <w:bookmarkStart w:id="2" w:name="page3"/>
    <w:bookmarkEnd w:id="2"/>
    <w:p>
      <w:pPr>
        <w:ind w:left="76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99.1</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USCB Financial Holdings, Inc. Reports EPS of $0.22, Operating EPS of $0.29 for Q4 2022</w:t>
      </w:r>
    </w:p>
    <w:p>
      <w:pPr>
        <w:spacing w:after="0" w:line="173" w:lineRule="exact"/>
        <w:rPr>
          <w:sz w:val="20"/>
          <w:szCs w:val="20"/>
          <w:color w:val="auto"/>
        </w:rPr>
      </w:pPr>
    </w:p>
    <w:p>
      <w:pPr>
        <w:jc w:val="both"/>
        <w:ind w:left="660" w:right="679"/>
        <w:spacing w:after="0" w:line="257" w:lineRule="auto"/>
        <w:rPr>
          <w:sz w:val="20"/>
          <w:szCs w:val="20"/>
          <w:color w:val="auto"/>
        </w:rPr>
      </w:pPr>
      <w:r>
        <w:rPr>
          <w:rFonts w:ascii="Times New Roman" w:cs="Times New Roman" w:eastAsia="Times New Roman" w:hAnsi="Times New Roman"/>
          <w:sz w:val="14"/>
          <w:szCs w:val="14"/>
          <w:b w:val="1"/>
          <w:bCs w:val="1"/>
          <w:color w:val="auto"/>
        </w:rPr>
        <w:t>MIAMI – January 26, 2023 – USCB Financial Holdings, Inc. (the “Company”) (NASDAQ: USCB)</w:t>
      </w:r>
      <w:r>
        <w:rPr>
          <w:rFonts w:ascii="Times New Roman" w:cs="Times New Roman" w:eastAsia="Times New Roman" w:hAnsi="Times New Roman"/>
          <w:sz w:val="14"/>
          <w:szCs w:val="14"/>
          <w:color w:val="auto"/>
        </w:rPr>
        <w:t>, the holding company for U.S.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Century Bank (the “Bank”), reported net income of $4.4 million or $0.22 per diluted share for the three months ended December 31, 2022, compared with net income of $5.7 million or $0.30 per diluted share, for the same period in 2021.</w:t>
      </w:r>
    </w:p>
    <w:p>
      <w:pPr>
        <w:spacing w:after="0" w:line="136" w:lineRule="exact"/>
        <w:rPr>
          <w:sz w:val="20"/>
          <w:szCs w:val="20"/>
          <w:color w:val="auto"/>
        </w:rPr>
      </w:pPr>
    </w:p>
    <w:p>
      <w:pPr>
        <w:jc w:val="both"/>
        <w:ind w:left="660" w:right="679"/>
        <w:spacing w:after="0" w:line="251" w:lineRule="auto"/>
        <w:rPr>
          <w:sz w:val="20"/>
          <w:szCs w:val="20"/>
          <w:color w:val="auto"/>
        </w:rPr>
      </w:pPr>
      <w:r>
        <w:rPr>
          <w:rFonts w:ascii="Times New Roman" w:cs="Times New Roman" w:eastAsia="Times New Roman" w:hAnsi="Times New Roman"/>
          <w:sz w:val="14"/>
          <w:szCs w:val="14"/>
          <w:color w:val="auto"/>
        </w:rPr>
        <w:t>Near quarter end, the Bank executed a portfolio restructuring strategy which resulted in a sale of $17.0 million of its lower-yielding available-for-sale securities for an after-tax loss of $1.5 million or $0.07 EPS in the quarter. Proceeds from the sale will be reinvested in securities and loans currently yielding, on average, 430-460 basis points higher than the securities that were sold. The loss on sale of securities is expected to have a nominal impact on tangible book value, as such loss was previously reflected in capital through accumulated other comprehensive income (AOCI). Additionally, the reinvestment from the sale proceeds into higher yielding earning assets will have a $0.03 EPS positive impact on 2023 earnings.</w:t>
      </w:r>
    </w:p>
    <w:p>
      <w:pPr>
        <w:spacing w:after="0" w:line="131" w:lineRule="exact"/>
        <w:rPr>
          <w:sz w:val="20"/>
          <w:szCs w:val="20"/>
          <w:color w:val="auto"/>
        </w:rPr>
      </w:pPr>
    </w:p>
    <w:p>
      <w:pPr>
        <w:jc w:val="both"/>
        <w:ind w:left="660" w:right="679"/>
        <w:spacing w:after="0" w:line="289" w:lineRule="auto"/>
        <w:rPr>
          <w:sz w:val="20"/>
          <w:szCs w:val="20"/>
          <w:color w:val="auto"/>
        </w:rPr>
      </w:pPr>
      <w:r>
        <w:rPr>
          <w:rFonts w:ascii="Times New Roman" w:cs="Times New Roman" w:eastAsia="Times New Roman" w:hAnsi="Times New Roman"/>
          <w:sz w:val="14"/>
          <w:szCs w:val="14"/>
          <w:color w:val="auto"/>
        </w:rPr>
        <w:t>Excluding gain (loss) from the sale of securities, Non-GAAP Operating net income was $5.9 million or $0.29 per diluted share for the fourth quarter ended December 31, 2022, compared to $5.6 million or $0.30 per diluted share, for the same period in 2021.</w:t>
      </w:r>
    </w:p>
    <w:p>
      <w:pPr>
        <w:spacing w:after="0" w:line="103" w:lineRule="exact"/>
        <w:rPr>
          <w:sz w:val="20"/>
          <w:szCs w:val="20"/>
          <w:color w:val="auto"/>
        </w:rPr>
      </w:pPr>
    </w:p>
    <w:p>
      <w:pPr>
        <w:jc w:val="both"/>
        <w:ind w:left="660" w:right="679"/>
        <w:spacing w:after="0" w:line="255" w:lineRule="auto"/>
        <w:rPr>
          <w:sz w:val="20"/>
          <w:szCs w:val="20"/>
          <w:color w:val="auto"/>
        </w:rPr>
      </w:pPr>
      <w:r>
        <w:rPr>
          <w:rFonts w:ascii="Times New Roman" w:cs="Times New Roman" w:eastAsia="Times New Roman" w:hAnsi="Times New Roman"/>
          <w:sz w:val="14"/>
          <w:szCs w:val="14"/>
          <w:color w:val="auto"/>
        </w:rPr>
        <w:t>"Despite a challenging operating environment, 2022 afforded us extraordinary opportunities for growth and profitability. While a soft landing for the economy is expected in 2023, we are taking a prudent approach with our balance sheet by limiting growth in certain assets, maintaining appropriate capital and reserve levels, managing liquidity, and preparing for a range of economic scenarios.” said Luis de la Aguilera, President and Chief Executive Officer.</w:t>
      </w:r>
    </w:p>
    <w:p>
      <w:pPr>
        <w:spacing w:after="0" w:line="137" w:lineRule="exact"/>
        <w:rPr>
          <w:sz w:val="20"/>
          <w:szCs w:val="20"/>
          <w:color w:val="auto"/>
        </w:rPr>
      </w:pPr>
    </w:p>
    <w:p>
      <w:pPr>
        <w:jc w:val="both"/>
        <w:ind w:left="660" w:right="679"/>
        <w:spacing w:after="0" w:line="273" w:lineRule="auto"/>
        <w:rPr>
          <w:sz w:val="20"/>
          <w:szCs w:val="20"/>
          <w:color w:val="auto"/>
        </w:rPr>
      </w:pPr>
      <w:r>
        <w:rPr>
          <w:rFonts w:ascii="Times New Roman" w:cs="Times New Roman" w:eastAsia="Times New Roman" w:hAnsi="Times New Roman"/>
          <w:sz w:val="14"/>
          <w:szCs w:val="14"/>
          <w:color w:val="auto"/>
        </w:rPr>
        <w:t>Unless otherwise stated, all percentage comparisons in the bullet points below are calculated for the quarter ended December 31, 2022 compared to the quarter ended December 31, 2021 and annualized where appropriate.</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Profitability</w:t>
      </w:r>
    </w:p>
    <w:p>
      <w:pPr>
        <w:spacing w:after="0" w:line="172" w:lineRule="exact"/>
        <w:rPr>
          <w:sz w:val="20"/>
          <w:szCs w:val="20"/>
          <w:color w:val="auto"/>
        </w:rPr>
      </w:pPr>
    </w:p>
    <w:p>
      <w:pPr>
        <w:jc w:val="both"/>
        <w:ind w:left="920" w:right="659" w:hanging="257"/>
        <w:spacing w:after="0" w:line="255"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return on average assets for the quarter ended December 31, 2022 was 0.86% compared to 1.23% for the fourth quarter of 2021. Non-GAAP Operating return on assets for the quarter ended December 31, 2022 was 1.14% compared to 1.22% for the fourth quarter of 2021.</w:t>
      </w:r>
    </w:p>
    <w:p>
      <w:pPr>
        <w:spacing w:after="0" w:line="137" w:lineRule="exact"/>
        <w:rPr>
          <w:rFonts w:ascii="Times New Roman" w:cs="Times New Roman" w:eastAsia="Times New Roman" w:hAnsi="Times New Roman"/>
          <w:sz w:val="14"/>
          <w:szCs w:val="14"/>
          <w:color w:val="auto"/>
        </w:rPr>
      </w:pPr>
    </w:p>
    <w:p>
      <w:pPr>
        <w:jc w:val="both"/>
        <w:ind w:left="920" w:right="679" w:hanging="257"/>
        <w:spacing w:after="0" w:line="263"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return on average stockholders’ equity for the quarter ended December 31, 2022 was 9.91% compared to 11.08 % for the fourth quarter of 2021. Non-GAAP Operating return on equity for the quarter ended December 31, 2022 was 13.23% compared to 11.03% for the fourth quarter of 2021.</w:t>
      </w:r>
    </w:p>
    <w:p>
      <w:pPr>
        <w:spacing w:after="0" w:line="121" w:lineRule="exact"/>
        <w:rPr>
          <w:rFonts w:ascii="Times New Roman" w:cs="Times New Roman" w:eastAsia="Times New Roman" w:hAnsi="Times New Roman"/>
          <w:sz w:val="14"/>
          <w:szCs w:val="14"/>
          <w:color w:val="auto"/>
        </w:rPr>
      </w:pPr>
    </w:p>
    <w:p>
      <w:pPr>
        <w:jc w:val="both"/>
        <w:ind w:left="920" w:right="659" w:hanging="257"/>
        <w:spacing w:after="0" w:line="263"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for the quarter ended December 31, 2022 was 59.81% compared to 55.74% for the fourth quarter of 2021. Non-GAAP Operating efficiency ratio for the quarter ended December 31, 2022 was 53.46% compared to 55.85% for the fourth quarter of 2021.</w:t>
      </w:r>
    </w:p>
    <w:p>
      <w:pPr>
        <w:spacing w:after="0" w:line="132"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increased to 3.45% for the quarter ended December 31, 2022 compared to 3.19% for the fourth quarter of 2021.</w:t>
      </w:r>
    </w:p>
    <w:p>
      <w:pPr>
        <w:spacing w:after="0" w:line="159" w:lineRule="exact"/>
        <w:rPr>
          <w:rFonts w:ascii="Times New Roman" w:cs="Times New Roman" w:eastAsia="Times New Roman" w:hAnsi="Times New Roman"/>
          <w:sz w:val="14"/>
          <w:szCs w:val="14"/>
          <w:color w:val="auto"/>
        </w:rPr>
      </w:pPr>
    </w:p>
    <w:p>
      <w:pPr>
        <w:ind w:left="920" w:right="699" w:hanging="257"/>
        <w:spacing w:after="0" w:line="289"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income before provision for credit losses was $16. 9 million for the quarter ended December 31, 2022, an increase of $2.8 million or 19.8% compared to the fourth quarter of 2021.</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172" w:lineRule="exact"/>
        <w:rPr>
          <w:sz w:val="20"/>
          <w:szCs w:val="20"/>
          <w:color w:val="auto"/>
        </w:rPr>
      </w:pPr>
    </w:p>
    <w:p>
      <w:pPr>
        <w:ind w:left="920" w:hanging="257"/>
        <w:spacing w:after="0"/>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were $2.1 billion at December 31, 2022, representing an increase of $231.9 million or 12.5% from December 31, 2021.</w:t>
      </w:r>
    </w:p>
    <w:p>
      <w:pPr>
        <w:spacing w:after="0" w:line="169"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loans were $1.5 billion at December 31, 2022, representing an increase of $317.3 million or 26.7% from December 31, 2021.</w:t>
      </w:r>
    </w:p>
    <w:p>
      <w:pPr>
        <w:spacing w:after="0" w:line="159" w:lineRule="exact"/>
        <w:rPr>
          <w:rFonts w:ascii="Times New Roman" w:cs="Times New Roman" w:eastAsia="Times New Roman" w:hAnsi="Times New Roman"/>
          <w:sz w:val="14"/>
          <w:szCs w:val="14"/>
          <w:color w:val="auto"/>
        </w:rPr>
      </w:pPr>
    </w:p>
    <w:p>
      <w:pPr>
        <w:ind w:left="920" w:right="699" w:hanging="257"/>
        <w:spacing w:after="0" w:line="289"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deposits were $1.8 billion at December 31, 2022, representing an increase of $238.9 million or 15.0% from December 31, 2021.</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21" w:right="1440" w:bottom="1440" w:gutter="0" w:footer="0" w:header="0"/>
        </w:sectPr>
      </w:pPr>
    </w:p>
    <w:bookmarkStart w:id="3" w:name="page4"/>
    <w:bookmarkEnd w:id="3"/>
    <w:p>
      <w:pPr>
        <w:jc w:val="both"/>
        <w:ind w:left="920" w:right="679" w:hanging="257"/>
        <w:spacing w:after="0" w:line="263"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Total stockholders’ equity was $182.4 million at December 31, 2022, representing a decrease of $21.5 million or 10.5% from December 31, 2021. Total stockholders’ equity includes unrealized security losses of $44.8 million at December 31, 2022 compared to unrealized security loss of $2.5 million at December 31, 2021.</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161" w:lineRule="exact"/>
        <w:rPr>
          <w:sz w:val="20"/>
          <w:szCs w:val="20"/>
          <w:color w:val="auto"/>
        </w:rPr>
      </w:pPr>
    </w:p>
    <w:p>
      <w:pPr>
        <w:ind w:left="920" w:right="679" w:hanging="257"/>
        <w:spacing w:after="0" w:line="289"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increased by $2.4 million to $17.5 million at December 31, 2022 from $15.1 million at December 31, 2021.</w:t>
      </w:r>
    </w:p>
    <w:p>
      <w:pPr>
        <w:spacing w:after="0" w:line="103"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represented 1.16% of total loans at December 31, 2022 compared to 1.27% at December 31, 2021.</w:t>
      </w:r>
    </w:p>
    <w:p>
      <w:pPr>
        <w:spacing w:after="0" w:line="169"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Non-performing loans to total loans was 0.00% at December 31, 2022 compared to 0.10% at December 31, 2021.</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Non-interest Income and Non-interest Expense</w:t>
      </w:r>
    </w:p>
    <w:p>
      <w:pPr>
        <w:spacing w:after="0" w:line="161" w:lineRule="exact"/>
        <w:rPr>
          <w:sz w:val="20"/>
          <w:szCs w:val="20"/>
          <w:color w:val="auto"/>
        </w:rPr>
      </w:pPr>
    </w:p>
    <w:p>
      <w:pPr>
        <w:jc w:val="both"/>
        <w:ind w:left="920" w:right="679" w:hanging="257"/>
        <w:spacing w:after="0" w:line="263"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income was negative $0.1 million for the three months ended December 31, 2022 compared to $2.6 million for the same period in 2021. Non-interest income was negative in the fourth quarter of 2022 due to a $2.0 million loss on the sale of securities.</w:t>
      </w:r>
    </w:p>
    <w:p>
      <w:pPr>
        <w:spacing w:after="0" w:line="132"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expense was $10.0 million for the three months ended December 31, 2022, an increase of $0.7 million or 7.5% compared to the same period in 2021.</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61" w:lineRule="exact"/>
        <w:rPr>
          <w:sz w:val="20"/>
          <w:szCs w:val="20"/>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total risk-based capital ratios for the Company and the Bank were 13.65% and 13.58%, respectively.</w:t>
      </w:r>
    </w:p>
    <w:p>
      <w:pPr>
        <w:spacing w:after="0" w:line="169" w:lineRule="exact"/>
        <w:rPr>
          <w:rFonts w:ascii="Times New Roman" w:cs="Times New Roman" w:eastAsia="Times New Roman" w:hAnsi="Times New Roman"/>
          <w:sz w:val="14"/>
          <w:szCs w:val="14"/>
          <w:color w:val="auto"/>
        </w:rPr>
      </w:pPr>
    </w:p>
    <w:p>
      <w:pPr>
        <w:jc w:val="both"/>
        <w:ind w:left="920" w:right="679" w:hanging="257"/>
        <w:spacing w:after="0" w:line="263"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per common share of $9.12 was negatively affected by $2.24 due to after tax unrealized security losses of $44.8 million at December 31, 2022. At December 31, 2021, tangible book value of $10.20 was negatively affected by $0. 13 due to $2.5 million after tax unrealized security losses.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Conference Call and Webcast</w:t>
      </w:r>
    </w:p>
    <w:p>
      <w:pPr>
        <w:spacing w:after="0" w:line="172" w:lineRule="exact"/>
        <w:rPr>
          <w:sz w:val="20"/>
          <w:szCs w:val="20"/>
          <w:color w:val="auto"/>
        </w:rPr>
      </w:pPr>
    </w:p>
    <w:p>
      <w:pPr>
        <w:jc w:val="both"/>
        <w:ind w:left="660" w:right="679"/>
        <w:spacing w:after="0" w:line="263" w:lineRule="auto"/>
        <w:rPr>
          <w:sz w:val="20"/>
          <w:szCs w:val="20"/>
          <w:color w:val="auto"/>
        </w:rPr>
      </w:pPr>
      <w:r>
        <w:rPr>
          <w:rFonts w:ascii="Times New Roman" w:cs="Times New Roman" w:eastAsia="Times New Roman" w:hAnsi="Times New Roman"/>
          <w:sz w:val="14"/>
          <w:szCs w:val="14"/>
          <w:color w:val="auto"/>
        </w:rPr>
        <w:t>The Company will host a conference call on Friday, January 27, 2023, at 9:00 a.m. Eastern Time to discuss the Company’s unaudited financial results for the quarter ended December 31, 2022. To access the conference call, dial (866) 652-5200 (U.S. toll-free) and ask to join the USCB Financial Holdings Call.</w:t>
      </w:r>
    </w:p>
    <w:p>
      <w:pPr>
        <w:spacing w:after="0" w:line="132" w:lineRule="exact"/>
        <w:rPr>
          <w:sz w:val="20"/>
          <w:szCs w:val="20"/>
          <w:color w:val="auto"/>
        </w:rPr>
      </w:pPr>
    </w:p>
    <w:p>
      <w:pPr>
        <w:jc w:val="both"/>
        <w:ind w:left="660" w:right="679"/>
        <w:spacing w:after="0" w:line="273" w:lineRule="auto"/>
        <w:rPr>
          <w:sz w:val="20"/>
          <w:szCs w:val="20"/>
          <w:color w:val="auto"/>
        </w:rPr>
      </w:pPr>
      <w:r>
        <w:rPr>
          <w:rFonts w:ascii="Times New Roman" w:cs="Times New Roman" w:eastAsia="Times New Roman" w:hAnsi="Times New Roman"/>
          <w:sz w:val="14"/>
          <w:szCs w:val="14"/>
          <w:color w:val="auto"/>
        </w:rPr>
        <w:t>Additionally, interested parties can listen to a live webcast of the call in the “Investor Relations” section of the Company’s website at www.uscentury.com . An archived version of the webcast will be available in the same location shortly after the live call has ended.</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About USCB Financial Holdings, Inc.</w:t>
      </w:r>
    </w:p>
    <w:p>
      <w:pPr>
        <w:spacing w:after="0" w:line="172" w:lineRule="exact"/>
        <w:rPr>
          <w:sz w:val="20"/>
          <w:szCs w:val="20"/>
          <w:color w:val="auto"/>
        </w:rPr>
      </w:pPr>
    </w:p>
    <w:p>
      <w:pPr>
        <w:jc w:val="both"/>
        <w:ind w:left="660" w:right="679"/>
        <w:spacing w:after="0" w:line="251" w:lineRule="auto"/>
        <w:rPr>
          <w:sz w:val="20"/>
          <w:szCs w:val="20"/>
          <w:color w:val="auto"/>
        </w:rPr>
      </w:pPr>
      <w:r>
        <w:rPr>
          <w:rFonts w:ascii="Times New Roman" w:cs="Times New Roman" w:eastAsia="Times New Roman" w:hAnsi="Times New Roman"/>
          <w:sz w:val="14"/>
          <w:szCs w:val="14"/>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banking center near you, please call (305) 715-5200 or visit www.uscentury.com.</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2" w:lineRule="exact"/>
        <w:rPr>
          <w:sz w:val="20"/>
          <w:szCs w:val="20"/>
          <w:color w:val="auto"/>
        </w:rPr>
      </w:pPr>
    </w:p>
    <w:p>
      <w:pPr>
        <w:jc w:val="both"/>
        <w:ind w:left="660" w:right="679"/>
        <w:spacing w:after="0" w:line="248" w:lineRule="auto"/>
        <w:rPr>
          <w:sz w:val="20"/>
          <w:szCs w:val="20"/>
          <w:color w:val="auto"/>
        </w:rPr>
      </w:pPr>
      <w:r>
        <w:rPr>
          <w:rFonts w:ascii="Times New Roman" w:cs="Times New Roman" w:eastAsia="Times New Roman" w:hAnsi="Times New Roman"/>
          <w:sz w:val="14"/>
          <w:szCs w:val="14"/>
          <w:color w:val="auto"/>
        </w:rPr>
        <w:t>This earnings release may contain statements that arenot historical in nature and are intended to be, and are hereby identified as, forward-looking statements for purposes of the safe harbor provided by Section 21E of the Securities Exchange Act of 1934, as amended. The words “may,” “will,” “anticipate,”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and the balance sheet restructuring.</w:t>
      </w:r>
    </w:p>
    <w:p>
      <w:pPr>
        <w:spacing w:after="0" w:line="142" w:lineRule="exact"/>
        <w:rPr>
          <w:sz w:val="20"/>
          <w:szCs w:val="20"/>
          <w:color w:val="auto"/>
        </w:rPr>
      </w:pPr>
    </w:p>
    <w:p>
      <w:pPr>
        <w:jc w:val="both"/>
        <w:ind w:left="660" w:right="679"/>
        <w:spacing w:after="0" w:line="273" w:lineRule="auto"/>
        <w:rPr>
          <w:sz w:val="20"/>
          <w:szCs w:val="20"/>
          <w:color w:val="auto"/>
        </w:rPr>
      </w:pPr>
      <w:r>
        <w:rPr>
          <w:rFonts w:ascii="Times New Roman" w:cs="Times New Roman" w:eastAsia="Times New Roman" w:hAnsi="Times New Roman"/>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3" w:right="1440" w:bottom="1440" w:gutter="0" w:footer="0" w:header="0"/>
        </w:sectPr>
      </w:pPr>
    </w:p>
    <w:bookmarkStart w:id="4" w:name="page5"/>
    <w:bookmarkEnd w:id="4"/>
    <w:p>
      <w:pPr>
        <w:ind w:left="920"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the strength of the United States economy in general and the strength of the local economies in which we conduct operations;</w:t>
      </w:r>
    </w:p>
    <w:p>
      <w:pPr>
        <w:spacing w:after="0" w:line="23" w:lineRule="exact"/>
        <w:rPr>
          <w:rFonts w:ascii="Times New Roman" w:cs="Times New Roman" w:eastAsia="Times New Roman" w:hAnsi="Times New Roman"/>
          <w:sz w:val="14"/>
          <w:szCs w:val="14"/>
          <w:color w:val="auto"/>
        </w:rPr>
      </w:pPr>
    </w:p>
    <w:p>
      <w:pPr>
        <w:ind w:left="920" w:right="699"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continuation of the COVID-19 pandemic and its impact on us, our employees, customers and third-party service providers, and the ultimate extent of the impact of the pandemic and related government stimulus programs;</w:t>
      </w:r>
    </w:p>
    <w:p>
      <w:pPr>
        <w:ind w:left="920"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manage interest rate risk, credit risk, liquidity risk, and other risks inherent to our industry;</w:t>
      </w:r>
    </w:p>
    <w:p>
      <w:pPr>
        <w:spacing w:after="0" w:line="7" w:lineRule="exact"/>
        <w:rPr>
          <w:rFonts w:ascii="Times New Roman" w:cs="Times New Roman" w:eastAsia="Times New Roman" w:hAnsi="Times New Roman"/>
          <w:sz w:val="14"/>
          <w:szCs w:val="14"/>
          <w:color w:val="auto"/>
        </w:rPr>
      </w:pPr>
    </w:p>
    <w:p>
      <w:pPr>
        <w:ind w:left="920" w:right="679"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financial statement estimates and assumptions, including the estimates used for our credit loss reserve and deferred tax asset valuation allowance;</w:t>
      </w:r>
    </w:p>
    <w:p>
      <w:pPr>
        <w:ind w:left="920"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and effectiveness of our internal control environment;</w:t>
      </w:r>
    </w:p>
    <w:p>
      <w:pPr>
        <w:spacing w:after="0" w:line="7" w:lineRule="exact"/>
        <w:rPr>
          <w:rFonts w:ascii="Times New Roman" w:cs="Times New Roman" w:eastAsia="Times New Roman" w:hAnsi="Times New Roman"/>
          <w:sz w:val="14"/>
          <w:szCs w:val="14"/>
          <w:color w:val="auto"/>
        </w:rPr>
      </w:pPr>
    </w:p>
    <w:p>
      <w:pPr>
        <w:ind w:left="920" w:right="679"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extensive laws and regulations to which we are subject, including the laws for each jurisdiction where we operate;</w:t>
      </w:r>
    </w:p>
    <w:p>
      <w:pPr>
        <w:ind w:left="920" w:right="699" w:hanging="257"/>
        <w:spacing w:after="0" w:line="246" w:lineRule="auto"/>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or regulatory changes and changes in accounting principles, policies, practices or guidelines, including the effects of the forthcoming implementation of the Current Expected Credit Losses (“CECL”) standard;</w:t>
      </w:r>
    </w:p>
    <w:p>
      <w:pPr>
        <w:ind w:left="920" w:right="679" w:hanging="257"/>
        <w:spacing w:after="0" w:line="244" w:lineRule="auto"/>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our lack of a diversified loan portfolio and concentration inthe South Florida market, including the risks of geographic, depositor, and industry concentrations, including our concentration in loans secured by real estate;</w:t>
      </w:r>
    </w:p>
    <w:p>
      <w:pPr>
        <w:ind w:left="920"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climate change</w:t>
      </w:r>
    </w:p>
    <w:p>
      <w:pPr>
        <w:spacing w:after="0" w:line="1"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concentration of ownership of our common stock;</w:t>
      </w:r>
    </w:p>
    <w:p>
      <w:pPr>
        <w:ind w:left="920"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price of our common stock;</w:t>
      </w:r>
    </w:p>
    <w:p>
      <w:pPr>
        <w:spacing w:after="0" w:line="7" w:lineRule="exact"/>
        <w:rPr>
          <w:rFonts w:ascii="Times New Roman" w:cs="Times New Roman" w:eastAsia="Times New Roman" w:hAnsi="Times New Roman"/>
          <w:sz w:val="14"/>
          <w:szCs w:val="14"/>
          <w:color w:val="auto"/>
        </w:rPr>
      </w:pPr>
    </w:p>
    <w:p>
      <w:pPr>
        <w:ind w:left="920" w:right="699"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or access the capital markets at attractive rates and terms and manage our growth, both organic growth as well as growth through other means, such as future acquisitions;</w:t>
      </w:r>
    </w:p>
    <w:p>
      <w:pPr>
        <w:ind w:left="920"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interest rate, unemployment rate, market, and monetary fluctuations;</w:t>
      </w:r>
    </w:p>
    <w:p>
      <w:pPr>
        <w:spacing w:after="0" w:line="7"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international hostilities and geopolitical events</w:t>
      </w:r>
    </w:p>
    <w:p>
      <w:pPr>
        <w:spacing w:after="0" w:line="1"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and its effect on the pricing of our products and services as well as our margin;</w:t>
      </w:r>
    </w:p>
    <w:p>
      <w:pPr>
        <w:ind w:left="920" w:right="679" w:hanging="257"/>
        <w:spacing w:after="0" w:line="246" w:lineRule="auto"/>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risk management strategies, including operational risks, including, but not limited to, client, employee, or third-party fraud and security breaches; and</w:t>
      </w:r>
    </w:p>
    <w:p>
      <w:pPr>
        <w:ind w:left="920" w:hanging="257"/>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described in this earnings release and other filings we make with the Securities and Exchange Commission (“SEC”).</w:t>
      </w:r>
    </w:p>
    <w:p>
      <w:pPr>
        <w:spacing w:after="0" w:line="154" w:lineRule="exact"/>
        <w:rPr>
          <w:sz w:val="20"/>
          <w:szCs w:val="20"/>
          <w:color w:val="auto"/>
        </w:rPr>
      </w:pPr>
    </w:p>
    <w:p>
      <w:pPr>
        <w:jc w:val="both"/>
        <w:ind w:left="660" w:right="679"/>
        <w:spacing w:after="0" w:line="249" w:lineRule="auto"/>
        <w:rPr>
          <w:sz w:val="20"/>
          <w:szCs w:val="20"/>
          <w:color w:val="auto"/>
        </w:rPr>
      </w:pPr>
      <w:r>
        <w:rPr>
          <w:rFonts w:ascii="Times New Roman" w:cs="Times New Roman" w:eastAsia="Times New Roman" w:hAnsi="Times New Roman"/>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earnings release are made only as of the date hereof, and we undertake no obligation to update or revise any forward-looking statement to reflect events or circumstances after the date on which the statement is made or to reflect the occurrence of unanticipated events, unless required to do so under the federal securities laws. You should also review the risk factors described in the reports the Company filed or will file with the SEC and, for periods prior to the completion of the bank holding company reorganization in December 2021, the Bank filed with the FDIC.</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72" w:lineRule="exact"/>
        <w:rPr>
          <w:sz w:val="20"/>
          <w:szCs w:val="20"/>
          <w:color w:val="auto"/>
        </w:rPr>
      </w:pPr>
    </w:p>
    <w:p>
      <w:pPr>
        <w:jc w:val="both"/>
        <w:ind w:left="660" w:right="679"/>
        <w:spacing w:after="0" w:line="248" w:lineRule="auto"/>
        <w:rPr>
          <w:sz w:val="20"/>
          <w:szCs w:val="20"/>
          <w:color w:val="auto"/>
        </w:rPr>
      </w:pPr>
      <w:r>
        <w:rPr>
          <w:rFonts w:ascii="Times New Roman" w:cs="Times New Roman" w:eastAsia="Times New Roman" w:hAnsi="Times New Roman"/>
          <w:sz w:val="14"/>
          <w:szCs w:val="14"/>
          <w:color w:val="auto"/>
        </w:rPr>
        <w:t>This earnings release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‘Non-GAAP Reconciliation Tables’ included in the exhibits to this earnings release.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All numbers included in this press release are unaudited unless otherwise noted.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Contacts: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0000FF"/>
        </w:rPr>
        <w:t>InvestorRelations@uscentury.com</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Media Relations</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Martha Guerra-Kattou</w:t>
      </w:r>
    </w:p>
    <w:p>
      <w:pPr>
        <w:ind w:left="660"/>
        <w:spacing w:after="0"/>
        <w:rPr>
          <w:sz w:val="20"/>
          <w:szCs w:val="20"/>
          <w:color w:val="auto"/>
        </w:rPr>
      </w:pPr>
      <w:r>
        <w:rPr>
          <w:rFonts w:ascii="Times New Roman" w:cs="Times New Roman" w:eastAsia="Times New Roman" w:hAnsi="Times New Roman"/>
          <w:sz w:val="14"/>
          <w:szCs w:val="14"/>
          <w:color w:val="0000FF"/>
        </w:rPr>
        <w:t>MGuerra@uscentury.com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3"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INCOME (UNAUDITED)</w:t>
      </w:r>
    </w:p>
    <w:p>
      <w:pPr>
        <w:jc w:val="center"/>
        <w:ind w:right="19"/>
        <w:spacing w:after="0"/>
        <w:rPr>
          <w:sz w:val="20"/>
          <w:szCs w:val="20"/>
          <w:color w:val="auto"/>
        </w:rPr>
      </w:pPr>
      <w:r>
        <w:rPr>
          <w:rFonts w:ascii="Times New Roman" w:cs="Times New Roman" w:eastAsia="Times New Roman" w:hAnsi="Times New Roman"/>
          <w:sz w:val="14"/>
          <w:szCs w:val="14"/>
          <w:color w:val="auto"/>
        </w:rPr>
        <w:t>(Dollars in thousands, except per share data)</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6"/>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gridSpan w:val="6"/>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Twelve Months Ended December 31,</w:t>
            </w:r>
          </w:p>
        </w:tc>
      </w:tr>
      <w:tr>
        <w:trPr>
          <w:trHeight w:val="131"/>
        </w:trPr>
        <w:tc>
          <w:tcPr>
            <w:tcW w:w="370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2021</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20" w:type="dxa"/>
            <w:vAlign w:val="bottom"/>
          </w:tcPr>
          <w:p>
            <w:pPr>
              <w:spacing w:after="0"/>
              <w:rPr>
                <w:sz w:val="11"/>
                <w:szCs w:val="11"/>
                <w:color w:val="auto"/>
              </w:rPr>
            </w:pPr>
          </w:p>
        </w:tc>
      </w:tr>
      <w:tr>
        <w:trPr>
          <w:trHeight w:val="14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 including fees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17,836</w:t>
            </w:r>
          </w:p>
        </w:tc>
        <w:tc>
          <w:tcPr>
            <w:tcW w:w="20" w:type="dxa"/>
            <w:vAlign w:val="bottom"/>
          </w:tcPr>
          <w:p>
            <w:pPr>
              <w:spacing w:after="0"/>
              <w:rPr>
                <w:sz w:val="13"/>
                <w:szCs w:val="13"/>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12,786</w:t>
            </w:r>
          </w:p>
        </w:tc>
        <w:tc>
          <w:tcPr>
            <w:tcW w:w="1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60,825</w:t>
            </w: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48,730</w:t>
            </w:r>
          </w:p>
        </w:tc>
        <w:tc>
          <w:tcPr>
            <w:tcW w:w="20" w:type="dxa"/>
            <w:vAlign w:val="bottom"/>
          </w:tcPr>
          <w:p>
            <w:pPr>
              <w:spacing w:after="0"/>
              <w:rPr>
                <w:sz w:val="13"/>
                <w:szCs w:val="13"/>
                <w:color w:val="auto"/>
              </w:rPr>
            </w:pPr>
          </w:p>
        </w:tc>
      </w:tr>
      <w:tr>
        <w:trPr>
          <w:trHeight w:val="160"/>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9,346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7,886</w:t>
            </w:r>
          </w:p>
        </w:tc>
        <w:tc>
          <w:tcPr>
            <w:tcW w:w="20" w:type="dxa"/>
            <w:vAlign w:val="bottom"/>
            <w:shd w:val="clear" w:color="auto" w:fill="CCEEFF"/>
          </w:tcPr>
          <w:p>
            <w:pPr>
              <w:spacing w:after="0"/>
              <w:rPr>
                <w:sz w:val="13"/>
                <w:szCs w:val="13"/>
                <w:color w:val="auto"/>
              </w:rPr>
            </w:pPr>
          </w:p>
        </w:tc>
      </w:tr>
      <w:tr>
        <w:trPr>
          <w:trHeight w:val="169"/>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929</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20" w:type="dxa"/>
            <w:vAlign w:val="bottom"/>
          </w:tcPr>
          <w:p>
            <w:pPr>
              <w:spacing w:after="0"/>
              <w:rPr>
                <w:sz w:val="14"/>
                <w:szCs w:val="14"/>
                <w:color w:val="auto"/>
              </w:rPr>
            </w:pPr>
          </w:p>
        </w:tc>
      </w:tr>
      <w:tr>
        <w:trPr>
          <w:trHeight w:val="131"/>
        </w:trPr>
        <w:tc>
          <w:tcPr>
            <w:tcW w:w="37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interest income</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20,597</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15,031</w:t>
            </w:r>
          </w:p>
        </w:tc>
        <w:tc>
          <w:tcPr>
            <w:tcW w:w="20" w:type="dxa"/>
            <w:vAlign w:val="bottom"/>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71,100</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56,722</w:t>
            </w:r>
          </w:p>
        </w:tc>
        <w:tc>
          <w:tcPr>
            <w:tcW w:w="20" w:type="dxa"/>
            <w:vAlign w:val="bottom"/>
            <w:shd w:val="clear" w:color="auto" w:fill="CCEEFF"/>
          </w:tcPr>
          <w:p>
            <w:pPr>
              <w:spacing w:after="0"/>
              <w:rPr>
                <w:sz w:val="11"/>
                <w:szCs w:val="11"/>
                <w:color w:val="auto"/>
              </w:rPr>
            </w:pPr>
          </w:p>
        </w:tc>
      </w:tr>
      <w:tr>
        <w:trPr>
          <w:trHeight w:val="160"/>
        </w:trPr>
        <w:tc>
          <w:tcPr>
            <w:tcW w:w="3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checking</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20" w:type="dxa"/>
            <w:vAlign w:val="bottom"/>
            <w:shd w:val="clear" w:color="auto" w:fill="CCEEFF"/>
          </w:tcPr>
          <w:p>
            <w:pPr>
              <w:spacing w:after="0"/>
              <w:rPr>
                <w:sz w:val="13"/>
                <w:szCs w:val="13"/>
                <w:color w:val="auto"/>
              </w:rPr>
            </w:pPr>
          </w:p>
        </w:tc>
      </w:tr>
      <w:tr>
        <w:trPr>
          <w:trHeight w:val="160"/>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Savings and money market accounts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2,082</w:t>
            </w:r>
          </w:p>
        </w:tc>
        <w:tc>
          <w:tcPr>
            <w:tcW w:w="20" w:type="dxa"/>
            <w:vAlign w:val="bottom"/>
          </w:tcPr>
          <w:p>
            <w:pPr>
              <w:spacing w:after="0"/>
              <w:rPr>
                <w:sz w:val="13"/>
                <w:szCs w:val="13"/>
                <w:color w:val="auto"/>
              </w:rPr>
            </w:pPr>
          </w:p>
        </w:tc>
      </w:tr>
      <w:tr>
        <w:trPr>
          <w:trHeight w:val="149"/>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Time deposits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1,531</w:t>
            </w:r>
          </w:p>
        </w:tc>
        <w:tc>
          <w:tcPr>
            <w:tcW w:w="20" w:type="dxa"/>
            <w:vAlign w:val="bottom"/>
            <w:shd w:val="clear" w:color="auto" w:fill="CCEEFF"/>
          </w:tcPr>
          <w:p>
            <w:pPr>
              <w:spacing w:after="0"/>
              <w:rPr>
                <w:sz w:val="12"/>
                <w:szCs w:val="12"/>
                <w:color w:val="auto"/>
              </w:rPr>
            </w:pPr>
          </w:p>
        </w:tc>
      </w:tr>
      <w:tr>
        <w:trPr>
          <w:trHeight w:val="160"/>
        </w:trPr>
        <w:tc>
          <w:tcPr>
            <w:tcW w:w="3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554</w:t>
            </w:r>
          </w:p>
        </w:tc>
        <w:tc>
          <w:tcPr>
            <w:tcW w:w="20" w:type="dxa"/>
            <w:vAlign w:val="bottom"/>
          </w:tcPr>
          <w:p>
            <w:pPr>
              <w:spacing w:after="0"/>
              <w:rPr>
                <w:sz w:val="13"/>
                <w:szCs w:val="13"/>
                <w:color w:val="auto"/>
              </w:rPr>
            </w:pPr>
          </w:p>
        </w:tc>
      </w:tr>
      <w:tr>
        <w:trPr>
          <w:trHeight w:val="140"/>
        </w:trPr>
        <w:tc>
          <w:tcPr>
            <w:tcW w:w="3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interest expense</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3,731</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7,439</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4,226</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60"/>
        </w:trPr>
        <w:tc>
          <w:tcPr>
            <w:tcW w:w="37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interest income before provision for credit losses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16,866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14,076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63,661</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52,496</w:t>
            </w:r>
          </w:p>
        </w:tc>
        <w:tc>
          <w:tcPr>
            <w:tcW w:w="20" w:type="dxa"/>
            <w:vAlign w:val="bottom"/>
          </w:tcPr>
          <w:p>
            <w:pPr>
              <w:spacing w:after="0"/>
              <w:rPr>
                <w:sz w:val="13"/>
                <w:szCs w:val="13"/>
                <w:color w:val="auto"/>
              </w:rPr>
            </w:pPr>
          </w:p>
        </w:tc>
      </w:tr>
      <w:tr>
        <w:trPr>
          <w:trHeight w:val="131"/>
        </w:trPr>
        <w:tc>
          <w:tcPr>
            <w:tcW w:w="37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2,495</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(160)</w:t>
            </w:r>
          </w:p>
        </w:tc>
      </w:tr>
      <w:tr>
        <w:trPr>
          <w:trHeight w:val="140"/>
        </w:trPr>
        <w:tc>
          <w:tcPr>
            <w:tcW w:w="37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15,986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14,076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61,166</w:t>
            </w: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52,656</w:t>
            </w:r>
          </w:p>
        </w:tc>
        <w:tc>
          <w:tcPr>
            <w:tcW w:w="20" w:type="dxa"/>
            <w:vAlign w:val="bottom"/>
          </w:tcPr>
          <w:p>
            <w:pPr>
              <w:spacing w:after="0"/>
              <w:rPr>
                <w:sz w:val="12"/>
                <w:szCs w:val="12"/>
                <w:color w:val="auto"/>
              </w:rPr>
            </w:pPr>
          </w:p>
        </w:tc>
      </w:tr>
      <w:tr>
        <w:trPr>
          <w:trHeight w:val="14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Service fees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3,609</w:t>
            </w:r>
          </w:p>
        </w:tc>
        <w:tc>
          <w:tcPr>
            <w:tcW w:w="20" w:type="dxa"/>
            <w:vAlign w:val="bottom"/>
          </w:tcPr>
          <w:p>
            <w:pPr>
              <w:spacing w:after="0"/>
              <w:rPr>
                <w:sz w:val="13"/>
                <w:szCs w:val="13"/>
                <w:color w:val="auto"/>
              </w:rPr>
            </w:pPr>
          </w:p>
        </w:tc>
      </w:tr>
      <w:tr>
        <w:trPr>
          <w:trHeight w:val="160"/>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(loss) on sale of securities available for sale, net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20" w:type="dxa"/>
            <w:vAlign w:val="bottom"/>
            <w:shd w:val="clear" w:color="auto" w:fill="CCEEFF"/>
          </w:tcPr>
          <w:p>
            <w:pPr>
              <w:spacing w:after="0"/>
              <w:rPr>
                <w:sz w:val="13"/>
                <w:szCs w:val="13"/>
                <w:color w:val="auto"/>
              </w:rPr>
            </w:pPr>
          </w:p>
        </w:tc>
      </w:tr>
      <w:tr>
        <w:trPr>
          <w:trHeight w:val="160"/>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Gain on sale of loans held for sale,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1,626</w:t>
            </w:r>
          </w:p>
        </w:tc>
        <w:tc>
          <w:tcPr>
            <w:tcW w:w="20" w:type="dxa"/>
            <w:vAlign w:val="bottom"/>
          </w:tcPr>
          <w:p>
            <w:pPr>
              <w:spacing w:after="0"/>
              <w:rPr>
                <w:sz w:val="13"/>
                <w:szCs w:val="13"/>
                <w:color w:val="auto"/>
              </w:rPr>
            </w:pPr>
          </w:p>
        </w:tc>
      </w:tr>
      <w:tr>
        <w:trPr>
          <w:trHeight w:val="160"/>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on sale of other 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w:t>
            </w:r>
          </w:p>
        </w:tc>
        <w:tc>
          <w:tcPr>
            <w:tcW w:w="20" w:type="dxa"/>
            <w:vAlign w:val="bottom"/>
            <w:shd w:val="clear" w:color="auto" w:fill="CCEEFF"/>
          </w:tcPr>
          <w:p>
            <w:pPr>
              <w:spacing w:after="0"/>
              <w:rPr>
                <w:sz w:val="13"/>
                <w:szCs w:val="13"/>
                <w:color w:val="auto"/>
              </w:rPr>
            </w:pPr>
          </w:p>
        </w:tc>
      </w:tr>
      <w:tr>
        <w:trPr>
          <w:trHeight w:val="160"/>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 settlement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20" w:type="dxa"/>
            <w:vAlign w:val="bottom"/>
          </w:tcPr>
          <w:p>
            <w:pPr>
              <w:spacing w:after="0"/>
              <w:rPr>
                <w:sz w:val="13"/>
                <w:szCs w:val="13"/>
                <w:color w:val="auto"/>
              </w:rPr>
            </w:pPr>
          </w:p>
        </w:tc>
      </w:tr>
      <w:tr>
        <w:trPr>
          <w:trHeight w:val="149"/>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non-interest income</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2,695</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1,766</w:t>
            </w:r>
          </w:p>
        </w:tc>
        <w:tc>
          <w:tcPr>
            <w:tcW w:w="20" w:type="dxa"/>
            <w:vAlign w:val="bottom"/>
            <w:shd w:val="clear" w:color="auto" w:fill="CCEEFF"/>
          </w:tcPr>
          <w:p>
            <w:pPr>
              <w:spacing w:after="0"/>
              <w:rPr>
                <w:sz w:val="12"/>
                <w:szCs w:val="12"/>
                <w:color w:val="auto"/>
              </w:rPr>
            </w:pPr>
          </w:p>
        </w:tc>
      </w:tr>
      <w:tr>
        <w:trPr>
          <w:trHeight w:val="151"/>
        </w:trPr>
        <w:tc>
          <w:tcPr>
            <w:tcW w:w="37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non-interest 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10,698</w:t>
            </w:r>
          </w:p>
        </w:tc>
        <w:tc>
          <w:tcPr>
            <w:tcW w:w="20" w:type="dxa"/>
            <w:vAlign w:val="bottom"/>
          </w:tcPr>
          <w:p>
            <w:pPr>
              <w:spacing w:after="0"/>
              <w:rPr>
                <w:sz w:val="13"/>
                <w:szCs w:val="13"/>
                <w:color w:val="auto"/>
              </w:rPr>
            </w:pPr>
          </w:p>
        </w:tc>
      </w:tr>
      <w:tr>
        <w:trPr>
          <w:trHeight w:val="14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Non-interest expense: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23,943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21,438</w:t>
            </w:r>
          </w:p>
        </w:tc>
        <w:tc>
          <w:tcPr>
            <w:tcW w:w="20" w:type="dxa"/>
            <w:vAlign w:val="bottom"/>
          </w:tcPr>
          <w:p>
            <w:pPr>
              <w:spacing w:after="0"/>
              <w:rPr>
                <w:sz w:val="13"/>
                <w:szCs w:val="13"/>
                <w:color w:val="auto"/>
              </w:rPr>
            </w:pPr>
          </w:p>
        </w:tc>
      </w:tr>
      <w:tr>
        <w:trPr>
          <w:trHeight w:val="160"/>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Occupancy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5,257</w:t>
            </w:r>
          </w:p>
        </w:tc>
        <w:tc>
          <w:tcPr>
            <w:tcW w:w="20" w:type="dxa"/>
            <w:vAlign w:val="bottom"/>
            <w:shd w:val="clear" w:color="auto" w:fill="CCEEFF"/>
          </w:tcPr>
          <w:p>
            <w:pPr>
              <w:spacing w:after="0"/>
              <w:rPr>
                <w:sz w:val="13"/>
                <w:szCs w:val="13"/>
                <w:color w:val="auto"/>
              </w:rPr>
            </w:pPr>
          </w:p>
        </w:tc>
      </w:tr>
      <w:tr>
        <w:trPr>
          <w:trHeight w:val="160"/>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Regulatory assessments and fees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20" w:type="dxa"/>
            <w:vAlign w:val="bottom"/>
          </w:tcPr>
          <w:p>
            <w:pPr>
              <w:spacing w:after="0"/>
              <w:rPr>
                <w:sz w:val="13"/>
                <w:szCs w:val="13"/>
                <w:color w:val="auto"/>
              </w:rPr>
            </w:pPr>
          </w:p>
        </w:tc>
      </w:tr>
      <w:tr>
        <w:trPr>
          <w:trHeight w:val="160"/>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Consulting and legal fees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1,890</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1,454</w:t>
            </w:r>
          </w:p>
        </w:tc>
        <w:tc>
          <w:tcPr>
            <w:tcW w:w="20" w:type="dxa"/>
            <w:vAlign w:val="bottom"/>
            <w:shd w:val="clear" w:color="auto" w:fill="CCEEFF"/>
          </w:tcPr>
          <w:p>
            <w:pPr>
              <w:spacing w:after="0"/>
              <w:rPr>
                <w:sz w:val="13"/>
                <w:szCs w:val="13"/>
                <w:color w:val="auto"/>
              </w:rPr>
            </w:pPr>
          </w:p>
        </w:tc>
      </w:tr>
      <w:tr>
        <w:trPr>
          <w:trHeight w:val="160"/>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Network and information technology services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20" w:type="dxa"/>
            <w:vAlign w:val="bottom"/>
          </w:tcPr>
          <w:p>
            <w:pPr>
              <w:spacing w:after="0"/>
              <w:rPr>
                <w:sz w:val="13"/>
                <w:szCs w:val="13"/>
                <w:color w:val="auto"/>
              </w:rPr>
            </w:pPr>
          </w:p>
        </w:tc>
      </w:tr>
      <w:tr>
        <w:trPr>
          <w:trHeight w:val="149"/>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operating expense</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5,682</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5,279</w:t>
            </w:r>
          </w:p>
        </w:tc>
        <w:tc>
          <w:tcPr>
            <w:tcW w:w="20" w:type="dxa"/>
            <w:vAlign w:val="bottom"/>
            <w:shd w:val="clear" w:color="auto" w:fill="CCEEFF"/>
          </w:tcPr>
          <w:p>
            <w:pPr>
              <w:spacing w:after="0"/>
              <w:rPr>
                <w:sz w:val="12"/>
                <w:szCs w:val="12"/>
                <w:color w:val="auto"/>
              </w:rPr>
            </w:pPr>
          </w:p>
        </w:tc>
      </w:tr>
      <w:tr>
        <w:trPr>
          <w:trHeight w:val="151"/>
        </w:trPr>
        <w:tc>
          <w:tcPr>
            <w:tcW w:w="3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10,014</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9,319</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39,309</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35,677</w:t>
            </w:r>
          </w:p>
        </w:tc>
        <w:tc>
          <w:tcPr>
            <w:tcW w:w="20" w:type="dxa"/>
            <w:vAlign w:val="bottom"/>
          </w:tcPr>
          <w:p>
            <w:pPr>
              <w:spacing w:after="0"/>
              <w:rPr>
                <w:sz w:val="13"/>
                <w:szCs w:val="13"/>
                <w:color w:val="auto"/>
              </w:rPr>
            </w:pPr>
          </w:p>
        </w:tc>
      </w:tr>
      <w:tr>
        <w:trPr>
          <w:trHeight w:val="140"/>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 before income tax expense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27,085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27,677</w:t>
            </w:r>
          </w:p>
        </w:tc>
        <w:tc>
          <w:tcPr>
            <w:tcW w:w="20" w:type="dxa"/>
            <w:vAlign w:val="bottom"/>
            <w:shd w:val="clear" w:color="auto" w:fill="CCEEFF"/>
          </w:tcPr>
          <w:p>
            <w:pPr>
              <w:spacing w:after="0"/>
              <w:rPr>
                <w:sz w:val="12"/>
                <w:szCs w:val="12"/>
                <w:color w:val="auto"/>
              </w:rPr>
            </w:pPr>
          </w:p>
        </w:tc>
      </w:tr>
      <w:tr>
        <w:trPr>
          <w:trHeight w:val="160"/>
        </w:trPr>
        <w:tc>
          <w:tcPr>
            <w:tcW w:w="3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1,751</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6,944</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6,600</w:t>
            </w:r>
          </w:p>
        </w:tc>
        <w:tc>
          <w:tcPr>
            <w:tcW w:w="20" w:type="dxa"/>
            <w:vAlign w:val="bottom"/>
          </w:tcPr>
          <w:p>
            <w:pPr>
              <w:spacing w:after="0"/>
              <w:rPr>
                <w:sz w:val="13"/>
                <w:szCs w:val="13"/>
                <w:color w:val="auto"/>
              </w:rPr>
            </w:pPr>
          </w:p>
        </w:tc>
      </w:tr>
      <w:tr>
        <w:trPr>
          <w:trHeight w:val="151"/>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20,141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21,077</w:t>
            </w:r>
          </w:p>
        </w:tc>
        <w:tc>
          <w:tcPr>
            <w:tcW w:w="20" w:type="dxa"/>
            <w:vAlign w:val="bottom"/>
            <w:shd w:val="clear" w:color="auto" w:fill="CCEEFF"/>
          </w:tcPr>
          <w:p>
            <w:pPr>
              <w:spacing w:after="0"/>
              <w:rPr>
                <w:sz w:val="13"/>
                <w:szCs w:val="13"/>
                <w:color w:val="auto"/>
              </w:rPr>
            </w:pPr>
          </w:p>
        </w:tc>
      </w:tr>
      <w:tr>
        <w:trPr>
          <w:trHeight w:val="149"/>
        </w:trPr>
        <w:tc>
          <w:tcPr>
            <w:tcW w:w="37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Preferred stock dividend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2,077</w:t>
            </w:r>
          </w:p>
        </w:tc>
        <w:tc>
          <w:tcPr>
            <w:tcW w:w="20" w:type="dxa"/>
            <w:vAlign w:val="bottom"/>
          </w:tcPr>
          <w:p>
            <w:pPr>
              <w:spacing w:after="0"/>
              <w:rPr>
                <w:sz w:val="12"/>
                <w:szCs w:val="12"/>
                <w:color w:val="auto"/>
              </w:rPr>
            </w:pPr>
          </w:p>
        </w:tc>
      </w:tr>
      <w:tr>
        <w:trPr>
          <w:trHeight w:val="160"/>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Exchange and redemption of preferred shares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89,585</w:t>
            </w:r>
          </w:p>
        </w:tc>
        <w:tc>
          <w:tcPr>
            <w:tcW w:w="20" w:type="dxa"/>
            <w:vAlign w:val="bottom"/>
            <w:shd w:val="clear" w:color="auto" w:fill="CCEEFF"/>
          </w:tcPr>
          <w:p>
            <w:pPr>
              <w:spacing w:after="0"/>
              <w:rPr>
                <w:sz w:val="13"/>
                <w:szCs w:val="13"/>
                <w:color w:val="auto"/>
              </w:rPr>
            </w:pPr>
          </w:p>
        </w:tc>
      </w:tr>
      <w:tr>
        <w:trPr>
          <w:trHeight w:val="191"/>
        </w:trPr>
        <w:tc>
          <w:tcPr>
            <w:tcW w:w="37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(loss) available to common stockholders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4,434</w:t>
            </w:r>
          </w:p>
        </w:tc>
        <w:tc>
          <w:tcPr>
            <w:tcW w:w="20" w:type="dxa"/>
            <w:vAlign w:val="bottom"/>
          </w:tcPr>
          <w:p>
            <w:pPr>
              <w:spacing w:after="0"/>
              <w:rPr>
                <w:sz w:val="16"/>
                <w:szCs w:val="16"/>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5,650</w:t>
            </w:r>
          </w:p>
        </w:tc>
        <w:tc>
          <w:tcPr>
            <w:tcW w:w="1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20,141</w:t>
            </w: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(70,585)</w:t>
            </w:r>
          </w:p>
        </w:tc>
      </w:tr>
      <w:tr>
        <w:trPr>
          <w:trHeight w:val="145"/>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Per share information:</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r>
      <w:tr>
        <w:trPr>
          <w:trHeight w:val="137"/>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 (loss) per common share, basic</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20" w:type="dxa"/>
            <w:vAlign w:val="bottom"/>
            <w:shd w:val="clear" w:color="auto" w:fill="CCEEFF"/>
          </w:tcPr>
          <w:p>
            <w:pPr>
              <w:spacing w:after="0"/>
              <w:rPr>
                <w:sz w:val="11"/>
                <w:szCs w:val="11"/>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20" w:type="dxa"/>
            <w:vAlign w:val="bottom"/>
            <w:shd w:val="clear" w:color="auto" w:fill="CCEEFF"/>
          </w:tcPr>
          <w:p>
            <w:pPr>
              <w:spacing w:after="0"/>
              <w:rPr>
                <w:sz w:val="11"/>
                <w:szCs w:val="11"/>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(6.72)</w:t>
            </w:r>
          </w:p>
        </w:tc>
      </w:tr>
      <w:tr>
        <w:trPr>
          <w:trHeight w:val="160"/>
        </w:trPr>
        <w:tc>
          <w:tcPr>
            <w:tcW w:w="37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(loss) per common share, diluted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20" w:type="dxa"/>
            <w:vAlign w:val="bottom"/>
          </w:tcPr>
          <w:p>
            <w:pPr>
              <w:spacing w:after="0"/>
              <w:rPr>
                <w:sz w:val="13"/>
                <w:szCs w:val="13"/>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1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(6.72)</w:t>
            </w:r>
          </w:p>
        </w:tc>
      </w:tr>
      <w:tr>
        <w:trPr>
          <w:trHeight w:val="16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Weighted average shares outstanding:</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7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Common share, basic</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18,913,914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19,999,323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10,507,530</w:t>
            </w:r>
          </w:p>
        </w:tc>
        <w:tc>
          <w:tcPr>
            <w:tcW w:w="20" w:type="dxa"/>
            <w:vAlign w:val="bottom"/>
          </w:tcPr>
          <w:p>
            <w:pPr>
              <w:spacing w:after="0"/>
              <w:rPr>
                <w:sz w:val="13"/>
                <w:szCs w:val="13"/>
                <w:color w:val="auto"/>
              </w:rPr>
            </w:pPr>
          </w:p>
        </w:tc>
      </w:tr>
      <w:tr>
        <w:trPr>
          <w:trHeight w:val="149"/>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Common share, diluted</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20,172,438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19,023,686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20,176,838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10,507,530</w:t>
            </w:r>
          </w:p>
        </w:tc>
        <w:tc>
          <w:tcPr>
            <w:tcW w:w="20" w:type="dxa"/>
            <w:vAlign w:val="bottom"/>
            <w:shd w:val="clear" w:color="auto" w:fill="CCEEFF"/>
          </w:tcPr>
          <w:p>
            <w:pPr>
              <w:spacing w:after="0"/>
              <w:rPr>
                <w:sz w:val="12"/>
                <w:szCs w:val="12"/>
                <w:color w:val="auto"/>
              </w:rPr>
            </w:pPr>
          </w:p>
        </w:tc>
      </w:tr>
      <w:tr>
        <w:trPr>
          <w:trHeight w:val="160"/>
        </w:trPr>
        <w:tc>
          <w:tcPr>
            <w:tcW w:w="3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721"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SELECTED FINANCIAL DATA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data)</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1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10"/>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 w:type="dxa"/>
            <w:vAlign w:val="bottom"/>
            <w:tcBorders>
              <w:bottom w:val="single" w:sz="8" w:color="CCEEFF"/>
            </w:tcBorders>
          </w:tcPr>
          <w:p>
            <w:pPr>
              <w:spacing w:after="0"/>
              <w:rPr>
                <w:sz w:val="11"/>
                <w:szCs w:val="11"/>
                <w:color w:val="auto"/>
              </w:rPr>
            </w:pPr>
          </w:p>
        </w:tc>
        <w:tc>
          <w:tcPr>
            <w:tcW w:w="31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12/31/2022</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9/30/2022</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3/31/2022</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Income statement data:</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 interest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16,866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16,774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15,642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14,379</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00" w:type="dxa"/>
            <w:vAlign w:val="bottom"/>
            <w:tcBorders>
              <w:bottom w:val="single" w:sz="8" w:color="CCEEFF"/>
            </w:tcBorders>
            <w:shd w:val="clear" w:color="auto" w:fill="CCEEFF"/>
          </w:tcPr>
          <w:p>
            <w:pPr>
              <w:spacing w:after="0"/>
              <w:rPr>
                <w:sz w:val="12"/>
                <w:szCs w:val="1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705</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15,986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15,864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14,937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Service fees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Gain (loss) on sale of securities available for sale,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Gain on sale of loans held for sale,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Gain on sale of other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Loan settlement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Other income</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1,083</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529</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0" w:type="dxa"/>
            <w:vAlign w:val="bottom"/>
            <w:tcBorders>
              <w:top w:val="single" w:sz="8" w:color="CCEEFF"/>
            </w:tcBorders>
            <w:shd w:val="clear" w:color="auto" w:fill="CCEEFF"/>
          </w:tcPr>
          <w:p>
            <w:pPr>
              <w:spacing w:after="0"/>
              <w:rPr>
                <w:sz w:val="10"/>
                <w:szCs w:val="10"/>
                <w:color w:val="auto"/>
              </w:rPr>
            </w:pPr>
          </w:p>
        </w:tc>
        <w:tc>
          <w:tcPr>
            <w:tcW w:w="3140" w:type="dxa"/>
            <w:vAlign w:val="bottom"/>
            <w:tcBorders>
              <w:top w:val="single" w:sz="8" w:color="CCEEFF"/>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Total non-interest income</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(123)</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1,789</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1,617</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1,945</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2,644</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6,075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Occupancy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Regulatory assessments and fees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Consulting and legal fees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Network and information technology services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operating expense</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1,602</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1,350</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10,014</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10,132</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9,551</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9,612</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before income tax expense</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7,521</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1,963</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1,708</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1,858</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Preferred stock dividend</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0" w:type="dxa"/>
            <w:vAlign w:val="bottom"/>
            <w:shd w:val="clear" w:color="auto" w:fill="CCEEFF"/>
          </w:tcPr>
          <w:p>
            <w:pPr>
              <w:spacing w:after="0"/>
              <w:rPr>
                <w:sz w:val="11"/>
                <w:szCs w:val="11"/>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 available to common stockholders</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4,434</w:t>
            </w:r>
          </w:p>
        </w:tc>
        <w:tc>
          <w:tcPr>
            <w:tcW w:w="60" w:type="dxa"/>
            <w:vAlign w:val="bottom"/>
            <w:gridSpan w:val="2"/>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80" w:type="dxa"/>
            <w:vAlign w:val="bottom"/>
            <w:gridSpan w:val="2"/>
            <w:shd w:val="clear" w:color="auto" w:fill="CCEEFF"/>
          </w:tcPr>
          <w:p>
            <w:pPr>
              <w:spacing w:after="0"/>
              <w:rPr>
                <w:sz w:val="11"/>
                <w:szCs w:val="1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5,295</w:t>
            </w:r>
          </w:p>
        </w:tc>
        <w:tc>
          <w:tcPr>
            <w:tcW w:w="20" w:type="dxa"/>
            <w:vAlign w:val="bottom"/>
            <w:shd w:val="clear" w:color="auto" w:fill="CCEEFF"/>
          </w:tcPr>
          <w:p>
            <w:pPr>
              <w:spacing w:after="0"/>
              <w:rPr>
                <w:sz w:val="11"/>
                <w:szCs w:val="11"/>
                <w:color w:val="auto"/>
              </w:rPr>
            </w:pPr>
          </w:p>
        </w:tc>
        <w:tc>
          <w:tcPr>
            <w:tcW w:w="60" w:type="dxa"/>
            <w:vAlign w:val="bottom"/>
            <w:gridSpan w:val="2"/>
            <w:shd w:val="clear" w:color="auto" w:fill="CCEEFF"/>
          </w:tcPr>
          <w:p>
            <w:pPr>
              <w:spacing w:after="0"/>
              <w:rPr>
                <w:sz w:val="11"/>
                <w:szCs w:val="1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60" w:type="dxa"/>
            <w:vAlign w:val="bottom"/>
            <w:gridSpan w:val="2"/>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 share information:</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 per common share, basic</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0.28</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0.26</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 per common share, diluted</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0.26</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sheet data (at period-end):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54,168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73,326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83,272</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94,113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230,140</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248,571</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339,464</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392,214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401,542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Securities held-to-maturity</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188,699</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178,865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116,671</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122,361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securities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418,839</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427,436</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456,135</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514,575</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524,200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Loans held for investment </w:t>
            </w:r>
            <w:r>
              <w:rPr>
                <w:rFonts w:ascii="Times New Roman" w:cs="Times New Roman" w:eastAsia="Times New Roman" w:hAnsi="Times New Roman"/>
                <w:sz w:val="14"/>
                <w:szCs w:val="14"/>
                <w:color w:val="auto"/>
                <w:vertAlign w:val="superscript"/>
              </w:rPr>
              <w:t>(1)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1,507,338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1,431,513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1,372,733</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1,258,388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1,190,081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(17,487)</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(16,604)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(15,786)</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(15,074)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(15,057)</w:t>
            </w: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assets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2,085,834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2,037,453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2,016,086</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1,967,252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1,853,939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Non-interest-bearing deposits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629,776</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662,808</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653,708</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656,622</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605,425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Interest-bearing deposits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1,199,505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1,133,834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1,085,012</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1,056,672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deposits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1,829,281</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1,796,642</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1,738,720</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1,713,294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1,590,379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46,000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26,000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66,000</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36,000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liabilities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1,903,406</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1,860,036</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1,836,018</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1,775,213</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1,650,042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182,428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177,417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180,068</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192,039</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Capital ratios: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Leverage ratio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equity tier 1 capital</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Tier 1 risk-based 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risk-based capital</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(1) Loan amounts include deferred fees/costs.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76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AVERAGE BALANCES, RATIOS, AND OTHER DATA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10"/>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3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3/31/2022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12/31/2021</w:t>
            </w:r>
          </w:p>
        </w:tc>
        <w:tc>
          <w:tcPr>
            <w:tcW w:w="20" w:type="dxa"/>
            <w:vAlign w:val="bottom"/>
          </w:tcPr>
          <w:p>
            <w:pPr>
              <w:spacing w:after="0"/>
              <w:rPr>
                <w:sz w:val="11"/>
                <w:szCs w:val="11"/>
                <w:color w:val="auto"/>
              </w:rPr>
            </w:pPr>
          </w:p>
        </w:tc>
      </w:tr>
      <w:tr>
        <w:trPr>
          <w:trHeight w:val="14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Average balance sheet data:</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61,892</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77,887</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80,254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99,911</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87,819</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242,144</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331,206</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370,933</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385,748</w:t>
            </w:r>
          </w:p>
        </w:tc>
        <w:tc>
          <w:tcPr>
            <w:tcW w:w="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374,589</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Securities held-to-maturity</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184,459</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116,733</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120,130</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122,381</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114,108</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426,603</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447,939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491,063</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508,129</w:t>
            </w:r>
          </w:p>
        </w:tc>
        <w:tc>
          <w:tcPr>
            <w:tcW w:w="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488,697</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Loans held for investment</w:t>
            </w:r>
            <w:r>
              <w:rPr>
                <w:rFonts w:ascii="Times New Roman" w:cs="Times New Roman" w:eastAsia="Times New Roman" w:hAnsi="Times New Roman"/>
                <w:sz w:val="14"/>
                <w:szCs w:val="14"/>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1,456,780</w:t>
            </w:r>
          </w:p>
        </w:tc>
        <w:tc>
          <w:tcPr>
            <w:tcW w:w="2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1,398,761</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1,296,476</w:t>
            </w:r>
          </w:p>
        </w:tc>
        <w:tc>
          <w:tcPr>
            <w:tcW w:w="2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1,211,432</w:t>
            </w:r>
          </w:p>
        </w:tc>
        <w:tc>
          <w:tcPr>
            <w:tcW w:w="2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1,158,755</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2,051,867</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2,026,791</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1,968,381</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1,913,484</w:t>
            </w:r>
          </w:p>
        </w:tc>
        <w:tc>
          <w:tcPr>
            <w:tcW w:w="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1,828,037</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Interest-bearing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1,150,049</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1,107,129</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1,071,709</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1,023,844</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958,241</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653,820</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655,853</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644,975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626,400</w:t>
            </w:r>
          </w:p>
        </w:tc>
        <w:tc>
          <w:tcPr>
            <w:tcW w:w="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603,735</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1,803,869</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1,762,982</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1,716,684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1,650,244</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1,561,976</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37,500</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43,935</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36,330</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36,011</w:t>
            </w:r>
          </w:p>
        </w:tc>
        <w:tc>
          <w:tcPr>
            <w:tcW w:w="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36,000</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1,874,311</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1,841,503</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1,781,784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1,711,624</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1,625,675</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177,556</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185,288</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186,597</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201,860</w:t>
            </w:r>
          </w:p>
        </w:tc>
        <w:tc>
          <w:tcPr>
            <w:tcW w:w="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202,362</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Performance ratios: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Return on average assets </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Return on average equity </w:t>
            </w:r>
            <w:r>
              <w:rPr>
                <w:rFonts w:ascii="Times New Roman" w:cs="Times New Roman" w:eastAsia="Times New Roman" w:hAnsi="Times New Roman"/>
                <w:sz w:val="14"/>
                <w:szCs w:val="14"/>
                <w:color w:val="auto"/>
                <w:vertAlign w:val="superscript"/>
              </w:rPr>
              <w:t>(2)</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11.08%</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Non-interest income to average assets </w:t>
            </w:r>
            <w:r>
              <w:rPr>
                <w:rFonts w:ascii="Times New Roman" w:cs="Times New Roman" w:eastAsia="Times New Roman" w:hAnsi="Times New Roman"/>
                <w:sz w:val="14"/>
                <w:szCs w:val="14"/>
                <w:color w:val="auto"/>
                <w:vertAlign w:val="superscript"/>
              </w:rPr>
              <w:t>(2)</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0.57%</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Efficiency ratio </w:t>
            </w:r>
            <w:r>
              <w:rPr>
                <w:rFonts w:ascii="Times New Roman" w:cs="Times New Roman" w:eastAsia="Times New Roman" w:hAnsi="Times New Roman"/>
                <w:sz w:val="14"/>
                <w:szCs w:val="14"/>
                <w:color w:val="auto"/>
                <w:vertAlign w:val="superscript"/>
              </w:rPr>
              <w:t>(3)</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59.81%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55.74%</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Loans by type (at period end): </w:t>
            </w:r>
            <w:r>
              <w:rPr>
                <w:rFonts w:ascii="Times New Roman" w:cs="Times New Roman" w:eastAsia="Times New Roman" w:hAnsi="Times New Roman"/>
                <w:sz w:val="14"/>
                <w:szCs w:val="14"/>
                <w:color w:val="auto"/>
                <w:vertAlign w:val="superscript"/>
              </w:rPr>
              <w:t>(4)</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Residential real estate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185,636</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186,551</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203,662</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204,317</w:t>
            </w:r>
          </w:p>
        </w:tc>
        <w:tc>
          <w:tcPr>
            <w:tcW w:w="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201,359</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real estate</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970,410</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928,531</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843,445</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782,072</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704,988</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126,984</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121,145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131,271</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134,832</w:t>
            </w:r>
          </w:p>
        </w:tc>
        <w:tc>
          <w:tcPr>
            <w:tcW w:w="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146,592</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Foreign banks</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93,769</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94,450</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84,770</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63,985</w:t>
            </w:r>
          </w:p>
        </w:tc>
        <w:tc>
          <w:tcPr>
            <w:tcW w:w="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59,491</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Consumer and other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130,429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100,845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109,250</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73,765</w:t>
            </w:r>
          </w:p>
        </w:tc>
        <w:tc>
          <w:tcPr>
            <w:tcW w:w="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79,229</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 quality data:</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to total loans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to non-performing loans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Non-accrual loans less non-accrual TDRs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Non-accrual TDRs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Loans over 90 days past due and accruing</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non-performing loans</w:t>
            </w:r>
            <w:r>
              <w:rPr>
                <w:rFonts w:ascii="Times New Roman" w:cs="Times New Roman" w:eastAsia="Times New Roman" w:hAnsi="Times New Roman"/>
                <w:sz w:val="14"/>
                <w:szCs w:val="14"/>
                <w:color w:val="auto"/>
                <w:vertAlign w:val="superscript"/>
              </w:rPr>
              <w:t>(5)</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Non-performing loans to total loans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Non-performing assets to total assets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Net charge-offs (recoveries of) to average loans </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charge-offs (recovery of) credit losses</w:t>
            </w: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w:t>
            </w:r>
          </w:p>
        </w:tc>
      </w:tr>
      <w:tr>
        <w:trPr>
          <w:trHeight w:val="16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Interest rates and yields:</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Deposits</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Other information:</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Full-time equivalent employees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20" w:type="dxa"/>
            <w:vAlign w:val="bottom"/>
            <w:shd w:val="clear" w:color="auto" w:fill="CCEEFF"/>
          </w:tcPr>
          <w:p>
            <w:pPr>
              <w:spacing w:after="0"/>
              <w:rPr>
                <w:sz w:val="13"/>
                <w:szCs w:val="13"/>
                <w:color w:val="auto"/>
              </w:rPr>
            </w:pPr>
          </w:p>
        </w:tc>
      </w:tr>
    </w:tbl>
    <w:p>
      <w:pPr>
        <w:spacing w:after="0" w:line="153" w:lineRule="exact"/>
        <w:rPr>
          <w:sz w:val="20"/>
          <w:szCs w:val="20"/>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include deferred fees/costs.</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Efficiency ratio is defined as total non-interest expense divided by sum of net interest income and total non-interest income.</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exclude deferred fees/costs.</w:t>
      </w:r>
    </w:p>
    <w:p>
      <w:pPr>
        <w:spacing w:after="0" w:line="33" w:lineRule="exact"/>
        <w:rPr>
          <w:rFonts w:ascii="Times New Roman" w:cs="Times New Roman" w:eastAsia="Times New Roman" w:hAnsi="Times New Roman"/>
          <w:sz w:val="11"/>
          <w:szCs w:val="11"/>
          <w:color w:val="auto"/>
        </w:rPr>
      </w:pPr>
    </w:p>
    <w:p>
      <w:pPr>
        <w:ind w:left="660" w:right="739" w:firstLine="3"/>
        <w:spacing w:after="0" w:line="283" w:lineRule="auto"/>
        <w:tabs>
          <w:tab w:leader="none" w:pos="851"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for total non-performing loans and total non-performingassets are the same for the dates presented since there were no impaired investments or other real estate owned (OREO)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760"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NET INTEREST MARGIN (UNAUDITED)</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2021</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0"/>
        </w:trPr>
        <w:tc>
          <w:tcPr>
            <w:tcW w:w="2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63"/>
              <w:spacing w:after="0" w:line="120"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63"/>
              <w:spacing w:after="0" w:line="120"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26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gridSpan w:val="2"/>
          </w:tcPr>
          <w:p>
            <w:pPr>
              <w:ind w:left="40"/>
              <w:spacing w:after="0" w:line="127" w:lineRule="exact"/>
              <w:rPr>
                <w:sz w:val="20"/>
                <w:szCs w:val="20"/>
                <w:color w:val="auto"/>
              </w:rPr>
            </w:pPr>
            <w:r>
              <w:rPr>
                <w:rFonts w:ascii="Times New Roman" w:cs="Times New Roman" w:eastAsia="Times New Roman" w:hAnsi="Times New Roman"/>
                <w:sz w:val="11"/>
                <w:szCs w:val="11"/>
                <w:b w:val="1"/>
                <w:bCs w:val="1"/>
                <w:color w:val="auto"/>
              </w:rPr>
              <w:t xml:space="preserve">Yield/Rate </w:t>
            </w:r>
            <w:r>
              <w:rPr>
                <w:rFonts w:ascii="Times New Roman" w:cs="Times New Roman" w:eastAsia="Times New Roman" w:hAnsi="Times New Roman"/>
                <w:sz w:val="14"/>
                <w:szCs w:val="14"/>
                <w:color w:val="auto"/>
                <w:vertAlign w:val="superscript"/>
              </w:rPr>
              <w:t>(1)</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gridSpan w:val="2"/>
          </w:tcPr>
          <w:p>
            <w:pPr>
              <w:ind w:left="40"/>
              <w:spacing w:after="0" w:line="127" w:lineRule="exact"/>
              <w:rPr>
                <w:sz w:val="20"/>
                <w:szCs w:val="20"/>
                <w:color w:val="auto"/>
              </w:rPr>
            </w:pPr>
            <w:r>
              <w:rPr>
                <w:rFonts w:ascii="Times New Roman" w:cs="Times New Roman" w:eastAsia="Times New Roman" w:hAnsi="Times New Roman"/>
                <w:sz w:val="11"/>
                <w:szCs w:val="11"/>
                <w:b w:val="1"/>
                <w:bCs w:val="1"/>
                <w:color w:val="auto"/>
              </w:rPr>
              <w:t xml:space="preserve">Yield/Rate </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1"/>
                <w:szCs w:val="11"/>
                <w:color w:val="auto"/>
              </w:rPr>
            </w:pPr>
          </w:p>
        </w:tc>
      </w:tr>
      <w:tr>
        <w:trPr>
          <w:trHeight w:val="16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Interest-earning assets: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Loans </w:t>
            </w:r>
            <w:r>
              <w:rPr>
                <w:rFonts w:ascii="Times New Roman" w:cs="Times New Roman" w:eastAsia="Times New Roman" w:hAnsi="Times New Roman"/>
                <w:sz w:val="14"/>
                <w:szCs w:val="14"/>
                <w:color w:val="auto"/>
                <w:vertAlign w:val="superscript"/>
              </w:rPr>
              <w:t>(2)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1,456,780</w:t>
            </w:r>
          </w:p>
        </w:tc>
        <w:tc>
          <w:tcPr>
            <w:tcW w:w="2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17,836</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4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1,158,755</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12,786</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Investment securities </w:t>
            </w:r>
            <w:r>
              <w:rPr>
                <w:rFonts w:ascii="Times New Roman" w:cs="Times New Roman" w:eastAsia="Times New Roman" w:hAnsi="Times New Roman"/>
                <w:sz w:val="14"/>
                <w:szCs w:val="14"/>
                <w:color w:val="auto"/>
                <w:vertAlign w:val="superscript"/>
              </w:rPr>
              <w:t>(3)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429,020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2,306</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490,797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2,216</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interest-earnings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53,717</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80,170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1,939,517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20,597</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1,729,722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15,031</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112,350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9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2,051,867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1,828,037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0"/>
        </w:trPr>
        <w:tc>
          <w:tcPr>
            <w:tcW w:w="2620" w:type="dxa"/>
            <w:vAlign w:val="bottom"/>
            <w:tcBorders>
              <w:top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r>
      <w:tr>
        <w:trPr>
          <w:trHeight w:val="160"/>
        </w:trPr>
        <w:tc>
          <w:tcPr>
            <w:tcW w:w="2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checking</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61,976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4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56,558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 and money market 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871,269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2,866</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673,993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Time deposits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216,804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227,690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0.51%</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1,150,049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3,516</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958,241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0.34%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 and other borrowings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1,187,549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3,731</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994,241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653,820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603,735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2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non-interest-bearing liabilities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32,942</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27,699</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r>
      <w:tr>
        <w:trPr>
          <w:trHeight w:val="151"/>
        </w:trPr>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liabilities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1,874,311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1,625,675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Stockholders' equity</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177,556</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202,362</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r>
      <w:tr>
        <w:trPr>
          <w:trHeight w:val="140"/>
        </w:trPr>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2,051,867</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1,828,037</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rPr>
              <w:t>Net interest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16,866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12"/>
        </w:trPr>
        <w:tc>
          <w:tcPr>
            <w:tcW w:w="2620" w:type="dxa"/>
            <w:vAlign w:val="bottom"/>
            <w:tcBorders>
              <w:top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 xml:space="preserve">Net interest spread </w:t>
            </w:r>
            <w:r>
              <w:rPr>
                <w:rFonts w:ascii="Times New Roman" w:cs="Times New Roman" w:eastAsia="Times New Roman" w:hAnsi="Times New Roman"/>
                <w:sz w:val="12"/>
                <w:szCs w:val="12"/>
                <w:color w:val="auto"/>
                <w:vertAlign w:val="superscript"/>
              </w:rPr>
              <w:t>(4)</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CCEEFF"/>
            </w:tcBorders>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2.96%</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CCEEFF"/>
            </w:tcBorders>
            <w:gridSpan w:val="2"/>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rPr>
              <w:t>3.03%</w:t>
            </w: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212"/>
        </w:trPr>
        <w:tc>
          <w:tcPr>
            <w:tcW w:w="26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3.19%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12" w:lineRule="exact"/>
        <w:rPr>
          <w:sz w:val="20"/>
          <w:szCs w:val="20"/>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loan balances include non-accrual loans. Interest income on loans includes accretion of deferred loan fees, net of deferred loan costs.</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fair value except for securities held to maturity. This amount includes FHLB stock.</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spread is the average yield on total interest-earning assets minus the average rate on total interest-bearing liabilities.</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margin is the ratio of net interest income to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781"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12"/>
          </w:tcPr>
          <w:p>
            <w:pPr>
              <w:ind w:left="24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1"/>
        </w:trPr>
        <w:tc>
          <w:tcPr>
            <w:tcW w:w="3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12/31/2022</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9/30/2022</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6/30/2022</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3/31/2022</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12/31/2021</w:t>
            </w:r>
          </w:p>
        </w:tc>
        <w:tc>
          <w:tcPr>
            <w:tcW w:w="20" w:type="dxa"/>
            <w:vAlign w:val="bottom"/>
          </w:tcPr>
          <w:p>
            <w:pPr>
              <w:spacing w:after="0"/>
              <w:rPr>
                <w:sz w:val="12"/>
                <w:szCs w:val="12"/>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Pre-tax pre-provision ("PTPP")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4,434</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5,295</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5,650</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Plus: Provision for income taxes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1,751</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Plus: Provision for credit losses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910</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705</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51"/>
        </w:trPr>
        <w:tc>
          <w:tcPr>
            <w:tcW w:w="3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PTPP income</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6,729</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8,431</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7,708</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6,712</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3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PTPP return on 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PTPP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6,729</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8,431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7,708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2,051,867</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2,026,791</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1,968,381</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1,913,484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1,828,037</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PTPP return on average assets </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1.65%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net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5,558</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5,295</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5,650</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(1,989)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(558)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Less: Tax effect on sale of securities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w:t>
            </w:r>
          </w:p>
        </w:tc>
      </w:tr>
      <w:tr>
        <w:trPr>
          <w:trHeight w:val="191"/>
        </w:trPr>
        <w:tc>
          <w:tcPr>
            <w:tcW w:w="3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5,919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5,975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5,297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4,838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5,624</w:t>
            </w:r>
          </w:p>
        </w:tc>
        <w:tc>
          <w:tcPr>
            <w:tcW w:w="20" w:type="dxa"/>
            <w:vAlign w:val="bottom"/>
          </w:tcPr>
          <w:p>
            <w:pPr>
              <w:spacing w:after="0"/>
              <w:rPr>
                <w:sz w:val="16"/>
                <w:szCs w:val="16"/>
                <w:color w:val="auto"/>
              </w:rPr>
            </w:pPr>
          </w:p>
        </w:tc>
      </w:tr>
      <w:tr>
        <w:trPr>
          <w:trHeight w:val="100"/>
        </w:trPr>
        <w:tc>
          <w:tcPr>
            <w:tcW w:w="3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60"/>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PTPP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PTPP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6,729</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8,431</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7,708</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6,712</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0" w:type="dxa"/>
            <w:vAlign w:val="bottom"/>
          </w:tcPr>
          <w:p>
            <w:pPr>
              <w:spacing w:after="0"/>
              <w:rPr>
                <w:sz w:val="13"/>
                <w:szCs w:val="13"/>
                <w:color w:val="auto"/>
              </w:rPr>
            </w:pPr>
          </w:p>
        </w:tc>
      </w:tr>
      <w:tr>
        <w:trPr>
          <w:trHeight w:val="151"/>
        </w:trPr>
        <w:tc>
          <w:tcPr>
            <w:tcW w:w="32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Operating PTPP income</w:t>
            </w: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8,718</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8,989</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7,711</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6,691</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7,366</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PTPP return on 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Operating PTPP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8,718</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8,989</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7,711</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6,691</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7,366</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2,051,867</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2,026,791</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1,968,381</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1,913,484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1,828,037</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Operating PTPP return on average assets </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1.76%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return on average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5,919</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5,975</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5,297</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4,838</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5,624</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2,051,867</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2,026,791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1,968,381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1,913,484</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1,828,037</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Operating return on average assets </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return on average equity:</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5,919</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5,975</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5,297</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5,624</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Average equity</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177,556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185,288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186,597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201,860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202,362</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Operating return on average equity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11.03%</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Revenue: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interest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16,866</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16,774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15,642</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14,379</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14,076</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Non-interest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2,644</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Less: Net gains (losses) on sale of securities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(1,989)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(558)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0" w:type="dxa"/>
            <w:vAlign w:val="bottom"/>
            <w:shd w:val="clear" w:color="auto" w:fill="CCEEFF"/>
          </w:tcPr>
          <w:p>
            <w:pPr>
              <w:spacing w:after="0"/>
              <w:rPr>
                <w:sz w:val="13"/>
                <w:szCs w:val="13"/>
                <w:color w:val="auto"/>
              </w:rPr>
            </w:pPr>
          </w:p>
        </w:tc>
      </w:tr>
      <w:tr>
        <w:trPr>
          <w:trHeight w:val="211"/>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Operating revenue</w:t>
            </w:r>
          </w:p>
        </w:tc>
        <w:tc>
          <w:tcPr>
            <w:tcW w:w="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18,732</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19,121</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17,262</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16,303</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16,685</w:t>
            </w:r>
          </w:p>
        </w:tc>
        <w:tc>
          <w:tcPr>
            <w:tcW w:w="20" w:type="dxa"/>
            <w:vAlign w:val="bottom"/>
            <w:tcBorders>
              <w:bottom w:val="single" w:sz="8" w:color="auto"/>
            </w:tcBorders>
          </w:tcPr>
          <w:p>
            <w:pPr>
              <w:spacing w:after="0"/>
              <w:rPr>
                <w:sz w:val="18"/>
                <w:szCs w:val="18"/>
                <w:color w:val="auto"/>
              </w:rPr>
            </w:pPr>
          </w:p>
        </w:tc>
      </w:tr>
      <w:tr>
        <w:trPr>
          <w:trHeight w:val="123"/>
        </w:trPr>
        <w:tc>
          <w:tcPr>
            <w:tcW w:w="32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60"/>
        </w:trPr>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Operating Efficiency Ratio:</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10,132</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9,551</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9,612</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9,319</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Operating revenue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18,732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19,121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17,262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16,303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16,685</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Operating efficiency ratio</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55.85%</w:t>
            </w:r>
          </w:p>
        </w:tc>
        <w:tc>
          <w:tcPr>
            <w:tcW w:w="20" w:type="dxa"/>
            <w:vAlign w:val="bottom"/>
            <w:shd w:val="clear" w:color="auto" w:fill="CCEEFF"/>
          </w:tcPr>
          <w:p>
            <w:pPr>
              <w:spacing w:after="0"/>
              <w:rPr>
                <w:sz w:val="13"/>
                <w:szCs w:val="13"/>
                <w:color w:val="auto"/>
              </w:rPr>
            </w:pPr>
          </w:p>
        </w:tc>
      </w:tr>
    </w:tbl>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(1)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76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1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9"/>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100" w:type="dxa"/>
            <w:vAlign w:val="bottom"/>
            <w:tcBorders>
              <w:bottom w:val="single" w:sz="8" w:color="CCEEFF"/>
            </w:tcBorders>
          </w:tcPr>
          <w:p>
            <w:pPr>
              <w:spacing w:after="0"/>
              <w:rPr>
                <w:sz w:val="11"/>
                <w:szCs w:val="11"/>
                <w:color w:val="auto"/>
              </w:rPr>
            </w:pPr>
          </w:p>
        </w:tc>
        <w:tc>
          <w:tcPr>
            <w:tcW w:w="32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12/31/2022</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9/30/2022</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6/30/2022</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3/31/2022</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12/31/2021</w:t>
            </w:r>
          </w:p>
        </w:tc>
        <w:tc>
          <w:tcPr>
            <w:tcW w:w="20" w:type="dxa"/>
            <w:vAlign w:val="bottom"/>
          </w:tcPr>
          <w:p>
            <w:pPr>
              <w:spacing w:after="0"/>
              <w:rPr>
                <w:sz w:val="11"/>
                <w:szCs w:val="11"/>
                <w:color w:val="auto"/>
              </w:rPr>
            </w:pPr>
          </w:p>
        </w:tc>
      </w:tr>
      <w:tr>
        <w:trPr>
          <w:trHeight w:val="149"/>
        </w:trPr>
        <w:tc>
          <w:tcPr>
            <w:tcW w:w="3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Tangible book value per common share (at period-end):</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100" w:type="dxa"/>
            <w:vAlign w:val="bottom"/>
          </w:tcPr>
          <w:p>
            <w:pPr>
              <w:spacing w:after="0"/>
              <w:rPr>
                <w:sz w:val="13"/>
                <w:szCs w:val="13"/>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182,428</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177,417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180,068</w:t>
            </w:r>
          </w:p>
        </w:tc>
        <w:tc>
          <w:tcPr>
            <w:tcW w:w="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192,039</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203,897</w:t>
            </w:r>
          </w:p>
        </w:tc>
        <w:tc>
          <w:tcPr>
            <w:tcW w:w="20" w:type="dxa"/>
            <w:vAlign w:val="bottom"/>
          </w:tcPr>
          <w:p>
            <w:pPr>
              <w:spacing w:after="0"/>
              <w:rPr>
                <w:sz w:val="13"/>
                <w:szCs w:val="13"/>
                <w:color w:val="auto"/>
              </w:rPr>
            </w:pPr>
          </w:p>
        </w:tc>
      </w:tr>
      <w:tr>
        <w:trPr>
          <w:trHeight w:val="149"/>
        </w:trPr>
        <w:tc>
          <w:tcPr>
            <w:tcW w:w="100" w:type="dxa"/>
            <w:vAlign w:val="bottom"/>
            <w:tcBorders>
              <w:bottom w:val="single" w:sz="8" w:color="CCEEFF"/>
            </w:tcBorders>
            <w:shd w:val="clear" w:color="auto" w:fill="CCEEFF"/>
          </w:tcPr>
          <w:p>
            <w:pPr>
              <w:spacing w:after="0"/>
              <w:rPr>
                <w:sz w:val="12"/>
                <w:szCs w:val="12"/>
                <w:color w:val="auto"/>
              </w:rPr>
            </w:pPr>
          </w:p>
        </w:tc>
        <w:tc>
          <w:tcPr>
            <w:tcW w:w="3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Less: Intangible assets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51"/>
        </w:trPr>
        <w:tc>
          <w:tcPr>
            <w:tcW w:w="100" w:type="dxa"/>
            <w:vAlign w:val="bottom"/>
          </w:tcPr>
          <w:p>
            <w:pPr>
              <w:spacing w:after="0"/>
              <w:rPr>
                <w:sz w:val="13"/>
                <w:szCs w:val="13"/>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Tangible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182,428</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177,417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180,068</w:t>
            </w:r>
          </w:p>
        </w:tc>
        <w:tc>
          <w:tcPr>
            <w:tcW w:w="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192,039</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203,897</w:t>
            </w: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shares issued and outstanding (at period-end):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9"/>
        </w:trPr>
        <w:tc>
          <w:tcPr>
            <w:tcW w:w="100" w:type="dxa"/>
            <w:vAlign w:val="bottom"/>
          </w:tcPr>
          <w:p>
            <w:pPr>
              <w:spacing w:after="0"/>
              <w:rPr>
                <w:sz w:val="14"/>
                <w:szCs w:val="14"/>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shares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19,991,753</w:t>
            </w:r>
          </w:p>
        </w:tc>
        <w:tc>
          <w:tcPr>
            <w:tcW w:w="20" w:type="dxa"/>
            <w:vAlign w:val="bottom"/>
          </w:tcPr>
          <w:p>
            <w:pPr>
              <w:spacing w:after="0"/>
              <w:rPr>
                <w:sz w:val="14"/>
                <w:szCs w:val="14"/>
                <w:color w:val="auto"/>
              </w:rPr>
            </w:pPr>
          </w:p>
        </w:tc>
      </w:tr>
      <w:tr>
        <w:trPr>
          <w:trHeight w:val="131"/>
        </w:trPr>
        <w:tc>
          <w:tcPr>
            <w:tcW w:w="100" w:type="dxa"/>
            <w:vAlign w:val="bottom"/>
            <w:tcBorders>
              <w:top w:val="single" w:sz="8" w:color="CCEEFF"/>
            </w:tcBorders>
            <w:shd w:val="clear" w:color="auto" w:fill="CCEEFF"/>
          </w:tcPr>
          <w:p>
            <w:pPr>
              <w:spacing w:after="0"/>
              <w:rPr>
                <w:sz w:val="11"/>
                <w:szCs w:val="11"/>
                <w:color w:val="auto"/>
              </w:rPr>
            </w:pPr>
          </w:p>
        </w:tc>
        <w:tc>
          <w:tcPr>
            <w:tcW w:w="32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common shares issued and outstanding</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20,000,753</w:t>
            </w:r>
          </w:p>
        </w:tc>
        <w:tc>
          <w:tcPr>
            <w:tcW w:w="20" w:type="dxa"/>
            <w:vAlign w:val="bottom"/>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19,991,753</w:t>
            </w:r>
          </w:p>
        </w:tc>
        <w:tc>
          <w:tcPr>
            <w:tcW w:w="20" w:type="dxa"/>
            <w:vAlign w:val="bottom"/>
            <w:shd w:val="clear" w:color="auto" w:fill="CCEEFF"/>
          </w:tcPr>
          <w:p>
            <w:pPr>
              <w:spacing w:after="0"/>
              <w:rPr>
                <w:sz w:val="11"/>
                <w:szCs w:val="11"/>
                <w:color w:val="auto"/>
              </w:rPr>
            </w:pPr>
          </w:p>
        </w:tc>
      </w:tr>
      <w:tr>
        <w:trPr>
          <w:trHeight w:val="191"/>
        </w:trPr>
        <w:tc>
          <w:tcPr>
            <w:tcW w:w="100" w:type="dxa"/>
            <w:vAlign w:val="bottom"/>
          </w:tcPr>
          <w:p>
            <w:pPr>
              <w:spacing w:after="0"/>
              <w:rPr>
                <w:sz w:val="16"/>
                <w:szCs w:val="16"/>
                <w:color w:val="auto"/>
              </w:rPr>
            </w:pPr>
          </w:p>
        </w:tc>
        <w:tc>
          <w:tcPr>
            <w:tcW w:w="3220" w:type="dxa"/>
            <w:vAlign w:val="bottom"/>
          </w:tcPr>
          <w:p>
            <w:pPr>
              <w:ind w:left="100"/>
              <w:spacing w:after="0" w:line="151" w:lineRule="exact"/>
              <w:rPr>
                <w:sz w:val="20"/>
                <w:szCs w:val="20"/>
                <w:color w:val="auto"/>
              </w:rPr>
            </w:pPr>
            <w:r>
              <w:rPr>
                <w:rFonts w:ascii="Times New Roman" w:cs="Times New Roman" w:eastAsia="Times New Roman" w:hAnsi="Times New Roman"/>
                <w:sz w:val="11"/>
                <w:szCs w:val="11"/>
                <w:color w:val="auto"/>
              </w:rPr>
              <w:t>Tangible book value per common share</w:t>
            </w:r>
            <w:r>
              <w:rPr>
                <w:rFonts w:ascii="Times New Roman" w:cs="Times New Roman" w:eastAsia="Times New Roman" w:hAnsi="Times New Roman"/>
                <w:sz w:val="14"/>
                <w:szCs w:val="14"/>
                <w:color w:val="auto"/>
                <w:vertAlign w:val="superscript"/>
              </w:rPr>
              <w:t>(2)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1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10.20</w:t>
            </w:r>
          </w:p>
        </w:tc>
        <w:tc>
          <w:tcPr>
            <w:tcW w:w="20" w:type="dxa"/>
            <w:vAlign w:val="bottom"/>
          </w:tcPr>
          <w:p>
            <w:pPr>
              <w:spacing w:after="0"/>
              <w:rPr>
                <w:sz w:val="16"/>
                <w:szCs w:val="16"/>
                <w:color w:val="auto"/>
              </w:rPr>
            </w:pPr>
          </w:p>
        </w:tc>
      </w:tr>
      <w:tr>
        <w:trPr>
          <w:trHeight w:val="89"/>
        </w:trPr>
        <w:tc>
          <w:tcPr>
            <w:tcW w:w="100" w:type="dxa"/>
            <w:vAlign w:val="bottom"/>
            <w:tcBorders>
              <w:top w:val="single" w:sz="8" w:color="CCEEFF"/>
            </w:tcBorders>
            <w:shd w:val="clear" w:color="auto" w:fill="CCEEFF"/>
          </w:tcPr>
          <w:p>
            <w:pPr>
              <w:spacing w:after="0"/>
              <w:rPr>
                <w:sz w:val="7"/>
                <w:szCs w:val="7"/>
                <w:color w:val="auto"/>
              </w:rPr>
            </w:pPr>
          </w:p>
        </w:tc>
        <w:tc>
          <w:tcPr>
            <w:tcW w:w="32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r>
      <w:tr>
        <w:trPr>
          <w:trHeight w:val="160"/>
        </w:trPr>
        <w:tc>
          <w:tcPr>
            <w:tcW w:w="33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diluted net income per common share:</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Operational Net Income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5,919</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5,297</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4,838</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5,624</w:t>
            </w:r>
          </w:p>
        </w:tc>
        <w:tc>
          <w:tcPr>
            <w:tcW w:w="20" w:type="dxa"/>
            <w:vAlign w:val="bottom"/>
            <w:shd w:val="clear" w:color="auto" w:fill="CCEEFF"/>
          </w:tcPr>
          <w:p>
            <w:pPr>
              <w:spacing w:after="0"/>
              <w:rPr>
                <w:sz w:val="13"/>
                <w:szCs w:val="13"/>
                <w:color w:val="auto"/>
              </w:rPr>
            </w:pPr>
          </w:p>
        </w:tc>
      </w:tr>
      <w:tr>
        <w:trPr>
          <w:trHeight w:val="160"/>
        </w:trPr>
        <w:tc>
          <w:tcPr>
            <w:tcW w:w="100" w:type="dxa"/>
            <w:vAlign w:val="bottom"/>
            <w:tcBorders>
              <w:bottom w:val="single" w:sz="8" w:color="CCEEFF"/>
            </w:tcBorders>
          </w:tcPr>
          <w:p>
            <w:pPr>
              <w:spacing w:after="0"/>
              <w:rPr>
                <w:sz w:val="13"/>
                <w:szCs w:val="13"/>
                <w:color w:val="auto"/>
              </w:rPr>
            </w:pPr>
          </w:p>
        </w:tc>
        <w:tc>
          <w:tcPr>
            <w:tcW w:w="3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Total weighted average diluted common stock</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20,172,438</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20,148,208</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20,171,261</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20,109,783</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19,023,686</w:t>
            </w:r>
          </w:p>
        </w:tc>
        <w:tc>
          <w:tcPr>
            <w:tcW w:w="20" w:type="dxa"/>
            <w:vAlign w:val="bottom"/>
          </w:tcPr>
          <w:p>
            <w:pPr>
              <w:spacing w:after="0"/>
              <w:rPr>
                <w:sz w:val="13"/>
                <w:szCs w:val="13"/>
                <w:color w:val="auto"/>
              </w:rPr>
            </w:pPr>
          </w:p>
        </w:tc>
      </w:tr>
      <w:tr>
        <w:trPr>
          <w:trHeight w:val="183"/>
        </w:trPr>
        <w:tc>
          <w:tcPr>
            <w:tcW w:w="100" w:type="dxa"/>
            <w:vAlign w:val="bottom"/>
            <w:shd w:val="clear" w:color="auto" w:fill="CCEEFF"/>
          </w:tcPr>
          <w:p>
            <w:pPr>
              <w:spacing w:after="0"/>
              <w:rPr>
                <w:sz w:val="15"/>
                <w:szCs w:val="15"/>
                <w:color w:val="auto"/>
              </w:rPr>
            </w:pPr>
          </w:p>
        </w:tc>
        <w:tc>
          <w:tcPr>
            <w:tcW w:w="3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Operating diluted net income per common share:</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0.29</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0.26</w:t>
            </w: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gridSpan w:val="2"/>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20" w:type="dxa"/>
            <w:vAlign w:val="bottom"/>
            <w:tcBorders>
              <w:bottom w:val="single" w:sz="8" w:color="auto"/>
            </w:tcBorders>
            <w:shd w:val="clear" w:color="auto" w:fill="CCEEFF"/>
          </w:tcPr>
          <w:p>
            <w:pPr>
              <w:spacing w:after="0"/>
              <w:rPr>
                <w:sz w:val="15"/>
                <w:szCs w:val="15"/>
                <w:color w:val="auto"/>
              </w:rPr>
            </w:pPr>
          </w:p>
        </w:tc>
      </w:tr>
      <w:tr>
        <w:trPr>
          <w:trHeight w:val="20"/>
        </w:trPr>
        <w:tc>
          <w:tcPr>
            <w:tcW w:w="3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4"/>
        </w:trPr>
        <w:tc>
          <w:tcPr>
            <w:tcW w:w="33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Tangible Common Equity/Tangible Assets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100" w:type="dxa"/>
            <w:vAlign w:val="bottom"/>
          </w:tcPr>
          <w:p>
            <w:pPr>
              <w:spacing w:after="0"/>
              <w:rPr>
                <w:sz w:val="15"/>
                <w:szCs w:val="15"/>
                <w:color w:val="auto"/>
              </w:rPr>
            </w:pPr>
          </w:p>
        </w:tc>
        <w:tc>
          <w:tcPr>
            <w:tcW w:w="32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Tangible stockholders' equity</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182,428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177,417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180,068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192,039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203,897</w:t>
            </w:r>
          </w:p>
        </w:tc>
        <w:tc>
          <w:tcPr>
            <w:tcW w:w="20" w:type="dxa"/>
            <w:vAlign w:val="bottom"/>
          </w:tcPr>
          <w:p>
            <w:pPr>
              <w:spacing w:after="0"/>
              <w:rPr>
                <w:sz w:val="15"/>
                <w:szCs w:val="15"/>
                <w:color w:val="auto"/>
              </w:rPr>
            </w:pPr>
          </w:p>
        </w:tc>
      </w:tr>
      <w:tr>
        <w:trPr>
          <w:trHeight w:val="181"/>
        </w:trPr>
        <w:tc>
          <w:tcPr>
            <w:tcW w:w="100" w:type="dxa"/>
            <w:vAlign w:val="bottom"/>
            <w:shd w:val="clear" w:color="auto" w:fill="CCEEFF"/>
          </w:tcPr>
          <w:p>
            <w:pPr>
              <w:spacing w:after="0"/>
              <w:rPr>
                <w:sz w:val="15"/>
                <w:szCs w:val="15"/>
                <w:color w:val="auto"/>
              </w:rPr>
            </w:pPr>
          </w:p>
        </w:tc>
        <w:tc>
          <w:tcPr>
            <w:tcW w:w="3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Tangible Assets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2,085,834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2,037,453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2,016,086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1,967,252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1,853,939</w:t>
            </w:r>
          </w:p>
        </w:tc>
        <w:tc>
          <w:tcPr>
            <w:tcW w:w="20" w:type="dxa"/>
            <w:vAlign w:val="bottom"/>
            <w:shd w:val="clear" w:color="auto" w:fill="CCEEFF"/>
          </w:tcPr>
          <w:p>
            <w:pPr>
              <w:spacing w:after="0"/>
              <w:rPr>
                <w:sz w:val="15"/>
                <w:szCs w:val="15"/>
                <w:color w:val="auto"/>
              </w:rPr>
            </w:pPr>
          </w:p>
        </w:tc>
      </w:tr>
      <w:tr>
        <w:trPr>
          <w:trHeight w:val="181"/>
        </w:trPr>
        <w:tc>
          <w:tcPr>
            <w:tcW w:w="33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Tangible Common Equity/Tangible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11.00%</w:t>
            </w:r>
          </w:p>
        </w:tc>
        <w:tc>
          <w:tcPr>
            <w:tcW w:w="20" w:type="dxa"/>
            <w:vAlign w:val="bottom"/>
          </w:tcPr>
          <w:p>
            <w:pPr>
              <w:spacing w:after="0"/>
              <w:rPr>
                <w:sz w:val="15"/>
                <w:szCs w:val="15"/>
                <w:color w:val="auto"/>
              </w:rPr>
            </w:pPr>
          </w:p>
        </w:tc>
      </w:tr>
      <w:tr>
        <w:trPr>
          <w:trHeight w:val="171"/>
        </w:trPr>
        <w:tc>
          <w:tcPr>
            <w:tcW w:w="100" w:type="dxa"/>
            <w:vAlign w:val="bottom"/>
            <w:tcBorders>
              <w:bottom w:val="single" w:sz="8" w:color="auto"/>
            </w:tcBorders>
            <w:shd w:val="clear" w:color="auto" w:fill="CCEEFF"/>
          </w:tcPr>
          <w:p>
            <w:pPr>
              <w:spacing w:after="0"/>
              <w:rPr>
                <w:sz w:val="14"/>
                <w:szCs w:val="14"/>
                <w:color w:val="auto"/>
              </w:rPr>
            </w:pPr>
          </w:p>
        </w:tc>
        <w:tc>
          <w:tcPr>
            <w:tcW w:w="32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bl>
    <w:p>
      <w:pPr>
        <w:spacing w:after="0" w:line="3" w:lineRule="exact"/>
        <w:rPr>
          <w:sz w:val="20"/>
          <w:szCs w:val="20"/>
          <w:color w:val="auto"/>
        </w:rPr>
      </w:pPr>
    </w:p>
    <w:p>
      <w:pPr>
        <w:ind w:left="860" w:hanging="197"/>
        <w:spacing w:after="0"/>
        <w:tabs>
          <w:tab w:leader="none" w:pos="8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believes these non-GAAP measurements are key indicators of the ongoing earnings power of the Company.</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the dilutive effect, if any, of shares of common stock issuable upon exercise of outstanding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760"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636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2023-01-26T15:06:42Z</dcterms:created>
  <dcterms:modified xsi:type="dcterms:W3CDTF">2023-01-26T15:06:42Z</dcterms:modified>
</cp:coreProperties>
</file>