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6, 2024</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7.01. Regulation FD Disclosure.</w:t>
      </w:r>
    </w:p>
    <w:p>
      <w:pPr>
        <w:spacing w:after="0" w:line="172" w:lineRule="exact"/>
        <w:rPr>
          <w:sz w:val="20"/>
          <w:szCs w:val="20"/>
          <w:color w:val="auto"/>
        </w:rPr>
      </w:pPr>
    </w:p>
    <w:p>
      <w:pPr>
        <w:jc w:val="both"/>
        <w:ind w:left="660" w:right="659" w:firstLine="512"/>
        <w:spacing w:after="0" w:line="249" w:lineRule="auto"/>
        <w:rPr>
          <w:sz w:val="20"/>
          <w:szCs w:val="20"/>
          <w:color w:val="auto"/>
        </w:rPr>
      </w:pPr>
      <w:r>
        <w:rPr>
          <w:rFonts w:ascii="Times New Roman" w:cs="Times New Roman" w:eastAsia="Times New Roman" w:hAnsi="Times New Roman"/>
          <w:sz w:val="14"/>
          <w:szCs w:val="14"/>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is being furnished and shall not be deemed “filed” for the purposes of Section 18 of the Securities Exchange Act of 1934, as amended “Exchange Act”, or otherwise subject to the liability of such section, and shall not be deemed incorporated by reference in any filing under the Securities Act of 1933, as amended, or the Exchange Act, regardless of any general incorporation language in such filing, except as shall be expressly set forth by specific reference in such a filing.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7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0563C1"/>
              </w:rPr>
              <w:t>99.</w:t>
            </w:r>
            <w:r>
              <w:rPr>
                <w:rFonts w:ascii="Times New Roman" w:cs="Times New Roman" w:eastAsia="Times New Roman" w:hAnsi="Times New Roman"/>
                <w:sz w:val="14"/>
                <w:szCs w:val="14"/>
                <w:u w:val="single" w:color="auto"/>
                <w:color w:val="0563C1"/>
              </w:rPr>
              <w:t>1</w:t>
            </w:r>
          </w:p>
        </w:tc>
        <w:tc>
          <w:tcPr>
            <w:tcW w:w="64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0563C1"/>
              </w:rPr>
              <w:t>USCB Financial Holdings, Inc. Investor Presentation Q3 2024</w:t>
            </w:r>
          </w:p>
        </w:tc>
      </w:tr>
      <w:tr>
        <w:trPr>
          <w:trHeight w:val="175"/>
        </w:trPr>
        <w:tc>
          <w:tcPr>
            <w:tcW w:w="20" w:type="dxa"/>
            <w:vAlign w:val="bottom"/>
          </w:tcPr>
          <w:p>
            <w:pPr>
              <w:spacing w:after="0"/>
              <w:rPr>
                <w:sz w:val="15"/>
                <w:szCs w:val="15"/>
                <w:color w:val="auto"/>
              </w:rPr>
            </w:pPr>
          </w:p>
        </w:tc>
        <w:tc>
          <w:tcPr>
            <w:tcW w:w="2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88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99.1</w:t>
      </w:r>
    </w:p>
    <w:p>
      <w:pPr>
        <w:sectPr>
          <w:pgSz w:w="11900" w:h="16838" w:orient="portrait"/>
          <w:cols w:equalWidth="0" w:num="1">
            <w:col w:w="9580"/>
          </w:cols>
          <w:pgMar w:left="1440" w:top="433" w:right="87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2024-11-06T11:17:11Z</dcterms:created>
  <dcterms:modified xsi:type="dcterms:W3CDTF">2024-11-06T11:17:11Z</dcterms:modified>
</cp:coreProperties>
</file>