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6001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01385"/>
                    </a:xfrm>
                    <a:prstGeom prst="rect">
                      <a:avLst/>
                    </a:prstGeom>
                    <a:noFill/>
                  </pic:spPr>
                </pic:pic>
              </a:graphicData>
            </a:graphic>
          </wp:anchor>
        </w:drawing>
      </w:r>
    </w:p>
    <w:p>
      <w:pPr>
        <w:spacing w:after="0" w:line="1227" w:lineRule="exact"/>
        <w:rPr>
          <w:sz w:val="24"/>
          <w:szCs w:val="24"/>
          <w:color w:val="auto"/>
        </w:rPr>
      </w:pPr>
    </w:p>
    <w:p>
      <w:pPr>
        <w:sectPr>
          <w:pgSz w:w="11900" w:h="16838" w:orient="portrait"/>
          <w:cols w:equalWidth="0" w:num="2">
            <w:col w:w="2320" w:space="280"/>
            <w:col w:w="8480"/>
          </w:cols>
          <w:pgMar w:left="460" w:top="217" w:right="359" w:bottom="381"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 LA AGUILERA LUIS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48"/>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2"/>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300" w:type="dxa"/>
            <w:vAlign w:val="bottom"/>
            <w:tcBorders>
              <w:bottom w:val="single" w:sz="8" w:color="0000EE"/>
            </w:tcBorders>
          </w:tcPr>
          <w:p>
            <w:pPr>
              <w:spacing w:after="0"/>
              <w:rPr>
                <w:sz w:val="3"/>
                <w:szCs w:val="3"/>
                <w:color w:val="auto"/>
              </w:rPr>
            </w:pPr>
          </w:p>
        </w:tc>
        <w:tc>
          <w:tcPr>
            <w:tcW w:w="46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3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40" w:type="dxa"/>
            <w:vAlign w:val="bottom"/>
          </w:tcPr>
          <w:p>
            <w:pPr>
              <w:ind w:left="580"/>
              <w:spacing w:after="0" w:line="14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020"/>
              <w:spacing w:after="0" w:line="193" w:lineRule="exact"/>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7"/>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05/13/2026</w:t>
            </w: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00"/>
            <w:col w:w="7240"/>
          </w:cols>
          <w:pgMar w:left="460" w:top="217" w:right="359" w:bottom="3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0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jc w:val="center"/>
              <w:ind w:left="57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4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05/13/2026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19,947</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12.05</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268,171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4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05/13/2026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w w:val="82"/>
              </w:rPr>
              <w:t>S</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19,947</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18.06</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242,945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4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05/14/2026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22,883</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12.05</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265,828</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4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05/14/2026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w w:val="82"/>
              </w:rPr>
              <w:t>S</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22,883</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18.2</w:t>
            </w:r>
            <w:r>
              <w:rPr>
                <w:rFonts w:ascii="Times New Roman" w:cs="Times New Roman" w:eastAsia="Times New Roman" w:hAnsi="Times New Roman"/>
                <w:sz w:val="21"/>
                <w:szCs w:val="21"/>
                <w:color w:val="008000"/>
                <w:w w:val="89"/>
                <w:vertAlign w:val="superscript"/>
              </w:rPr>
              <w:t>(3)</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242,945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14"/>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05/13/2026</w:t>
            </w:r>
          </w:p>
        </w:tc>
        <w:tc>
          <w:tcPr>
            <w:tcW w:w="1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19,947</w:t>
            </w: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09/27/2031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19,947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134,774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ind w:left="14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05/14/2026</w:t>
            </w:r>
          </w:p>
        </w:tc>
        <w:tc>
          <w:tcPr>
            <w:tcW w:w="1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22,883</w:t>
            </w: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09/27/2031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22,883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111,891</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grant of 27,632 shares of restricted stock which vest at a rate of one-third per year commencing on January 27, 2027, 17,102 shares of restricted stock from a grant of 25,653 shares which commenced vesting at a rate of one-third per year on January 21, 2026, 4,045 shares of restricted stock from a grant of 12,136 shares which commenced vesting at a rate of one-third per year on January 22, 2025, and 41,666 shares of restricted stock from a grant of 125,000 shares which commenced vesting at a rate of one-third per year on December 31, 2024.</w:t>
      </w:r>
    </w:p>
    <w:p>
      <w:pPr>
        <w:spacing w:after="0" w:line="27" w:lineRule="exact"/>
        <w:rPr>
          <w:rFonts w:ascii="Times New Roman" w:cs="Times New Roman" w:eastAsia="Times New Roman" w:hAnsi="Times New Roman"/>
          <w:sz w:val="13"/>
          <w:szCs w:val="13"/>
          <w:color w:val="008000"/>
        </w:rPr>
      </w:pPr>
    </w:p>
    <w:p>
      <w:pPr>
        <w:ind w:left="40" w:right="2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price. These shares were sold in multiple transactions at prices ranging from $18.00 to $18.33,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40" w:right="2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price. These shares were sold in multiple transactions at prices ranging from $18.10 to $18.34,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27, 2022.</w:t>
      </w:r>
    </w:p>
    <w:p>
      <w:pPr>
        <w:spacing w:after="0" w:line="4"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5"/>
          <w:szCs w:val="25"/>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290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Luis de la Aguilera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963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393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660"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2026-05-15T09:54:41Z</dcterms:created>
  <dcterms:modified xsi:type="dcterms:W3CDTF">2026-05-15T09:54:41Z</dcterms:modified>
</cp:coreProperties>
</file>