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-234950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-615950</wp:posOffset>
            </wp:positionV>
            <wp:extent cx="57785" cy="629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20955</wp:posOffset>
            </wp:positionV>
            <wp:extent cx="7047865" cy="5949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94931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DE LA AGUILERA LUIS</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USCB FINANCIAL HOLDINGS,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2301 N.W. 87TH AVENUE</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8"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MIAMI</w:t>
      </w:r>
      <w:r>
        <w:rPr>
          <w:sz w:val="20"/>
          <w:szCs w:val="20"/>
          <w:color w:val="auto"/>
        </w:rPr>
        <w:tab/>
      </w:r>
      <w:r>
        <w:rPr>
          <w:rFonts w:ascii="Times New Roman" w:cs="Times New Roman" w:eastAsia="Times New Roman" w:hAnsi="Times New Roman"/>
          <w:sz w:val="16"/>
          <w:szCs w:val="16"/>
          <w:color w:val="0000FF"/>
        </w:rPr>
        <w:t>FL</w:t>
      </w:r>
      <w:r>
        <w:rPr>
          <w:sz w:val="20"/>
          <w:szCs w:val="20"/>
          <w:color w:val="auto"/>
        </w:rPr>
        <w:tab/>
      </w:r>
      <w:r>
        <w:rPr>
          <w:rFonts w:ascii="Times New Roman" w:cs="Times New Roman" w:eastAsia="Times New Roman" w:hAnsi="Times New Roman"/>
          <w:sz w:val="16"/>
          <w:szCs w:val="16"/>
          <w:color w:val="0000FF"/>
        </w:rPr>
        <w:t>33172</w:t>
      </w:r>
    </w:p>
    <w:p>
      <w:pPr>
        <w:spacing w:after="0" w:line="32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2"/>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3780" w:type="dxa"/>
            <w:vAlign w:val="bottom"/>
            <w:gridSpan w:val="2"/>
          </w:tcPr>
          <w:p>
            <w:pPr>
              <w:spacing w:after="0"/>
              <w:rPr>
                <w:sz w:val="3"/>
                <w:szCs w:val="3"/>
                <w:color w:val="auto"/>
              </w:rPr>
            </w:pPr>
          </w:p>
        </w:tc>
        <w:tc>
          <w:tcPr>
            <w:tcW w:w="480" w:type="dxa"/>
            <w:vAlign w:val="bottom"/>
            <w:vMerge w:val="restart"/>
          </w:tcPr>
          <w:p>
            <w:pPr>
              <w:ind w:left="240"/>
              <w:spacing w:after="0" w:line="49" w:lineRule="exact"/>
              <w:rPr>
                <w:sz w:val="20"/>
                <w:szCs w:val="20"/>
                <w:color w:val="auto"/>
              </w:rPr>
            </w:pPr>
            <w:r>
              <w:rPr>
                <w:rFonts w:ascii="Times New Roman" w:cs="Times New Roman" w:eastAsia="Times New Roman" w:hAnsi="Times New Roman"/>
                <w:sz w:val="5"/>
                <w:szCs w:val="5"/>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260" w:type="dxa"/>
            <w:vAlign w:val="bottom"/>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USCB </w:t>
              </w:r>
              <w:r>
                <w:rPr>
                  <w:rFonts w:ascii="Times New Roman" w:cs="Times New Roman" w:eastAsia="Times New Roman" w:hAnsi="Times New Roman"/>
                  <w:sz w:val="1"/>
                  <w:szCs w:val="1"/>
                  <w:color w:val="000000"/>
                </w:rPr>
                <w:t>]</w:t>
              </w:r>
            </w:hyperlink>
          </w:p>
        </w:tc>
        <w:tc>
          <w:tcPr>
            <w:tcW w:w="5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32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80" w:type="dxa"/>
            <w:vAlign w:val="bottom"/>
            <w:vMerge w:val="continue"/>
          </w:tcPr>
          <w:p>
            <w:pPr>
              <w:spacing w:after="0"/>
              <w:rPr>
                <w:sz w:val="10"/>
                <w:szCs w:val="10"/>
                <w:color w:val="auto"/>
              </w:rPr>
            </w:pPr>
          </w:p>
        </w:tc>
        <w:tc>
          <w:tcPr>
            <w:tcW w:w="1340" w:type="dxa"/>
            <w:vAlign w:val="bottom"/>
          </w:tcPr>
          <w:p>
            <w:pPr>
              <w:ind w:left="100"/>
              <w:spacing w:after="0" w:line="107"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8"/>
                <w:szCs w:val="18"/>
                <w:color w:val="auto"/>
              </w:rPr>
            </w:pPr>
          </w:p>
        </w:tc>
        <w:tc>
          <w:tcPr>
            <w:tcW w:w="28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0000FF"/>
              </w:rPr>
              <w:t>President and CEO</w:t>
            </w:r>
          </w:p>
        </w:tc>
        <w:tc>
          <w:tcPr>
            <w:tcW w:w="0" w:type="dxa"/>
            <w:vAlign w:val="bottom"/>
          </w:tcPr>
          <w:p>
            <w:pPr>
              <w:spacing w:after="0"/>
              <w:rPr>
                <w:sz w:val="1"/>
                <w:szCs w:val="1"/>
                <w:color w:val="auto"/>
              </w:rPr>
            </w:pPr>
          </w:p>
        </w:tc>
      </w:tr>
      <w:tr>
        <w:trPr>
          <w:trHeight w:val="215"/>
        </w:trPr>
        <w:tc>
          <w:tcPr>
            <w:tcW w:w="3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11/23/2022</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60" w:type="dxa"/>
            <w:vAlign w:val="bottom"/>
            <w:tcBorders>
              <w:bottom w:val="single" w:sz="8" w:color="2C2C2C"/>
            </w:tcBorders>
          </w:tcPr>
          <w:p>
            <w:pPr>
              <w:spacing w:after="0"/>
              <w:rPr>
                <w:sz w:val="12"/>
                <w:szCs w:val="12"/>
                <w:color w:val="auto"/>
              </w:rPr>
            </w:pPr>
          </w:p>
        </w:tc>
        <w:tc>
          <w:tcPr>
            <w:tcW w:w="32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8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8"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5" w:lineRule="exact"/>
        <w:rPr>
          <w:sz w:val="20"/>
          <w:szCs w:val="20"/>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3"/>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82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1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jc w:val="right"/>
              <w:ind w:right="15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40" w:type="dxa"/>
            <w:vAlign w:val="bottom"/>
            <w:vMerge w:val="restart"/>
          </w:tcPr>
          <w:p>
            <w:pPr>
              <w:jc w:val="right"/>
              <w:ind w:right="161"/>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Voting Common Stock</w:t>
            </w:r>
          </w:p>
        </w:tc>
        <w:tc>
          <w:tcPr>
            <w:tcW w:w="182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0000FF"/>
              </w:rPr>
              <w:t>11/23/2022</w:t>
            </w: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7,034</w:t>
            </w:r>
          </w:p>
        </w:tc>
        <w:tc>
          <w:tcPr>
            <w:tcW w:w="6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13.5</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57,034</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Voting Common Stock</w:t>
            </w:r>
          </w:p>
        </w:tc>
        <w:tc>
          <w:tcPr>
            <w:tcW w:w="182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0000FF"/>
              </w:rPr>
              <w:t>11/23/2022</w:t>
            </w: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6"/>
                <w:szCs w:val="16"/>
                <w:color w:val="0000FF"/>
              </w:rPr>
              <w:t>366</w:t>
            </w:r>
          </w:p>
        </w:tc>
        <w:tc>
          <w:tcPr>
            <w:tcW w:w="64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13.44</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57,400</w:t>
            </w:r>
          </w:p>
        </w:tc>
        <w:tc>
          <w:tcPr>
            <w:tcW w:w="30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jc w:val="right"/>
              <w:ind w:right="13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800" w:type="dxa"/>
            <w:vAlign w:val="bottom"/>
          </w:tcPr>
          <w:p>
            <w:pPr>
              <w:spacing w:after="0"/>
              <w:rPr>
                <w:sz w:val="11"/>
                <w:szCs w:val="11"/>
                <w:color w:val="auto"/>
              </w:rPr>
            </w:pPr>
          </w:p>
        </w:tc>
        <w:tc>
          <w:tcPr>
            <w:tcW w:w="12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1"/>
                <w:szCs w:val="11"/>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8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7.5</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gridSpan w:val="2"/>
          </w:tcPr>
          <w:p>
            <w:pPr>
              <w:ind w:left="40"/>
              <w:spacing w:after="0" w:line="203" w:lineRule="exact"/>
              <w:rPr>
                <w:sz w:val="20"/>
                <w:szCs w:val="20"/>
                <w:color w:val="auto"/>
              </w:rPr>
            </w:pPr>
            <w:r>
              <w:rPr>
                <w:rFonts w:ascii="Times New Roman" w:cs="Times New Roman" w:eastAsia="Times New Roman" w:hAnsi="Times New Roman"/>
                <w:sz w:val="13"/>
                <w:szCs w:val="13"/>
                <w:color w:val="0000FF"/>
              </w:rPr>
              <w:t>04/01/2017</w:t>
            </w:r>
            <w:r>
              <w:rPr>
                <w:rFonts w:ascii="Times New Roman" w:cs="Times New Roman" w:eastAsia="Times New Roman" w:hAnsi="Times New Roman"/>
                <w:sz w:val="21"/>
                <w:szCs w:val="21"/>
                <w:color w:val="008000"/>
                <w:vertAlign w:val="superscript"/>
              </w:rPr>
              <w:t>(1)</w:t>
            </w:r>
          </w:p>
        </w:tc>
        <w:tc>
          <w:tcPr>
            <w:tcW w:w="800" w:type="dxa"/>
            <w:vAlign w:val="bottom"/>
          </w:tcPr>
          <w:p>
            <w:pPr>
              <w:spacing w:after="0" w:line="203" w:lineRule="exact"/>
              <w:rPr>
                <w:sz w:val="20"/>
                <w:szCs w:val="20"/>
                <w:color w:val="auto"/>
              </w:rPr>
            </w:pPr>
            <w:r>
              <w:rPr>
                <w:rFonts w:ascii="Times New Roman" w:cs="Times New Roman" w:eastAsia="Times New Roman" w:hAnsi="Times New Roman"/>
                <w:sz w:val="13"/>
                <w:szCs w:val="13"/>
                <w:color w:val="0000FF"/>
              </w:rPr>
              <w:t>04/01/2026</w:t>
            </w:r>
            <w:r>
              <w:rPr>
                <w:rFonts w:ascii="Times New Roman" w:cs="Times New Roman" w:eastAsia="Times New Roman" w:hAnsi="Times New Roman"/>
                <w:sz w:val="21"/>
                <w:szCs w:val="21"/>
                <w:color w:val="008000"/>
                <w:vertAlign w:val="superscript"/>
              </w:rPr>
              <w:t>(2)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40,000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40,000</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jc w:val="right"/>
              <w:ind w:right="161"/>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11.35</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gridSpan w:val="2"/>
          </w:tcPr>
          <w:p>
            <w:pPr>
              <w:ind w:left="40"/>
              <w:spacing w:after="0" w:line="203" w:lineRule="exact"/>
              <w:rPr>
                <w:sz w:val="20"/>
                <w:szCs w:val="20"/>
                <w:color w:val="auto"/>
              </w:rPr>
            </w:pPr>
            <w:r>
              <w:rPr>
                <w:rFonts w:ascii="Times New Roman" w:cs="Times New Roman" w:eastAsia="Times New Roman" w:hAnsi="Times New Roman"/>
                <w:sz w:val="13"/>
                <w:szCs w:val="13"/>
                <w:color w:val="0000FF"/>
              </w:rPr>
              <w:t>04/01/2020</w:t>
            </w:r>
            <w:r>
              <w:rPr>
                <w:rFonts w:ascii="Times New Roman" w:cs="Times New Roman" w:eastAsia="Times New Roman" w:hAnsi="Times New Roman"/>
                <w:sz w:val="21"/>
                <w:szCs w:val="21"/>
                <w:color w:val="008000"/>
                <w:vertAlign w:val="superscript"/>
              </w:rPr>
              <w:t>(3)</w:t>
            </w:r>
          </w:p>
        </w:tc>
        <w:tc>
          <w:tcPr>
            <w:tcW w:w="800" w:type="dxa"/>
            <w:vAlign w:val="bottom"/>
          </w:tcPr>
          <w:p>
            <w:pPr>
              <w:spacing w:after="0" w:line="203" w:lineRule="exact"/>
              <w:rPr>
                <w:sz w:val="20"/>
                <w:szCs w:val="20"/>
                <w:color w:val="auto"/>
              </w:rPr>
            </w:pPr>
            <w:r>
              <w:rPr>
                <w:rFonts w:ascii="Times New Roman" w:cs="Times New Roman" w:eastAsia="Times New Roman" w:hAnsi="Times New Roman"/>
                <w:sz w:val="13"/>
                <w:szCs w:val="13"/>
                <w:color w:val="0000FF"/>
              </w:rPr>
              <w:t>04/16/2029</w:t>
            </w:r>
            <w:r>
              <w:rPr>
                <w:rFonts w:ascii="Times New Roman" w:cs="Times New Roman" w:eastAsia="Times New Roman" w:hAnsi="Times New Roman"/>
                <w:sz w:val="21"/>
                <w:szCs w:val="21"/>
                <w:color w:val="008000"/>
                <w:vertAlign w:val="superscript"/>
              </w:rPr>
              <w:t>(2)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40,000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4"/>
              </w:rPr>
              <w:t>40,000</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jc w:val="right"/>
              <w:ind w:right="161"/>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12.05</w:t>
            </w: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gridSpan w:val="2"/>
          </w:tcPr>
          <w:p>
            <w:pPr>
              <w:ind w:left="40"/>
              <w:spacing w:after="0" w:line="203" w:lineRule="exact"/>
              <w:rPr>
                <w:sz w:val="20"/>
                <w:szCs w:val="20"/>
                <w:color w:val="auto"/>
              </w:rPr>
            </w:pPr>
            <w:r>
              <w:rPr>
                <w:rFonts w:ascii="Times New Roman" w:cs="Times New Roman" w:eastAsia="Times New Roman" w:hAnsi="Times New Roman"/>
                <w:sz w:val="13"/>
                <w:szCs w:val="13"/>
                <w:color w:val="0000FF"/>
              </w:rPr>
              <w:t>09/27/2022</w:t>
            </w:r>
            <w:r>
              <w:rPr>
                <w:rFonts w:ascii="Times New Roman" w:cs="Times New Roman" w:eastAsia="Times New Roman" w:hAnsi="Times New Roman"/>
                <w:sz w:val="21"/>
                <w:szCs w:val="21"/>
                <w:color w:val="008000"/>
                <w:vertAlign w:val="superscript"/>
              </w:rPr>
              <w:t>(4)</w:t>
            </w:r>
          </w:p>
        </w:tc>
        <w:tc>
          <w:tcPr>
            <w:tcW w:w="800" w:type="dxa"/>
            <w:vAlign w:val="bottom"/>
          </w:tcPr>
          <w:p>
            <w:pPr>
              <w:spacing w:after="0" w:line="203" w:lineRule="exact"/>
              <w:rPr>
                <w:sz w:val="20"/>
                <w:szCs w:val="20"/>
                <w:color w:val="auto"/>
              </w:rPr>
            </w:pPr>
            <w:r>
              <w:rPr>
                <w:rFonts w:ascii="Times New Roman" w:cs="Times New Roman" w:eastAsia="Times New Roman" w:hAnsi="Times New Roman"/>
                <w:sz w:val="13"/>
                <w:szCs w:val="13"/>
                <w:color w:val="0000FF"/>
              </w:rPr>
              <w:t>09/27/2031</w:t>
            </w:r>
            <w:r>
              <w:rPr>
                <w:rFonts w:ascii="Times New Roman" w:cs="Times New Roman" w:eastAsia="Times New Roman" w:hAnsi="Times New Roman"/>
                <w:sz w:val="21"/>
                <w:szCs w:val="21"/>
                <w:color w:val="008000"/>
                <w:vertAlign w:val="superscript"/>
              </w:rPr>
              <w:t>(2)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160,000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9"/>
              </w:rPr>
              <w:t>160,000</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jc w:val="right"/>
              <w:ind w:right="161"/>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vested at the rate of 25% per year commencing on April 1, 2017.</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remain exercisable until the earlier of (i) 10 years after the date of grant or (ii) three months after the Reporting Person ceases to be employed by the Issuer.</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are vesting at the rate of one-third per year commencing on April 1, 2020.</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are vesting at the rate of one-third per year commencing on September 27, 2022.</w:t>
      </w:r>
    </w:p>
    <w:p>
      <w:pPr>
        <w:spacing w:after="0" w:line="60"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Jay Shehadeh by P.O.A. for</w:t>
            </w: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w w:val="98"/>
              </w:rPr>
              <w:t>11/28/2022</w:t>
            </w:r>
          </w:p>
        </w:tc>
        <w:tc>
          <w:tcPr>
            <w:tcW w:w="0" w:type="dxa"/>
            <w:vAlign w:val="bottom"/>
          </w:tcPr>
          <w:p>
            <w:pPr>
              <w:spacing w:after="0"/>
              <w:rPr>
                <w:sz w:val="1"/>
                <w:szCs w:val="1"/>
                <w:color w:val="auto"/>
              </w:rPr>
            </w:pPr>
          </w:p>
        </w:tc>
      </w:tr>
      <w:tr>
        <w:trPr>
          <w:trHeight w:val="81"/>
        </w:trPr>
        <w:tc>
          <w:tcPr>
            <w:tcW w:w="2000" w:type="dxa"/>
            <w:vAlign w:val="bottom"/>
            <w:gridSpan w:val="2"/>
            <w:vMerge w:val="restart"/>
          </w:tcPr>
          <w:p>
            <w:pPr>
              <w:spacing w:after="0" w:line="183" w:lineRule="exact"/>
              <w:rPr>
                <w:sz w:val="20"/>
                <w:szCs w:val="20"/>
                <w:color w:val="auto"/>
              </w:rPr>
            </w:pPr>
            <w:r>
              <w:rPr>
                <w:rFonts w:ascii="Times New Roman" w:cs="Times New Roman" w:eastAsia="Times New Roman" w:hAnsi="Times New Roman"/>
                <w:sz w:val="16"/>
                <w:szCs w:val="16"/>
                <w:color w:val="0000FF"/>
              </w:rPr>
              <w:t>Luis de la Aguilera</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0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color w:val="auto"/>
        </w:rPr>
        <w:t>Exhibit 24</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00" w:lineRule="exact"/>
        <w:rPr>
          <w:sz w:val="20"/>
          <w:szCs w:val="20"/>
          <w:color w:val="auto"/>
        </w:rPr>
      </w:pPr>
    </w:p>
    <w:p>
      <w:pPr>
        <w:spacing w:after="0" w:line="213" w:lineRule="exact"/>
        <w:rPr>
          <w:sz w:val="20"/>
          <w:szCs w:val="20"/>
          <w:color w:val="auto"/>
        </w:rPr>
      </w:pPr>
    </w:p>
    <w:p>
      <w:pPr>
        <w:ind w:right="120" w:firstLine="608"/>
        <w:spacing w:after="0" w:line="277"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each of Robert Anderson and Jalal “Jay” Shehadeh, signing singly, the undersigned's true and lawful attorney-in-fact to:</w:t>
      </w:r>
    </w:p>
    <w:p>
      <w:pPr>
        <w:spacing w:after="0" w:line="157" w:lineRule="exact"/>
        <w:rPr>
          <w:sz w:val="20"/>
          <w:szCs w:val="20"/>
          <w:color w:val="auto"/>
        </w:rPr>
      </w:pPr>
    </w:p>
    <w:p>
      <w:pPr>
        <w:ind w:right="400" w:firstLine="610"/>
        <w:spacing w:after="0" w:line="277" w:lineRule="auto"/>
        <w:tabs>
          <w:tab w:leader="none" w:pos="84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individual capacity, Forms 3, 4, and 5 in accordance with Section 16(a) of the Securities Exchange Act of 1934, and the rules and regulations promulgated thereunder (the “Exchange Act”);</w:t>
      </w:r>
    </w:p>
    <w:p>
      <w:pPr>
        <w:spacing w:after="0" w:line="157" w:lineRule="exact"/>
        <w:rPr>
          <w:rFonts w:ascii="Times New Roman" w:cs="Times New Roman" w:eastAsia="Times New Roman" w:hAnsi="Times New Roman"/>
          <w:sz w:val="17"/>
          <w:szCs w:val="17"/>
          <w:color w:val="auto"/>
        </w:rPr>
      </w:pPr>
    </w:p>
    <w:p>
      <w:pPr>
        <w:ind w:right="40" w:firstLine="610"/>
        <w:spacing w:after="0" w:line="263" w:lineRule="auto"/>
        <w:tabs>
          <w:tab w:leader="none" w:pos="84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which may be necessary or desirable to complete and execute a Form ID (if necessary) and any such Form 3, 4, or 5, complete and execute any amendment or amendments thereto and timely file such form with the United States Securities and Exchange Commission and any stock exchange or similar authority; and</w:t>
      </w:r>
    </w:p>
    <w:p>
      <w:pPr>
        <w:spacing w:after="0" w:line="168" w:lineRule="exact"/>
        <w:rPr>
          <w:rFonts w:ascii="Times New Roman" w:cs="Times New Roman" w:eastAsia="Times New Roman" w:hAnsi="Times New Roman"/>
          <w:sz w:val="17"/>
          <w:szCs w:val="17"/>
          <w:color w:val="auto"/>
        </w:rPr>
      </w:pPr>
    </w:p>
    <w:p>
      <w:pPr>
        <w:jc w:val="both"/>
        <w:ind w:right="60" w:firstLine="610"/>
        <w:spacing w:after="0" w:line="258" w:lineRule="auto"/>
        <w:tabs>
          <w:tab w:leader="none" w:pos="84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3" w:lineRule="exact"/>
        <w:rPr>
          <w:sz w:val="20"/>
          <w:szCs w:val="20"/>
          <w:color w:val="auto"/>
        </w:rPr>
      </w:pPr>
    </w:p>
    <w:p>
      <w:pPr>
        <w:ind w:right="140" w:firstLine="608"/>
        <w:spacing w:after="0" w:line="254"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USCB Financial Holdings, Inc. (the “Company”) assuming, any of the undersigned's responsibilities to comply with Section 16 of the Exchange Act.</w:t>
      </w:r>
    </w:p>
    <w:p>
      <w:pPr>
        <w:spacing w:after="0" w:line="178" w:lineRule="exact"/>
        <w:rPr>
          <w:sz w:val="20"/>
          <w:szCs w:val="20"/>
          <w:color w:val="auto"/>
        </w:rPr>
      </w:pPr>
    </w:p>
    <w:p>
      <w:pPr>
        <w:ind w:right="360" w:firstLine="608"/>
        <w:spacing w:after="0" w:line="263"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xml:space="preserve">IN WITNESS WHEREOF, the undersigned has caused this Power of Attorney to be executed as of this </w:t>
      </w:r>
      <w:r>
        <w:rPr>
          <w:rFonts w:ascii="Times New Roman" w:cs="Times New Roman" w:eastAsia="Times New Roman" w:hAnsi="Times New Roman"/>
          <w:sz w:val="17"/>
          <w:szCs w:val="17"/>
          <w:u w:val="single" w:color="auto"/>
          <w:color w:val="auto"/>
        </w:rPr>
        <w:t>23rd</w:t>
      </w:r>
      <w:r>
        <w:rPr>
          <w:rFonts w:ascii="Times New Roman" w:cs="Times New Roman" w:eastAsia="Times New Roman" w:hAnsi="Times New Roman"/>
          <w:sz w:val="17"/>
          <w:szCs w:val="17"/>
          <w:color w:val="auto"/>
        </w:rPr>
        <w:t xml:space="preserve"> day of November 2022.</w:t>
      </w:r>
    </w:p>
    <w:p>
      <w:pPr>
        <w:spacing w:after="0" w:line="200" w:lineRule="exact"/>
        <w:rPr>
          <w:sz w:val="20"/>
          <w:szCs w:val="20"/>
          <w:color w:val="auto"/>
        </w:rPr>
      </w:pPr>
    </w:p>
    <w:p>
      <w:pPr>
        <w:spacing w:after="0" w:line="2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auto"/>
        </w:rPr>
        <w:t>By:/s/Luis de la Aguilera</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7"/>
          <w:szCs w:val="17"/>
          <w:color w:val="auto"/>
        </w:rPr>
        <w:t>Luis de la Aguilera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4315460</wp:posOffset>
            </wp:positionH>
            <wp:positionV relativeFrom="paragraph">
              <wp:posOffset>-123190</wp:posOffset>
            </wp:positionV>
            <wp:extent cx="2656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656205" cy="8255"/>
                    </a:xfrm>
                    <a:prstGeom prst="rect">
                      <a:avLst/>
                    </a:prstGeom>
                    <a:noFill/>
                  </pic:spPr>
                </pic:pic>
              </a:graphicData>
            </a:graphic>
          </wp:anchor>
        </w:drawing>
      </w:r>
    </w:p>
    <w:sectPr>
      <w:pgSz w:w="11900" w:h="16838" w:orient="portrait"/>
      <w:cols w:equalWidth="0" w:num="1">
        <w:col w:w="10980"/>
      </w:cols>
      <w:pgMar w:left="460" w:top="12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6660" TargetMode="External"/><Relationship Id="rId13"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2022-11-28T14:45:43Z</dcterms:created>
  <dcterms:modified xsi:type="dcterms:W3CDTF">2022-11-28T14:45:43Z</dcterms:modified>
</cp:coreProperties>
</file>