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805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AGUILERA LUIS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3,194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20.38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219,772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0" w:firstLine="1"/>
        <w:spacing w:after="0" w:line="239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17,082 shares of restricted stock from a grant of 25,653 shares which commenced vesting at a rate of one-third per year on January 21, 2026, 4,045 shares of restricted stock from a grant of 12,136 shares which commenced vesting at a rate of one-third per year on January 22, 2025, 7,892 shares of restricted stock from a grant of 23,678 shares which commenced vesting at a rate of one-third per year on March 8, 2024, and 41,666 shares of restricted stock from a grant of 125,000 shares which commenced vesting at a rate of one-third per year on December 31, 2024.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25% per year commencing on April 1, 2017.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September 23, 2020.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September 27, 2022.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290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Luis de la Aguilera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963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60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2026-01-23T13:24:03Z</dcterms:created>
  <dcterms:modified xsi:type="dcterms:W3CDTF">2026-01-23T13:24:03Z</dcterms:modified>
</cp:coreProperties>
</file>