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4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-231140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19"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40" w:type="dxa"/>
            <w:vAlign w:val="bottom"/>
          </w:tcPr>
          <w:p>
            <w:pPr>
              <w:jc w:val="center"/>
              <w:ind w:right="9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9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5289550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-636270</wp:posOffset>
            </wp:positionV>
            <wp:extent cx="58420" cy="64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757555</wp:posOffset>
            </wp:positionV>
            <wp:extent cx="6991350" cy="511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350" cy="511873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00"/>
            <w:col w:w="8560"/>
          </w:cols>
          <w:pgMar w:left="460" w:top="217"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RODRIGUEZ RAMON A</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4"/>
        </w:trPr>
        <w:tc>
          <w:tcPr>
            <w:tcW w:w="3840" w:type="dxa"/>
            <w:vAlign w:val="bottom"/>
            <w:gridSpan w:val="4"/>
          </w:tcPr>
          <w:p>
            <w:pPr>
              <w:ind w:left="80"/>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40" w:type="dxa"/>
            <w:vAlign w:val="bottom"/>
            <w:gridSpan w:val="4"/>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11"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1"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09/16/2024</w:t>
            </w: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1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80" w:type="dxa"/>
            <w:vAlign w:val="bottom"/>
            <w:gridSpan w:val="2"/>
          </w:tcPr>
          <w:p>
            <w:pPr>
              <w:ind w:left="58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6,000</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14.61</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2"/>
          </w:tcPr>
          <w:p>
            <w:pPr>
              <w:jc w:val="center"/>
              <w:ind w:left="854"/>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13.9</w:t>
            </w: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02/15/2032</w:t>
            </w: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5,000</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13"/>
                <w:szCs w:val="13"/>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3"/>
                <w:szCs w:val="13"/>
                <w:color w:val="0000FF"/>
              </w:rPr>
              <w:t>02/15/2023</w:t>
            </w:r>
          </w:p>
        </w:tc>
        <w:tc>
          <w:tcPr>
            <w:tcW w:w="740" w:type="dxa"/>
            <w:vAlign w:val="bottom"/>
            <w:vMerge w:val="continue"/>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0000FF"/>
              </w:rPr>
              <w:t>Voting</w:t>
            </w:r>
          </w:p>
        </w:tc>
        <w:tc>
          <w:tcPr>
            <w:tcW w:w="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00" w:firstLine="4"/>
        <w:spacing w:after="0" w:line="248"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$14.60 to $15.00, inclusive. The reporting person undertakes to provide to USCB Financial Holdings, Inc. ("USCB"), any securities holder of USCB, or the staff of the Securities and Exchange Commission, upon request, full information regarding the number of shares purchased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fully on the first anniversary of the date of grant.</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Robert Anderson by P.O.A.  </w:t>
      </w:r>
      <w:r>
        <w:rPr>
          <w:rFonts w:ascii="Times New Roman" w:cs="Times New Roman" w:eastAsia="Times New Roman" w:hAnsi="Times New Roman"/>
          <w:sz w:val="34"/>
          <w:szCs w:val="34"/>
          <w:color w:val="0000FF"/>
          <w:vertAlign w:val="subscript"/>
        </w:rPr>
        <w:t>09/17/2024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Ramon A. 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-19050</wp:posOffset>
            </wp:positionV>
            <wp:extent cx="1075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569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-85090</wp:posOffset>
            </wp:positionV>
            <wp:extent cx="492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480" w:firstLine="4"/>
        <w:spacing w:after="0" w:line="315"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3732"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2024-09-17T10:10:31Z</dcterms:created>
  <dcterms:modified xsi:type="dcterms:W3CDTF">2024-09-17T10:10:31Z</dcterms:modified>
</cp:coreProperties>
</file>