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7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7340"/>
                    </a:xfrm>
                    <a:prstGeom prst="rect">
                      <a:avLst/>
                    </a:prstGeom>
                    <a:noFill/>
                  </pic:spPr>
                </pic:pic>
              </a:graphicData>
            </a:graphic>
          </wp:anchor>
        </w:drawing>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87"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quarterly period ended June 30, 2023</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60"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71"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3" w:right="1440" w:bottom="1440" w:gutter="0" w:footer="0" w:header="0"/>
        </w:sectPr>
      </w:pPr>
    </w:p>
    <w:p>
      <w:pPr>
        <w:spacing w:after="0" w:line="251"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8" w:lineRule="exact"/>
        <w:rPr>
          <w:sz w:val="24"/>
          <w:szCs w:val="24"/>
          <w:color w:val="auto"/>
        </w:rPr>
      </w:pPr>
    </w:p>
    <w:p>
      <w:pPr>
        <w:sectPr>
          <w:pgSz w:w="11900" w:h="16838" w:orient="portrait"/>
          <w:cols w:equalWidth="0" w:num="2">
            <w:col w:w="6020" w:space="720"/>
            <w:col w:w="2279"/>
          </w:cols>
          <w:pgMar w:left="1440" w:top="793"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91" w:lineRule="exact"/>
        <w:rPr>
          <w:sz w:val="24"/>
          <w:szCs w:val="24"/>
          <w:color w:val="auto"/>
        </w:rPr>
      </w:pPr>
    </w:p>
    <w:p>
      <w:pPr>
        <w:sectPr>
          <w:pgSz w:w="11900" w:h="16838" w:orient="portrait"/>
          <w:cols w:equalWidth="0" w:num="2">
            <w:col w:w="5860" w:space="720"/>
            <w:col w:w="2439"/>
          </w:cols>
          <w:pgMar w:left="1440" w:top="793"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 Doral, FL 33172</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( 305) 715-5200</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45"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2"/>
                <w:szCs w:val="12"/>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9"/>
        </w:trPr>
        <w:tc>
          <w:tcPr>
            <w:tcW w:w="3060" w:type="dxa"/>
            <w:vAlign w:val="bottom"/>
            <w:gridSpan w:val="3"/>
          </w:tcPr>
          <w:p>
            <w:pPr>
              <w:jc w:val="center"/>
              <w:ind w:right="24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7"/>
                <w:szCs w:val="17"/>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54" w:lineRule="exact"/>
        <w:rPr>
          <w:sz w:val="24"/>
          <w:szCs w:val="24"/>
          <w:color w:val="auto"/>
        </w:rPr>
      </w:pPr>
    </w:p>
    <w:p>
      <w:pPr>
        <w:jc w:val="both"/>
        <w:ind w:left="660" w:right="639"/>
        <w:spacing w:after="0" w:line="154"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8" w:lineRule="exact"/>
        <w:rPr>
          <w:sz w:val="24"/>
          <w:szCs w:val="24"/>
          <w:color w:val="auto"/>
        </w:rPr>
      </w:pPr>
    </w:p>
    <w:p>
      <w:pPr>
        <w:jc w:val="both"/>
        <w:ind w:left="660" w:right="679"/>
        <w:spacing w:after="0" w:line="15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jc w:val="both"/>
        <w:ind w:left="660" w:right="659"/>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8" w:lineRule="exact"/>
        <w:rPr>
          <w:sz w:val="24"/>
          <w:szCs w:val="24"/>
          <w:color w:val="auto"/>
        </w:rPr>
      </w:pPr>
    </w:p>
    <w:p>
      <w:pPr>
        <w:ind w:left="660"/>
        <w:spacing w:after="0" w:line="150" w:lineRule="exact"/>
        <w:tabs>
          <w:tab w:leader="none" w:pos="21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46" w:lineRule="exact"/>
        <w:rPr>
          <w:sz w:val="24"/>
          <w:szCs w:val="24"/>
          <w:color w:val="auto"/>
        </w:rPr>
      </w:pPr>
    </w:p>
    <w:p>
      <w:pPr>
        <w:jc w:val="both"/>
        <w:ind w:left="660" w:right="659"/>
        <w:spacing w:after="0" w:line="15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4"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8"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July 14, 2023, the registrant had 19,544,777 shares of Class A common stock outstanding.</w:t>
      </w:r>
    </w:p>
    <w:p>
      <w:pPr>
        <w:sectPr>
          <w:pgSz w:w="11900" w:h="16838" w:orient="portrait"/>
          <w:cols w:equalWidth="0" w:num="1">
            <w:col w:w="9019"/>
          </w:cols>
          <w:pgMar w:left="1440" w:top="793"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FORM 10-Q</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June 30, 2023</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color w:val="0000FF"/>
                <w:w w:val="85"/>
              </w:rPr>
              <w:t>PART I</w:t>
            </w:r>
          </w:p>
        </w:tc>
        <w:tc>
          <w:tcPr>
            <w:tcW w:w="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0000FF"/>
              </w:rPr>
              <w:t>3</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8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0000FF"/>
                <w:w w:val="97"/>
              </w:rPr>
              <w:t>Financial Statements</w:t>
            </w:r>
          </w:p>
        </w:tc>
        <w:tc>
          <w:tcPr>
            <w:tcW w:w="5320" w:type="dxa"/>
            <w:vAlign w:val="bottom"/>
            <w:gridSpan w:val="13"/>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0000FF"/>
              </w:rPr>
              <w:t>3</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Balance Sheets as of June 30, 2023 (Unaudited) and December 31, 2022</w:t>
            </w:r>
          </w:p>
        </w:tc>
        <w:tc>
          <w:tcPr>
            <w:tcW w:w="52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60" w:type="dxa"/>
            <w:vAlign w:val="bottom"/>
            <w:tcBorders>
              <w:bottom w:val="single" w:sz="8" w:color="0000FF"/>
            </w:tcBorders>
            <w:gridSpan w:val="15"/>
          </w:tcPr>
          <w:p>
            <w:pPr>
              <w:spacing w:after="0" w:line="129" w:lineRule="exact"/>
              <w:rPr>
                <w:sz w:val="20"/>
                <w:szCs w:val="20"/>
                <w:color w:val="auto"/>
              </w:rPr>
            </w:pPr>
            <w:r>
              <w:rPr>
                <w:rFonts w:ascii="Arial" w:cs="Arial" w:eastAsia="Arial" w:hAnsi="Arial"/>
                <w:sz w:val="13"/>
                <w:szCs w:val="13"/>
                <w:color w:val="0000FF"/>
                <w:w w:val="98"/>
              </w:rPr>
              <w:t>Consolidated Statements of Operations for the three and six months ended June 30, 2023 and 2022</w:t>
            </w:r>
          </w:p>
        </w:tc>
        <w:tc>
          <w:tcPr>
            <w:tcW w:w="540" w:type="dxa"/>
            <w:vAlign w:val="bottom"/>
            <w:gridSpan w:val="3"/>
          </w:tcPr>
          <w:p>
            <w:pPr>
              <w:spacing w:after="0"/>
              <w:rPr>
                <w:sz w:val="11"/>
                <w:szCs w:val="11"/>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0000FF"/>
              </w:rPr>
              <w:t>4</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(Unaudited)</w:t>
            </w:r>
          </w:p>
        </w:tc>
        <w:tc>
          <w:tcPr>
            <w:tcW w:w="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60" w:type="dxa"/>
            <w:vAlign w:val="bottom"/>
            <w:gridSpan w:val="14"/>
            <w:vMerge w:val="restart"/>
          </w:tcPr>
          <w:p>
            <w:pPr>
              <w:ind w:left="40"/>
              <w:spacing w:after="0" w:line="139" w:lineRule="exact"/>
              <w:rPr>
                <w:sz w:val="20"/>
                <w:szCs w:val="20"/>
                <w:color w:val="auto"/>
              </w:rPr>
            </w:pPr>
            <w:r>
              <w:rPr>
                <w:rFonts w:ascii="Arial" w:cs="Arial" w:eastAsia="Arial" w:hAnsi="Arial"/>
                <w:sz w:val="13"/>
                <w:szCs w:val="13"/>
                <w:color w:val="0000FF"/>
                <w:w w:val="97"/>
              </w:rPr>
              <w:t>Statements of Comprehensive Income (Loss) for the three and six months ended June 30, 2023</w:t>
            </w: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84"/>
              </w:rPr>
              <w:t>Consolidated</w:t>
            </w:r>
          </w:p>
        </w:tc>
        <w:tc>
          <w:tcPr>
            <w:tcW w:w="80" w:type="dxa"/>
            <w:vAlign w:val="bottom"/>
            <w:tcBorders>
              <w:bottom w:val="single" w:sz="8" w:color="0000FF"/>
            </w:tcBorders>
            <w:vMerge w:val="continue"/>
          </w:tcPr>
          <w:p>
            <w:pPr>
              <w:spacing w:after="0"/>
              <w:rPr>
                <w:sz w:val="10"/>
                <w:szCs w:val="10"/>
                <w:color w:val="auto"/>
              </w:rPr>
            </w:pPr>
          </w:p>
        </w:tc>
        <w:tc>
          <w:tcPr>
            <w:tcW w:w="5460" w:type="dxa"/>
            <w:vAlign w:val="bottom"/>
            <w:tcBorders>
              <w:bottom w:val="single" w:sz="8" w:color="0000FF"/>
            </w:tcBorders>
            <w:gridSpan w:val="14"/>
            <w:vMerge w:val="continue"/>
          </w:tcPr>
          <w:p>
            <w:pPr>
              <w:spacing w:after="0"/>
              <w:rPr>
                <w:sz w:val="10"/>
                <w:szCs w:val="10"/>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0000FF"/>
              </w:rPr>
              <w:t>5</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8"/>
          </w:tcPr>
          <w:p>
            <w:pPr>
              <w:spacing w:after="0" w:line="129" w:lineRule="exact"/>
              <w:rPr>
                <w:sz w:val="20"/>
                <w:szCs w:val="20"/>
                <w:color w:val="auto"/>
              </w:rPr>
            </w:pPr>
            <w:r>
              <w:rPr>
                <w:rFonts w:ascii="Arial" w:cs="Arial" w:eastAsia="Arial" w:hAnsi="Arial"/>
                <w:sz w:val="13"/>
                <w:szCs w:val="13"/>
                <w:color w:val="0000FF"/>
                <w:w w:val="96"/>
              </w:rPr>
              <w:t>and 2022 (Unaudited)</w:t>
            </w:r>
          </w:p>
        </w:tc>
        <w:tc>
          <w:tcPr>
            <w:tcW w:w="4960" w:type="dxa"/>
            <w:vAlign w:val="bottom"/>
            <w:gridSpan w:val="10"/>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Changes in Stockholders’ Equity for the three and six months ended June 30,</w:t>
            </w:r>
          </w:p>
        </w:tc>
        <w:tc>
          <w:tcPr>
            <w:tcW w:w="520" w:type="dxa"/>
            <w:vAlign w:val="bottom"/>
            <w:gridSpan w:val="3"/>
            <w:vMerge w:val="restart"/>
          </w:tcPr>
          <w:p>
            <w:pPr>
              <w:jc w:val="right"/>
              <w:spacing w:after="0"/>
              <w:rPr>
                <w:sz w:val="20"/>
                <w:szCs w:val="20"/>
                <w:color w:val="auto"/>
              </w:rPr>
            </w:pPr>
            <w:r>
              <w:rPr>
                <w:rFonts w:ascii="Arial" w:cs="Arial" w:eastAsia="Arial" w:hAnsi="Arial"/>
                <w:sz w:val="13"/>
                <w:szCs w:val="13"/>
                <w:color w:val="0000FF"/>
              </w:rPr>
              <w:t>6</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top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6"/>
              </w:rPr>
              <w:t>2023 and 2022 (Unaudited)</w:t>
            </w:r>
          </w:p>
        </w:tc>
        <w:tc>
          <w:tcPr>
            <w:tcW w:w="4420" w:type="dxa"/>
            <w:vAlign w:val="bottom"/>
            <w:tcBorders>
              <w:top w:val="single" w:sz="8" w:color="0000FF"/>
            </w:tcBorders>
            <w:gridSpan w:val="8"/>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Cash Flows for the six months ended June 30, 2023 and 2022 (Unaudited)</w:t>
            </w:r>
          </w:p>
        </w:tc>
        <w:tc>
          <w:tcPr>
            <w:tcW w:w="52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7</w:t>
            </w:r>
          </w:p>
        </w:tc>
        <w:tc>
          <w:tcPr>
            <w:tcW w:w="0" w:type="dxa"/>
            <w:vAlign w:val="bottom"/>
          </w:tcPr>
          <w:p>
            <w:pPr>
              <w:spacing w:after="0"/>
              <w:rPr>
                <w:sz w:val="1"/>
                <w:szCs w:val="1"/>
                <w:color w:val="auto"/>
              </w:rPr>
            </w:pPr>
          </w:p>
        </w:tc>
      </w:tr>
      <w:tr>
        <w:trPr>
          <w:trHeight w:val="11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2.</w:t>
            </w:r>
          </w:p>
        </w:tc>
        <w:tc>
          <w:tcPr>
            <w:tcW w:w="80" w:type="dxa"/>
            <w:vAlign w:val="bottom"/>
            <w:gridSpan w:val="2"/>
            <w:vMerge w:val="restart"/>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20" w:type="dxa"/>
            <w:vAlign w:val="bottom"/>
            <w:tcBorders>
              <w:top w:val="single" w:sz="8" w:color="0000FF"/>
            </w:tcBorders>
            <w:gridSpan w:val="16"/>
          </w:tcPr>
          <w:p>
            <w:pPr>
              <w:spacing w:after="0" w:line="119" w:lineRule="exact"/>
              <w:rPr>
                <w:sz w:val="20"/>
                <w:szCs w:val="20"/>
                <w:color w:val="auto"/>
              </w:rPr>
            </w:pPr>
            <w:r>
              <w:rPr>
                <w:rFonts w:ascii="Arial" w:cs="Arial" w:eastAsia="Arial" w:hAnsi="Arial"/>
                <w:sz w:val="13"/>
                <w:szCs w:val="13"/>
                <w:color w:val="0000FF"/>
              </w:rPr>
              <w:t>Notes to the Consolidated Financial Statements (Unaudited)</w:t>
            </w:r>
          </w:p>
        </w:tc>
        <w:tc>
          <w:tcPr>
            <w:tcW w:w="380" w:type="dxa"/>
            <w:vAlign w:val="bottom"/>
            <w:gridSpan w:val="2"/>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8</w:t>
            </w: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040" w:type="dxa"/>
            <w:vAlign w:val="bottom"/>
            <w:tcBorders>
              <w:bottom w:val="single" w:sz="8" w:color="0000FF"/>
            </w:tcBorders>
            <w:gridSpan w:val="14"/>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480" w:type="dxa"/>
            <w:vAlign w:val="bottom"/>
            <w:gridSpan w:val="5"/>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33</w:t>
            </w:r>
          </w:p>
        </w:tc>
        <w:tc>
          <w:tcPr>
            <w:tcW w:w="0" w:type="dxa"/>
            <w:vAlign w:val="bottom"/>
          </w:tcPr>
          <w:p>
            <w:pPr>
              <w:spacing w:after="0"/>
              <w:rPr>
                <w:sz w:val="1"/>
                <w:szCs w:val="1"/>
                <w:color w:val="auto"/>
              </w:rPr>
            </w:pP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3.</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6520" w:type="dxa"/>
            <w:vAlign w:val="bottom"/>
            <w:gridSpan w:val="19"/>
          </w:tcPr>
          <w:p>
            <w:pPr>
              <w:spacing w:after="0" w:line="129" w:lineRule="exact"/>
              <w:rPr>
                <w:sz w:val="20"/>
                <w:szCs w:val="20"/>
                <w:color w:val="auto"/>
              </w:rPr>
            </w:pPr>
            <w:r>
              <w:rPr>
                <w:rFonts w:ascii="Arial" w:cs="Arial" w:eastAsia="Arial" w:hAnsi="Arial"/>
                <w:sz w:val="13"/>
                <w:szCs w:val="13"/>
                <w:color w:val="0000FF"/>
              </w:rPr>
              <w:t>Quantitative and Qualitative Disclosures About Market Risk</w:t>
            </w:r>
          </w:p>
        </w:tc>
        <w:tc>
          <w:tcPr>
            <w:tcW w:w="52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56</w:t>
            </w:r>
          </w:p>
        </w:tc>
        <w:tc>
          <w:tcPr>
            <w:tcW w:w="0" w:type="dxa"/>
            <w:vAlign w:val="bottom"/>
          </w:tcPr>
          <w:p>
            <w:pPr>
              <w:spacing w:after="0"/>
              <w:rPr>
                <w:sz w:val="1"/>
                <w:szCs w:val="1"/>
                <w:color w:val="auto"/>
              </w:rPr>
            </w:pPr>
          </w:p>
        </w:tc>
      </w:tr>
      <w:tr>
        <w:trPr>
          <w:trHeight w:val="129"/>
        </w:trPr>
        <w:tc>
          <w:tcPr>
            <w:tcW w:w="40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1920" w:type="dxa"/>
            <w:vAlign w:val="bottom"/>
            <w:tcBorders>
              <w:top w:val="single" w:sz="8" w:color="0000FF"/>
            </w:tcBorders>
            <w:gridSpan w:val="3"/>
          </w:tcPr>
          <w:p>
            <w:pPr>
              <w:spacing w:after="0"/>
              <w:rPr>
                <w:sz w:val="11"/>
                <w:szCs w:val="11"/>
                <w:color w:val="auto"/>
              </w:rPr>
            </w:pPr>
          </w:p>
        </w:tc>
        <w:tc>
          <w:tcPr>
            <w:tcW w:w="3180" w:type="dxa"/>
            <w:vAlign w:val="bottom"/>
            <w:gridSpan w:val="8"/>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0000FF"/>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56</w:t>
            </w:r>
          </w:p>
        </w:tc>
        <w:tc>
          <w:tcPr>
            <w:tcW w:w="0" w:type="dxa"/>
            <w:vAlign w:val="bottom"/>
          </w:tcPr>
          <w:p>
            <w:pPr>
              <w:spacing w:after="0"/>
              <w:rPr>
                <w:sz w:val="1"/>
                <w:szCs w:val="1"/>
                <w:color w:val="auto"/>
              </w:rPr>
            </w:pPr>
          </w:p>
        </w:tc>
      </w:tr>
      <w:tr>
        <w:trPr>
          <w:trHeight w:val="268"/>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PART II</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57</w:t>
            </w:r>
          </w:p>
        </w:tc>
        <w:tc>
          <w:tcPr>
            <w:tcW w:w="0" w:type="dxa"/>
            <w:vAlign w:val="bottom"/>
          </w:tcPr>
          <w:p>
            <w:pPr>
              <w:spacing w:after="0"/>
              <w:rPr>
                <w:sz w:val="1"/>
                <w:szCs w:val="1"/>
                <w:color w:val="auto"/>
              </w:rPr>
            </w:pPr>
          </w:p>
        </w:tc>
      </w:tr>
      <w:tr>
        <w:trPr>
          <w:trHeight w:val="279"/>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520" w:type="dxa"/>
            <w:vAlign w:val="bottom"/>
            <w:gridSpan w:val="19"/>
          </w:tcPr>
          <w:p>
            <w:pPr>
              <w:spacing w:after="0"/>
              <w:rPr>
                <w:sz w:val="20"/>
                <w:szCs w:val="20"/>
                <w:color w:val="auto"/>
              </w:rPr>
            </w:pPr>
            <w:r>
              <w:rPr>
                <w:rFonts w:ascii="Arial" w:cs="Arial" w:eastAsia="Arial" w:hAnsi="Arial"/>
                <w:sz w:val="13"/>
                <w:szCs w:val="13"/>
                <w:color w:val="0000FF"/>
              </w:rPr>
              <w:t>Legal Proceedings</w:t>
            </w:r>
          </w:p>
        </w:tc>
        <w:tc>
          <w:tcPr>
            <w:tcW w:w="520" w:type="dxa"/>
            <w:vAlign w:val="bottom"/>
            <w:gridSpan w:val="3"/>
          </w:tcPr>
          <w:p>
            <w:pPr>
              <w:jc w:val="right"/>
              <w:spacing w:after="0"/>
              <w:rPr>
                <w:sz w:val="20"/>
                <w:szCs w:val="20"/>
                <w:color w:val="auto"/>
              </w:rPr>
            </w:pPr>
            <w:r>
              <w:rPr>
                <w:rFonts w:ascii="Arial" w:cs="Arial" w:eastAsia="Arial" w:hAnsi="Arial"/>
                <w:sz w:val="13"/>
                <w:szCs w:val="13"/>
                <w:color w:val="0000FF"/>
              </w:rPr>
              <w:t>57</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4"/>
              </w:rPr>
              <w:t>Item 1A.</w:t>
            </w:r>
          </w:p>
        </w:tc>
        <w:tc>
          <w:tcPr>
            <w:tcW w:w="160" w:type="dxa"/>
            <w:vAlign w:val="bottom"/>
          </w:tcPr>
          <w:p>
            <w:pPr>
              <w:spacing w:after="0"/>
              <w:rPr>
                <w:sz w:val="11"/>
                <w:szCs w:val="11"/>
                <w:color w:val="auto"/>
              </w:rPr>
            </w:pPr>
          </w:p>
        </w:tc>
        <w:tc>
          <w:tcPr>
            <w:tcW w:w="72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Risk Factors</w:t>
            </w:r>
          </w:p>
        </w:tc>
        <w:tc>
          <w:tcPr>
            <w:tcW w:w="5800" w:type="dxa"/>
            <w:vAlign w:val="bottom"/>
            <w:gridSpan w:val="17"/>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57</w:t>
            </w:r>
          </w:p>
        </w:tc>
        <w:tc>
          <w:tcPr>
            <w:tcW w:w="0" w:type="dxa"/>
            <w:vAlign w:val="bottom"/>
          </w:tcPr>
          <w:p>
            <w:pPr>
              <w:spacing w:after="0"/>
              <w:rPr>
                <w:sz w:val="1"/>
                <w:szCs w:val="1"/>
                <w:color w:val="auto"/>
              </w:rPr>
            </w:pP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3460" w:type="dxa"/>
            <w:vAlign w:val="bottom"/>
            <w:tcBorders>
              <w:bottom w:val="single" w:sz="8" w:color="0000FF"/>
            </w:tcBorders>
            <w:gridSpan w:val="12"/>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306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0" w:lineRule="exact"/>
              <w:rPr>
                <w:sz w:val="20"/>
                <w:szCs w:val="20"/>
                <w:color w:val="auto"/>
              </w:rPr>
            </w:pPr>
            <w:r>
              <w:rPr>
                <w:rFonts w:ascii="Arial" w:cs="Arial" w:eastAsia="Arial" w:hAnsi="Arial"/>
                <w:sz w:val="13"/>
                <w:szCs w:val="13"/>
                <w:color w:val="0000FF"/>
                <w:w w:val="82"/>
              </w:rPr>
              <w:t>57</w:t>
            </w:r>
          </w:p>
        </w:tc>
        <w:tc>
          <w:tcPr>
            <w:tcW w:w="0" w:type="dxa"/>
            <w:vAlign w:val="bottom"/>
          </w:tcPr>
          <w:p>
            <w:pPr>
              <w:spacing w:after="0"/>
              <w:rPr>
                <w:sz w:val="1"/>
                <w:szCs w:val="1"/>
                <w:color w:val="auto"/>
              </w:rPr>
            </w:pPr>
          </w:p>
        </w:tc>
      </w:tr>
      <w:tr>
        <w:trPr>
          <w:trHeight w:val="129"/>
        </w:trPr>
        <w:tc>
          <w:tcPr>
            <w:tcW w:w="480" w:type="dxa"/>
            <w:vAlign w:val="bottom"/>
            <w:gridSpan w:val="3"/>
          </w:tcPr>
          <w:p>
            <w:pPr>
              <w:spacing w:after="0" w:line="129" w:lineRule="exact"/>
              <w:rPr>
                <w:sz w:val="20"/>
                <w:szCs w:val="20"/>
                <w:color w:val="auto"/>
              </w:rPr>
            </w:pPr>
            <w:r>
              <w:rPr>
                <w:rFonts w:ascii="Arial" w:cs="Arial" w:eastAsia="Arial" w:hAnsi="Arial"/>
                <w:sz w:val="13"/>
                <w:szCs w:val="13"/>
                <w:color w:val="0000FF"/>
              </w:rPr>
              <w:t>Item 3.</w:t>
            </w:r>
          </w:p>
        </w:tc>
        <w:tc>
          <w:tcPr>
            <w:tcW w:w="6680" w:type="dxa"/>
            <w:vAlign w:val="bottom"/>
            <w:gridSpan w:val="20"/>
          </w:tcPr>
          <w:p>
            <w:pPr>
              <w:ind w:left="160"/>
              <w:spacing w:after="0" w:line="129" w:lineRule="exact"/>
              <w:rPr>
                <w:sz w:val="20"/>
                <w:szCs w:val="20"/>
                <w:color w:val="auto"/>
              </w:rPr>
            </w:pPr>
            <w:r>
              <w:rPr>
                <w:rFonts w:ascii="Arial" w:cs="Arial" w:eastAsia="Arial" w:hAnsi="Arial"/>
                <w:sz w:val="13"/>
                <w:szCs w:val="13"/>
                <w:color w:val="0000FF"/>
              </w:rPr>
              <w:t>Defaults Upon Senior Securities</w:t>
            </w:r>
          </w:p>
        </w:tc>
        <w:tc>
          <w:tcPr>
            <w:tcW w:w="520" w:type="dxa"/>
            <w:vAlign w:val="bottom"/>
            <w:gridSpan w:val="3"/>
          </w:tcPr>
          <w:p>
            <w:pPr>
              <w:jc w:val="right"/>
              <w:spacing w:after="0" w:line="129" w:lineRule="exact"/>
              <w:rPr>
                <w:sz w:val="20"/>
                <w:szCs w:val="20"/>
                <w:color w:val="auto"/>
              </w:rPr>
            </w:pPr>
            <w:r>
              <w:rPr>
                <w:rFonts w:ascii="Arial" w:cs="Arial" w:eastAsia="Arial" w:hAnsi="Arial"/>
                <w:sz w:val="13"/>
                <w:szCs w:val="13"/>
                <w:color w:val="0000FF"/>
              </w:rPr>
              <w:t>58</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4.</w:t>
            </w:r>
          </w:p>
        </w:tc>
        <w:tc>
          <w:tcPr>
            <w:tcW w:w="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Borders>
              <w:top w:val="single" w:sz="8" w:color="0000FF"/>
              <w:bottom w:val="single" w:sz="8" w:color="0000FF"/>
            </w:tcBorders>
            <w:gridSpan w:val="7"/>
          </w:tcPr>
          <w:p>
            <w:pPr>
              <w:spacing w:after="0" w:line="119" w:lineRule="exact"/>
              <w:rPr>
                <w:sz w:val="20"/>
                <w:szCs w:val="20"/>
                <w:color w:val="auto"/>
              </w:rPr>
            </w:pPr>
            <w:r>
              <w:rPr>
                <w:rFonts w:ascii="Arial" w:cs="Arial" w:eastAsia="Arial" w:hAnsi="Arial"/>
                <w:sz w:val="13"/>
                <w:szCs w:val="13"/>
                <w:color w:val="0000FF"/>
                <w:w w:val="97"/>
              </w:rPr>
              <w:t>Mine Safety Disclosures</w:t>
            </w:r>
          </w:p>
        </w:tc>
        <w:tc>
          <w:tcPr>
            <w:tcW w:w="500" w:type="dxa"/>
            <w:vAlign w:val="bottom"/>
            <w:tcBorders>
              <w:top w:val="single" w:sz="8" w:color="0000FF"/>
            </w:tcBorders>
            <w:gridSpan w:val="3"/>
          </w:tcPr>
          <w:p>
            <w:pPr>
              <w:spacing w:after="0"/>
              <w:rPr>
                <w:sz w:val="10"/>
                <w:szCs w:val="10"/>
                <w:color w:val="auto"/>
              </w:rPr>
            </w:pPr>
          </w:p>
        </w:tc>
        <w:tc>
          <w:tcPr>
            <w:tcW w:w="4640" w:type="dxa"/>
            <w:vAlign w:val="bottom"/>
            <w:gridSpan w:val="9"/>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top w:val="single" w:sz="8" w:color="0000FF"/>
              <w:bottom w:val="single" w:sz="8" w:color="0000FF"/>
            </w:tcBorders>
            <w:gridSpan w:val="2"/>
          </w:tcPr>
          <w:p>
            <w:pPr>
              <w:jc w:val="right"/>
              <w:spacing w:after="0" w:line="119" w:lineRule="exact"/>
              <w:rPr>
                <w:sz w:val="20"/>
                <w:szCs w:val="20"/>
                <w:color w:val="auto"/>
              </w:rPr>
            </w:pPr>
            <w:r>
              <w:rPr>
                <w:rFonts w:ascii="Arial" w:cs="Arial" w:eastAsia="Arial" w:hAnsi="Arial"/>
                <w:sz w:val="13"/>
                <w:szCs w:val="13"/>
                <w:color w:val="0000FF"/>
                <w:w w:val="82"/>
              </w:rPr>
              <w:t>58</w:t>
            </w: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5.</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bottom w:val="single" w:sz="8" w:color="0000FF"/>
            </w:tcBorders>
            <w:gridSpan w:val="5"/>
          </w:tcPr>
          <w:p>
            <w:pPr>
              <w:spacing w:after="0" w:line="129" w:lineRule="exact"/>
              <w:rPr>
                <w:sz w:val="20"/>
                <w:szCs w:val="20"/>
                <w:color w:val="auto"/>
              </w:rPr>
            </w:pPr>
            <w:r>
              <w:rPr>
                <w:rFonts w:ascii="Arial" w:cs="Arial" w:eastAsia="Arial" w:hAnsi="Arial"/>
                <w:sz w:val="13"/>
                <w:szCs w:val="13"/>
                <w:color w:val="0000FF"/>
              </w:rPr>
              <w:t>Other Information</w:t>
            </w:r>
          </w:p>
        </w:tc>
        <w:tc>
          <w:tcPr>
            <w:tcW w:w="5460" w:type="dxa"/>
            <w:vAlign w:val="bottom"/>
            <w:gridSpan w:val="14"/>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58</w:t>
            </w: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780" w:type="dxa"/>
            <w:vAlign w:val="bottom"/>
            <w:gridSpan w:val="16"/>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0000FF"/>
            </w:tcBorders>
            <w:gridSpan w:val="2"/>
          </w:tcPr>
          <w:p>
            <w:pPr>
              <w:jc w:val="right"/>
              <w:spacing w:after="0" w:line="129" w:lineRule="exact"/>
              <w:rPr>
                <w:sz w:val="20"/>
                <w:szCs w:val="20"/>
                <w:color w:val="auto"/>
              </w:rPr>
            </w:pPr>
            <w:r>
              <w:rPr>
                <w:rFonts w:ascii="Arial" w:cs="Arial" w:eastAsia="Arial" w:hAnsi="Arial"/>
                <w:sz w:val="13"/>
                <w:szCs w:val="13"/>
                <w:color w:val="0000FF"/>
                <w:w w:val="82"/>
              </w:rPr>
              <w:t>59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4"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PART I</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Item 1. Financial Statements</w:t>
      </w:r>
    </w:p>
    <w:p>
      <w:pPr>
        <w:jc w:val="center"/>
        <w:ind w:right="19"/>
        <w:spacing w:after="0"/>
        <w:rPr>
          <w:sz w:val="20"/>
          <w:szCs w:val="20"/>
          <w:color w:val="auto"/>
        </w:rPr>
      </w:pPr>
      <w:r>
        <w:rPr>
          <w:rFonts w:ascii="Arial" w:cs="Arial" w:eastAsia="Arial" w:hAnsi="Arial"/>
          <w:sz w:val="14"/>
          <w:szCs w:val="14"/>
          <w:color w:val="auto"/>
        </w:rPr>
        <w:t>USCB FINANCIAL HOLDINGS, INC</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129"/>
        </w:trPr>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83"/>
              <w:spacing w:after="0"/>
              <w:rPr>
                <w:sz w:val="20"/>
                <w:szCs w:val="20"/>
                <w:color w:val="auto"/>
              </w:rPr>
            </w:pPr>
            <w:r>
              <w:rPr>
                <w:rFonts w:ascii="Arial" w:cs="Arial" w:eastAsia="Arial" w:hAnsi="Arial"/>
                <w:sz w:val="11"/>
                <w:szCs w:val="11"/>
                <w:b w:val="1"/>
                <w:bCs w:val="1"/>
                <w:color w:val="auto"/>
              </w:rPr>
              <w:t>June 30, 2023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December 31, 2022</w:t>
            </w: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7,873</w:t>
            </w: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6,605</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79,407</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47,563</w:t>
            </w:r>
          </w:p>
        </w:tc>
        <w:tc>
          <w:tcPr>
            <w:tcW w:w="20" w:type="dxa"/>
            <w:vAlign w:val="bottom"/>
            <w:shd w:val="clear" w:color="auto" w:fill="CCEEFF"/>
          </w:tcPr>
          <w:p>
            <w:pPr>
              <w:spacing w:after="0"/>
              <w:rPr>
                <w:sz w:val="13"/>
                <w:szCs w:val="13"/>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87,280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3"/>
                <w:szCs w:val="13"/>
                <w:color w:val="auto"/>
              </w:rPr>
            </w:pP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for credit losses of $19 and $0, respectively (fair</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3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value $199,329 and $169,088, respectively)</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220,956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218,442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230,140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$18,815 and $17,487, respectively</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1,577,144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1,489,851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5,263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43,319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40,014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42,360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3"/>
                <w:szCs w:val="13"/>
                <w:color w:val="auto"/>
              </w:rPr>
            </w:pPr>
          </w:p>
        </w:tc>
      </w:tr>
      <w:tr>
        <w:trPr>
          <w:trHeight w:val="149"/>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8,055</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20" w:type="dxa"/>
            <w:vAlign w:val="bottom"/>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2,225,914</w:t>
            </w:r>
          </w:p>
        </w:tc>
        <w:tc>
          <w:tcPr>
            <w:tcW w:w="60" w:type="dxa"/>
            <w:vAlign w:val="bottom"/>
            <w:gridSpan w:val="2"/>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 deposits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572,360</w:t>
            </w:r>
          </w:p>
        </w:tc>
        <w:tc>
          <w:tcPr>
            <w:tcW w:w="60" w:type="dxa"/>
            <w:vAlign w:val="bottom"/>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629,776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994,429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915,853</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59,501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295,011</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216,977</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1,921,301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1,829,281</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87,000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Accrued interest and other liabilities</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21,019</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13,730</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2,042,229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1,903,406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F3F3F3"/>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F3F3F3"/>
              </w:rPr>
              <w:t>.</w:t>
            </w:r>
          </w:p>
        </w:tc>
      </w:tr>
      <w:tr>
        <w:trPr>
          <w:trHeight w:val="160"/>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7"/>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June 30, 2023 and December 31, 2022</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77"/>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44"/>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June 30, 2023 and December 31, 2022</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77"/>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June 30, 2023 and December 31, 2022</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358"/>
        </w:trPr>
        <w:tc>
          <w:tcPr>
            <w:tcW w:w="5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19,544,777 issued and</w:t>
            </w: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144"/>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June 30, 2023, 20,000,753 issued and outstanding as of December 31, 2022</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19,545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20" w:type="dxa"/>
            <w:vAlign w:val="bottom"/>
            <w:shd w:val="clear" w:color="auto" w:fill="CCEEFF"/>
          </w:tcPr>
          <w:p>
            <w:pPr>
              <w:spacing w:after="0"/>
              <w:rPr>
                <w:sz w:val="12"/>
                <w:szCs w:val="12"/>
                <w:color w:val="auto"/>
              </w:rPr>
            </w:pPr>
          </w:p>
        </w:tc>
      </w:tr>
      <w:tr>
        <w:trPr>
          <w:trHeight w:val="177"/>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240" w:type="dxa"/>
            <w:vAlign w:val="bottom"/>
          </w:tcPr>
          <w:p>
            <w:pPr>
              <w:spacing w:after="0"/>
              <w:rPr>
                <w:sz w:val="20"/>
                <w:szCs w:val="20"/>
                <w:color w:val="auto"/>
              </w:rPr>
            </w:pPr>
            <w:r>
              <w:rPr>
                <w:rFonts w:ascii="Arial" w:cs="Arial" w:eastAsia="Arial" w:hAnsi="Arial"/>
                <w:sz w:val="11"/>
                <w:szCs w:val="11"/>
                <w:color w:val="auto"/>
              </w:rPr>
              <w:t>outstanding as of June 30, 2023 and December 31, 2022</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305,547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(95,088)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1"/>
                <w:szCs w:val="11"/>
                <w:color w:val="auto"/>
              </w:rPr>
              <w:t>(104,104)</w:t>
            </w:r>
          </w:p>
        </w:tc>
      </w:tr>
      <w:tr>
        <w:trPr>
          <w:trHeight w:val="149"/>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(46,319)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(44,751)</w:t>
            </w:r>
          </w:p>
        </w:tc>
      </w:tr>
      <w:tr>
        <w:trPr>
          <w:trHeight w:val="151"/>
        </w:trPr>
        <w:tc>
          <w:tcPr>
            <w:tcW w:w="5240" w:type="dxa"/>
            <w:vAlign w:val="bottom"/>
            <w:tcBorders>
              <w:top w:val="single" w:sz="8" w:color="CCEEFF"/>
              <w:bottom w:val="single" w:sz="8" w:color="CCEEFF"/>
            </w:tcBorders>
          </w:tcPr>
          <w:p>
            <w:pPr>
              <w:ind w:left="100"/>
              <w:spacing w:after="0"/>
              <w:rPr>
                <w:sz w:val="20"/>
                <w:szCs w:val="20"/>
                <w:color w:val="auto"/>
              </w:rPr>
            </w:pPr>
            <w:r>
              <w:rPr>
                <w:rFonts w:ascii="Arial" w:cs="Arial" w:eastAsia="Arial" w:hAnsi="Arial"/>
                <w:sz w:val="11"/>
                <w:szCs w:val="11"/>
                <w:color w:val="auto"/>
              </w:rPr>
              <w:t>Total stockholders' equity</w:t>
            </w: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183,685</w:t>
            </w:r>
          </w:p>
        </w:tc>
        <w:tc>
          <w:tcPr>
            <w:tcW w:w="40" w:type="dxa"/>
            <w:vAlign w:val="bottom"/>
            <w:tcBorders>
              <w:top w:val="single" w:sz="8" w:color="CCEEFF"/>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182,428</w:t>
            </w:r>
          </w:p>
        </w:tc>
        <w:tc>
          <w:tcPr>
            <w:tcW w:w="20" w:type="dxa"/>
            <w:vAlign w:val="bottom"/>
            <w:tcBorders>
              <w:top w:val="single" w:sz="8" w:color="CCEEFF"/>
            </w:tcBorders>
          </w:tcPr>
          <w:p>
            <w:pPr>
              <w:spacing w:after="0"/>
              <w:rPr>
                <w:sz w:val="13"/>
                <w:szCs w:val="13"/>
                <w:color w:val="auto"/>
              </w:rPr>
            </w:pPr>
          </w:p>
        </w:tc>
      </w:tr>
      <w:tr>
        <w:trPr>
          <w:trHeight w:val="16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2,225,914</w:t>
            </w:r>
          </w:p>
        </w:tc>
        <w:tc>
          <w:tcPr>
            <w:tcW w:w="60" w:type="dxa"/>
            <w:vAlign w:val="bottom"/>
            <w:gridSpan w:val="2"/>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7"/>
          </w:tcPr>
          <w:p>
            <w:pPr>
              <w:ind w:left="20"/>
              <w:spacing w:after="0"/>
              <w:rPr>
                <w:sz w:val="20"/>
                <w:szCs w:val="20"/>
                <w:color w:val="auto"/>
              </w:rPr>
            </w:pPr>
            <w:r>
              <w:rPr>
                <w:rFonts w:ascii="Arial" w:cs="Arial" w:eastAsia="Arial" w:hAnsi="Arial"/>
                <w:sz w:val="11"/>
                <w:szCs w:val="11"/>
                <w:b w:val="1"/>
                <w:bCs w:val="1"/>
                <w:color w:val="auto"/>
              </w:rPr>
              <w:t>Three Months Ended June 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right"/>
              <w:ind w:right="143"/>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42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r>
      <w:tr>
        <w:trPr>
          <w:trHeight w:val="151"/>
        </w:trPr>
        <w:tc>
          <w:tcPr>
            <w:tcW w:w="34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342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20,847</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14,053</w:t>
            </w:r>
          </w:p>
        </w:tc>
        <w:tc>
          <w:tcPr>
            <w:tcW w:w="4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40,558</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27,035</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4,839</w:t>
            </w:r>
          </w:p>
        </w:tc>
      </w:tr>
      <w:tr>
        <w:trPr>
          <w:trHeight w:val="171"/>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1,051</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r>
      <w:tr>
        <w:trPr>
          <w:trHeight w:val="151"/>
        </w:trPr>
        <w:tc>
          <w:tcPr>
            <w:tcW w:w="3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24,280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16,684</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32,026</w:t>
            </w:r>
          </w:p>
        </w:tc>
      </w:tr>
      <w:tr>
        <w:trPr>
          <w:trHeight w:val="171"/>
        </w:trPr>
        <w:tc>
          <w:tcPr>
            <w:tcW w:w="342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71"/>
        </w:trPr>
        <w:tc>
          <w:tcPr>
            <w:tcW w:w="342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6,968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11,753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1,166</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r>
      <w:tr>
        <w:trPr>
          <w:trHeight w:val="171"/>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794</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w:t>
            </w:r>
          </w:p>
        </w:tc>
      </w:tr>
      <w:tr>
        <w:trPr>
          <w:trHeight w:val="151"/>
        </w:trPr>
        <w:tc>
          <w:tcPr>
            <w:tcW w:w="3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10,107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1,042</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16,489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2,005</w:t>
            </w:r>
          </w:p>
        </w:tc>
      </w:tr>
      <w:tr>
        <w:trPr>
          <w:trHeight w:val="151"/>
        </w:trPr>
        <w:tc>
          <w:tcPr>
            <w:tcW w:w="342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14,173</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15,642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30,170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30,021</w:t>
            </w:r>
          </w:p>
        </w:tc>
      </w:tr>
      <w:tr>
        <w:trPr>
          <w:trHeight w:val="15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w:t>
            </w:r>
          </w:p>
        </w:tc>
      </w:tr>
      <w:tr>
        <w:trPr>
          <w:trHeight w:val="151"/>
        </w:trPr>
        <w:tc>
          <w:tcPr>
            <w:tcW w:w="3420" w:type="dxa"/>
            <w:vAlign w:val="bottom"/>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14,135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14,937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29,931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29,316</w:t>
            </w:r>
          </w:p>
        </w:tc>
      </w:tr>
      <w:tr>
        <w:trPr>
          <w:trHeight w:val="171"/>
        </w:trPr>
        <w:tc>
          <w:tcPr>
            <w:tcW w:w="34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1"/>
        </w:trPr>
        <w:tc>
          <w:tcPr>
            <w:tcW w:w="342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1,173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2,378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1,983</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r>
      <w:tr>
        <w:trPr>
          <w:trHeight w:val="171"/>
        </w:trPr>
        <w:tc>
          <w:tcPr>
            <w:tcW w:w="342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356</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r>
      <w:tr>
        <w:trPr>
          <w:trHeight w:val="171"/>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579</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1,118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1,044</w:t>
            </w:r>
          </w:p>
        </w:tc>
      </w:tr>
      <w:tr>
        <w:trPr>
          <w:trHeight w:val="151"/>
        </w:trPr>
        <w:tc>
          <w:tcPr>
            <w:tcW w:w="3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3,562</w:t>
            </w:r>
          </w:p>
        </w:tc>
      </w:tr>
      <w:tr>
        <w:trPr>
          <w:trHeight w:val="171"/>
        </w:trPr>
        <w:tc>
          <w:tcPr>
            <w:tcW w:w="342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11,788</w:t>
            </w:r>
          </w:p>
        </w:tc>
      </w:tr>
      <w:tr>
        <w:trPr>
          <w:trHeight w:val="171"/>
        </w:trPr>
        <w:tc>
          <w:tcPr>
            <w:tcW w:w="342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1,319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2,521</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w:t>
            </w:r>
          </w:p>
        </w:tc>
      </w:tr>
      <w:tr>
        <w:trPr>
          <w:trHeight w:val="171"/>
        </w:trPr>
        <w:tc>
          <w:tcPr>
            <w:tcW w:w="342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915</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w:t>
            </w:r>
          </w:p>
        </w:tc>
      </w:tr>
      <w:tr>
        <w:trPr>
          <w:trHeight w:val="171"/>
        </w:trPr>
        <w:tc>
          <w:tcPr>
            <w:tcW w:w="34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1,908</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2,665</w:t>
            </w:r>
          </w:p>
        </w:tc>
      </w:tr>
      <w:tr>
        <w:trPr>
          <w:trHeight w:val="151"/>
        </w:trPr>
        <w:tc>
          <w:tcPr>
            <w:tcW w:w="342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9,551</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20,628</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19,163</w:t>
            </w:r>
          </w:p>
        </w:tc>
      </w:tr>
      <w:tr>
        <w:trPr>
          <w:trHeight w:val="151"/>
        </w:trPr>
        <w:tc>
          <w:tcPr>
            <w:tcW w:w="3420" w:type="dxa"/>
            <w:vAlign w:val="bottom"/>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5,529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7,003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13,219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13,715</w:t>
            </w:r>
          </w:p>
        </w:tc>
      </w:tr>
      <w:tr>
        <w:trPr>
          <w:trHeight w:val="171"/>
        </w:trPr>
        <w:tc>
          <w:tcPr>
            <w:tcW w:w="34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3,214</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3,566</w:t>
            </w:r>
          </w:p>
        </w:tc>
      </w:tr>
      <w:tr>
        <w:trPr>
          <w:trHeight w:val="201"/>
        </w:trPr>
        <w:tc>
          <w:tcPr>
            <w:tcW w:w="342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4,196</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5,295</w:t>
            </w:r>
          </w:p>
        </w:tc>
        <w:tc>
          <w:tcPr>
            <w:tcW w:w="4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10,005</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10,149</w:t>
            </w:r>
          </w:p>
        </w:tc>
      </w:tr>
      <w:tr>
        <w:trPr>
          <w:trHeight w:val="111"/>
        </w:trPr>
        <w:tc>
          <w:tcPr>
            <w:tcW w:w="342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r>
      <w:tr>
        <w:trPr>
          <w:trHeight w:val="171"/>
        </w:trPr>
        <w:tc>
          <w:tcPr>
            <w:tcW w:w="342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40" w:type="dxa"/>
            <w:vAlign w:val="bottom"/>
            <w:gridSpan w:val="2"/>
          </w:tcPr>
          <w:p>
            <w:pPr>
              <w:jc w:val="right"/>
              <w:ind w:right="60"/>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0.21</w:t>
            </w:r>
          </w:p>
        </w:tc>
        <w:tc>
          <w:tcPr>
            <w:tcW w:w="180" w:type="dxa"/>
            <w:vAlign w:val="bottom"/>
            <w:gridSpan w:val="4"/>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0.26</w:t>
            </w:r>
          </w:p>
        </w:tc>
        <w:tc>
          <w:tcPr>
            <w:tcW w:w="40" w:type="dxa"/>
            <w:vAlign w:val="bottom"/>
          </w:tcPr>
          <w:p>
            <w:pPr>
              <w:spacing w:after="0"/>
              <w:rPr>
                <w:sz w:val="14"/>
                <w:szCs w:val="1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0.51</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0.51</w:t>
            </w:r>
          </w:p>
        </w:tc>
      </w:tr>
      <w:tr>
        <w:trPr>
          <w:trHeight w:val="171"/>
        </w:trPr>
        <w:tc>
          <w:tcPr>
            <w:tcW w:w="34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0.51</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0.50</w:t>
            </w:r>
          </w:p>
        </w:tc>
      </w:tr>
      <w:tr>
        <w:trPr>
          <w:trHeight w:val="171"/>
        </w:trPr>
        <w:tc>
          <w:tcPr>
            <w:tcW w:w="3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55"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jc w:val="right"/>
              <w:ind w:right="123"/>
              <w:spacing w:after="0"/>
              <w:rPr>
                <w:sz w:val="20"/>
                <w:szCs w:val="20"/>
                <w:color w:val="auto"/>
              </w:rPr>
            </w:pPr>
            <w:r>
              <w:rPr>
                <w:rFonts w:ascii="Arial" w:cs="Arial" w:eastAsia="Arial" w:hAnsi="Arial"/>
                <w:sz w:val="11"/>
                <w:szCs w:val="11"/>
                <w:b w:val="1"/>
                <w:bCs w:val="1"/>
                <w:color w:val="auto"/>
              </w:rPr>
              <w:t>Three Months Ended June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jc w:val="right"/>
              <w:ind w:right="220"/>
              <w:spacing w:after="0"/>
              <w:rPr>
                <w:sz w:val="20"/>
                <w:szCs w:val="20"/>
                <w:color w:val="auto"/>
              </w:rPr>
            </w:pPr>
            <w:r>
              <w:rPr>
                <w:rFonts w:ascii="Arial" w:cs="Arial" w:eastAsia="Arial" w:hAnsi="Arial"/>
                <w:sz w:val="11"/>
                <w:szCs w:val="11"/>
                <w:b w:val="1"/>
                <w:bCs w:val="1"/>
                <w:color w:val="auto"/>
              </w:rPr>
              <w:t>Six Months Ended June 30,</w:t>
            </w:r>
          </w:p>
        </w:tc>
      </w:tr>
      <w:tr>
        <w:trPr>
          <w:trHeight w:val="151"/>
        </w:trPr>
        <w:tc>
          <w:tcPr>
            <w:tcW w:w="38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2023</w:t>
            </w: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r>
      <w:tr>
        <w:trPr>
          <w:trHeight w:val="151"/>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5,295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10,005</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10,149</w:t>
            </w:r>
          </w:p>
        </w:tc>
        <w:tc>
          <w:tcPr>
            <w:tcW w:w="20" w:type="dxa"/>
            <w:vAlign w:val="bottom"/>
            <w:shd w:val="clear" w:color="auto" w:fill="CCEEFF"/>
          </w:tcPr>
          <w:p>
            <w:pPr>
              <w:spacing w:after="0"/>
              <w:rPr>
                <w:sz w:val="13"/>
                <w:szCs w:val="13"/>
                <w:color w:val="auto"/>
              </w:rPr>
            </w:pPr>
          </w:p>
        </w:tc>
      </w:tr>
      <w:tr>
        <w:trPr>
          <w:trHeight w:val="160"/>
        </w:trPr>
        <w:tc>
          <w:tcPr>
            <w:tcW w:w="382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Unrealized loss on investment securities</w:t>
            </w:r>
          </w:p>
        </w:tc>
        <w:tc>
          <w:tcPr>
            <w:tcW w:w="10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(6,825)</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(23,253)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(3,287)</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(45,898)</w:t>
            </w:r>
          </w:p>
        </w:tc>
      </w:tr>
      <w:tr>
        <w:trPr>
          <w:trHeight w:val="166"/>
        </w:trPr>
        <w:tc>
          <w:tcPr>
            <w:tcW w:w="3820" w:type="dxa"/>
            <w:vAlign w:val="bottom"/>
          </w:tcPr>
          <w:p>
            <w:pPr>
              <w:ind w:left="100"/>
              <w:spacing w:after="0"/>
              <w:rPr>
                <w:sz w:val="20"/>
                <w:szCs w:val="20"/>
                <w:color w:val="auto"/>
              </w:rPr>
            </w:pPr>
            <w:r>
              <w:rPr>
                <w:rFonts w:ascii="Arial" w:cs="Arial" w:eastAsia="Arial" w:hAnsi="Arial"/>
                <w:sz w:val="11"/>
                <w:szCs w:val="11"/>
                <w:color w:val="auto"/>
              </w:rPr>
              <w:t>Amortization of net unrealized (loss) gain on securities transferred from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3820" w:type="dxa"/>
            <w:vAlign w:val="bottom"/>
          </w:tcPr>
          <w:p>
            <w:pPr>
              <w:ind w:left="100"/>
              <w:spacing w:after="0"/>
              <w:rPr>
                <w:sz w:val="20"/>
                <w:szCs w:val="20"/>
                <w:color w:val="auto"/>
              </w:rPr>
            </w:pPr>
            <w:r>
              <w:rPr>
                <w:rFonts w:ascii="Arial" w:cs="Arial" w:eastAsia="Arial" w:hAnsi="Arial"/>
                <w:sz w:val="11"/>
                <w:szCs w:val="11"/>
                <w:color w:val="auto"/>
              </w:rPr>
              <w:t>available-for-sale to held-to-maturity</w:t>
            </w:r>
          </w:p>
        </w:tc>
        <w:tc>
          <w:tcPr>
            <w:tcW w:w="100" w:type="dxa"/>
            <w:vAlign w:val="bottom"/>
          </w:tcPr>
          <w:p>
            <w:pPr>
              <w:spacing w:after="0"/>
              <w:rPr>
                <w:sz w:val="12"/>
                <w:szCs w:val="12"/>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60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120</w:t>
            </w:r>
          </w:p>
        </w:tc>
        <w:tc>
          <w:tcPr>
            <w:tcW w:w="20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(126)</w:t>
            </w:r>
          </w:p>
        </w:tc>
      </w:tr>
      <w:tr>
        <w:trPr>
          <w:trHeight w:val="160"/>
        </w:trPr>
        <w:tc>
          <w:tcPr>
            <w:tcW w:w="38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loss (gain) included in net income</w:t>
            </w:r>
          </w:p>
        </w:tc>
        <w:tc>
          <w:tcPr>
            <w:tcW w:w="10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21</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w:t>
            </w:r>
          </w:p>
        </w:tc>
      </w:tr>
      <w:tr>
        <w:trPr>
          <w:trHeight w:val="160"/>
        </w:trPr>
        <w:tc>
          <w:tcPr>
            <w:tcW w:w="3820" w:type="dxa"/>
            <w:vAlign w:val="bottom"/>
          </w:tcPr>
          <w:p>
            <w:pPr>
              <w:ind w:left="100"/>
              <w:spacing w:after="0"/>
              <w:rPr>
                <w:sz w:val="20"/>
                <w:szCs w:val="20"/>
                <w:color w:val="auto"/>
              </w:rPr>
            </w:pPr>
            <w:r>
              <w:rPr>
                <w:rFonts w:ascii="Arial" w:cs="Arial" w:eastAsia="Arial" w:hAnsi="Arial"/>
                <w:sz w:val="11"/>
                <w:szCs w:val="11"/>
                <w:color w:val="auto"/>
              </w:rPr>
              <w:t>Unrealized gain on cash flow hedge</w:t>
            </w:r>
          </w:p>
        </w:tc>
        <w:tc>
          <w:tcPr>
            <w:tcW w:w="10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1"/>
                <w:szCs w:val="11"/>
                <w:color w:val="auto"/>
              </w:rPr>
              <w:t>1,046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1,046</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49"/>
        </w:trPr>
        <w:tc>
          <w:tcPr>
            <w:tcW w:w="382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Tax effect</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1,444</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5,908</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532</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11,697</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3820" w:type="dxa"/>
            <w:vAlign w:val="bottom"/>
          </w:tcPr>
          <w:p>
            <w:pPr>
              <w:spacing w:after="0"/>
              <w:rPr>
                <w:sz w:val="20"/>
                <w:szCs w:val="20"/>
                <w:color w:val="auto"/>
              </w:rPr>
            </w:pPr>
            <w:r>
              <w:rPr>
                <w:rFonts w:ascii="Arial" w:cs="Arial" w:eastAsia="Arial" w:hAnsi="Arial"/>
                <w:sz w:val="11"/>
                <w:szCs w:val="11"/>
                <w:color w:val="auto"/>
              </w:rPr>
              <w:t>Total other comprehensive income (loss), net of tax</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(4,254)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(17,403)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(1,568)</w:t>
            </w:r>
          </w:p>
        </w:tc>
        <w:tc>
          <w:tcPr>
            <w:tcW w:w="2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(34,345)</w:t>
            </w:r>
          </w:p>
        </w:tc>
      </w:tr>
      <w:tr>
        <w:trPr>
          <w:trHeight w:val="20"/>
        </w:trPr>
        <w:tc>
          <w:tcPr>
            <w:tcW w:w="38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(12,108)</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8,437</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(24,196)</w:t>
            </w: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5505" cy="10521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550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(Dollars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8"/>
              </w:rPr>
              <w:t>Additional Paid-in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6"/>
          </w:tcPr>
          <w:p>
            <w:pPr>
              <w:jc w:val="center"/>
              <w:spacing w:after="0"/>
              <w:rPr>
                <w:sz w:val="20"/>
                <w:szCs w:val="20"/>
                <w:color w:val="auto"/>
              </w:rPr>
            </w:pPr>
            <w:r>
              <w:rPr>
                <w:rFonts w:ascii="Arial" w:cs="Arial" w:eastAsia="Arial" w:hAnsi="Arial"/>
                <w:sz w:val="11"/>
                <w:szCs w:val="11"/>
                <w:b w:val="1"/>
                <w:bCs w:val="1"/>
                <w:color w:val="auto"/>
                <w:w w:val="96"/>
              </w:rPr>
              <w:t>Accumulated Other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8"/>
              </w:rPr>
              <w:t>Capital on Common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9"/>
              </w:rPr>
              <w:t>Comprehensive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900" w:type="dxa"/>
            <w:vAlign w:val="bottom"/>
          </w:tcPr>
          <w:p>
            <w:pPr>
              <w:jc w:val="right"/>
              <w:ind w:right="226"/>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Stock</w:t>
            </w:r>
          </w:p>
        </w:tc>
        <w:tc>
          <w:tcPr>
            <w:tcW w:w="1100" w:type="dxa"/>
            <w:vAlign w:val="bottom"/>
            <w:gridSpan w:val="6"/>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3840" w:type="dxa"/>
            <w:vAlign w:val="bottom"/>
            <w:tcBorders>
              <w:top w:val="single" w:sz="8" w:color="CCEEFF"/>
            </w:tcBorders>
            <w:gridSpan w:val="2"/>
            <w:shd w:val="clear" w:color="auto" w:fill="CCEEFF"/>
          </w:tcPr>
          <w:p>
            <w:pPr>
              <w:spacing w:after="0" w:line="119" w:lineRule="exact"/>
              <w:rPr>
                <w:sz w:val="20"/>
                <w:szCs w:val="20"/>
                <w:color w:val="auto"/>
              </w:rPr>
            </w:pPr>
            <w:r>
              <w:rPr>
                <w:rFonts w:ascii="Arial" w:cs="Arial" w:eastAsia="Arial" w:hAnsi="Arial"/>
                <w:sz w:val="11"/>
                <w:szCs w:val="11"/>
                <w:color w:val="auto"/>
              </w:rPr>
              <w:t>Balance at April 1, 2023</w:t>
            </w:r>
          </w:p>
        </w:tc>
        <w:tc>
          <w:tcPr>
            <w:tcW w:w="92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19,622,380</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19,622</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305,921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(99,620)</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(42,065)</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183,858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Cumulative tax effect of adoption of accountingprinciple related to ASC 326</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Adjusted beginning balance after cumulativeeffect adjustment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19,622,380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305,921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(99,284)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(42,065)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184,194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4,196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Repurchase of Class A common stock</w:t>
            </w:r>
          </w:p>
        </w:tc>
        <w:tc>
          <w:tcPr>
            <w:tcW w:w="960" w:type="dxa"/>
            <w:vAlign w:val="bottom"/>
            <w:gridSpan w:val="3"/>
          </w:tcPr>
          <w:p>
            <w:pPr>
              <w:jc w:val="right"/>
              <w:ind w:right="40"/>
              <w:spacing w:after="0"/>
              <w:rPr>
                <w:sz w:val="20"/>
                <w:szCs w:val="20"/>
                <w:color w:val="auto"/>
              </w:rPr>
            </w:pPr>
            <w:r>
              <w:rPr>
                <w:rFonts w:ascii="Arial" w:cs="Arial" w:eastAsia="Arial" w:hAnsi="Arial"/>
                <w:sz w:val="11"/>
                <w:szCs w:val="11"/>
                <w:color w:val="auto"/>
              </w:rPr>
              <w:t>(77,603)</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(670)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Restricted stock issued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4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Balance at June 30, 2023</w:t>
            </w:r>
          </w:p>
        </w:tc>
        <w:tc>
          <w:tcPr>
            <w:tcW w:w="920" w:type="dxa"/>
            <w:vAlign w:val="bottom"/>
            <w:tcBorders>
              <w:bottom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19,544,777</w:t>
            </w:r>
          </w:p>
        </w:tc>
        <w:tc>
          <w:tcPr>
            <w:tcW w:w="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center"/>
              <w:ind w:right="2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19,545</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305,547</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gridSpan w:val="2"/>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(95,088)</w:t>
            </w:r>
          </w:p>
        </w:tc>
        <w:tc>
          <w:tcPr>
            <w:tcW w:w="40" w:type="dxa"/>
            <w:vAlign w:val="bottom"/>
            <w:shd w:val="clear" w:color="auto" w:fill="CCEEFF"/>
          </w:tcPr>
          <w:p>
            <w:pPr>
              <w:spacing w:after="0"/>
              <w:rPr>
                <w:sz w:val="10"/>
                <w:szCs w:val="10"/>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(46,319)</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183,685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00" w:type="dxa"/>
            <w:vAlign w:val="bottom"/>
          </w:tcPr>
          <w:p>
            <w:pPr>
              <w:spacing w:after="0"/>
              <w:rPr>
                <w:sz w:val="6"/>
                <w:szCs w:val="6"/>
                <w:color w:val="auto"/>
              </w:rPr>
            </w:pPr>
          </w:p>
        </w:tc>
        <w:tc>
          <w:tcPr>
            <w:tcW w:w="374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8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at April 1, 2022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center"/>
              <w:ind w:right="2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310,887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(119,391)</w:t>
            </w: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(19,458)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loss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(17,403)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gridSpan w:val="2"/>
          </w:tcPr>
          <w:p>
            <w:pPr>
              <w:ind w:left="10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40" w:type="dxa"/>
            <w:vAlign w:val="bottom"/>
            <w:gridSpan w:val="2"/>
          </w:tcPr>
          <w:p>
            <w:pPr>
              <w:spacing w:after="0"/>
              <w:rPr>
                <w:sz w:val="20"/>
                <w:szCs w:val="20"/>
                <w:color w:val="auto"/>
              </w:rPr>
            </w:pPr>
            <w:r>
              <w:rPr>
                <w:rFonts w:ascii="Arial" w:cs="Arial" w:eastAsia="Arial" w:hAnsi="Arial"/>
                <w:sz w:val="11"/>
                <w:szCs w:val="11"/>
                <w:color w:val="auto"/>
              </w:rPr>
              <w:t>Balance at June 30, 2022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20,000,753</w:t>
            </w:r>
          </w:p>
        </w:tc>
        <w:tc>
          <w:tcPr>
            <w:tcW w:w="40" w:type="dxa"/>
            <w:vAlign w:val="bottom"/>
          </w:tcPr>
          <w:p>
            <w:pPr>
              <w:spacing w:after="0"/>
              <w:rPr>
                <w:sz w:val="11"/>
                <w:szCs w:val="11"/>
                <w:color w:val="auto"/>
              </w:rPr>
            </w:pPr>
          </w:p>
        </w:tc>
        <w:tc>
          <w:tcPr>
            <w:tcW w:w="140" w:type="dxa"/>
            <w:vAlign w:val="bottom"/>
          </w:tcPr>
          <w:p>
            <w:pPr>
              <w:jc w:val="center"/>
              <w:ind w:right="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20,001</w:t>
            </w:r>
          </w:p>
        </w:tc>
        <w:tc>
          <w:tcPr>
            <w:tcW w:w="180" w:type="dxa"/>
            <w:vAlign w:val="bottom"/>
            <w:gridSpan w:val="2"/>
          </w:tcPr>
          <w:p>
            <w:pPr>
              <w:jc w:val="right"/>
              <w:ind w:right="8"/>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311,024</w:t>
            </w:r>
          </w:p>
        </w:tc>
        <w:tc>
          <w:tcPr>
            <w:tcW w:w="40" w:type="dxa"/>
            <w:vAlign w:val="bottom"/>
          </w:tcPr>
          <w:p>
            <w:pPr>
              <w:spacing w:after="0"/>
              <w:rPr>
                <w:sz w:val="11"/>
                <w:szCs w:val="11"/>
                <w:color w:val="auto"/>
              </w:rPr>
            </w:pPr>
          </w:p>
        </w:tc>
        <w:tc>
          <w:tcPr>
            <w:tcW w:w="14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(114,096)</w:t>
            </w:r>
          </w:p>
        </w:tc>
        <w:tc>
          <w:tcPr>
            <w:tcW w:w="40" w:type="dxa"/>
            <w:vAlign w:val="bottom"/>
          </w:tcPr>
          <w:p>
            <w:pPr>
              <w:spacing w:after="0"/>
              <w:rPr>
                <w:sz w:val="11"/>
                <w:szCs w:val="11"/>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(36,861)</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180,068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0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1"/>
                <w:szCs w:val="11"/>
                <w:b w:val="1"/>
                <w:bCs w:val="1"/>
                <w:color w:val="auto"/>
              </w:rPr>
              <w:t>Additional Paid-in</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gridSpan w:val="6"/>
          </w:tcPr>
          <w:p>
            <w:pPr>
              <w:spacing w:after="0"/>
              <w:rPr>
                <w:sz w:val="20"/>
                <w:szCs w:val="20"/>
                <w:color w:val="auto"/>
              </w:rPr>
            </w:pPr>
            <w:r>
              <w:rPr>
                <w:rFonts w:ascii="Arial" w:cs="Arial" w:eastAsia="Arial" w:hAnsi="Arial"/>
                <w:sz w:val="11"/>
                <w:szCs w:val="11"/>
                <w:b w:val="1"/>
                <w:bCs w:val="1"/>
                <w:color w:val="auto"/>
              </w:rPr>
              <w:t>Accumulated Other</w:t>
            </w:r>
          </w:p>
        </w:tc>
        <w:tc>
          <w:tcPr>
            <w:tcW w:w="160" w:type="dxa"/>
            <w:vAlign w:val="bottom"/>
          </w:tcPr>
          <w:p>
            <w:pPr>
              <w:spacing w:after="0"/>
              <w:rPr>
                <w:sz w:val="22"/>
                <w:szCs w:val="2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0"/>
                <w:szCs w:val="10"/>
                <w:color w:val="auto"/>
              </w:rPr>
            </w:pPr>
          </w:p>
        </w:tc>
        <w:tc>
          <w:tcPr>
            <w:tcW w:w="9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0"/>
                <w:szCs w:val="10"/>
                <w:color w:val="auto"/>
              </w:rPr>
            </w:pPr>
          </w:p>
        </w:tc>
        <w:tc>
          <w:tcPr>
            <w:tcW w:w="106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w w:val="98"/>
              </w:rPr>
              <w:t>Capital on Common</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6"/>
            <w:vMerge w:val="restart"/>
          </w:tcPr>
          <w:p>
            <w:pPr>
              <w:ind w:left="40"/>
              <w:spacing w:after="0"/>
              <w:rPr>
                <w:sz w:val="20"/>
                <w:szCs w:val="20"/>
                <w:color w:val="auto"/>
              </w:rPr>
            </w:pPr>
            <w:r>
              <w:rPr>
                <w:rFonts w:ascii="Arial" w:cs="Arial" w:eastAsia="Arial" w:hAnsi="Arial"/>
                <w:sz w:val="11"/>
                <w:szCs w:val="11"/>
                <w:b w:val="1"/>
                <w:bCs w:val="1"/>
                <w:color w:val="auto"/>
              </w:rPr>
              <w:t>Accumulated Deficit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spacing w:after="0" w:line="117" w:lineRule="exact"/>
              <w:rPr>
                <w:sz w:val="20"/>
                <w:szCs w:val="20"/>
                <w:color w:val="auto"/>
              </w:rPr>
            </w:pPr>
            <w:r>
              <w:rPr>
                <w:rFonts w:ascii="Arial" w:cs="Arial" w:eastAsia="Arial" w:hAnsi="Arial"/>
                <w:sz w:val="11"/>
                <w:szCs w:val="11"/>
                <w:b w:val="1"/>
                <w:bCs w:val="1"/>
                <w:color w:val="auto"/>
                <w:w w:val="99"/>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140"/>
              <w:spacing w:after="0" w:line="117"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Stock</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Loss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28"/>
        </w:trPr>
        <w:tc>
          <w:tcPr>
            <w:tcW w:w="38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Balance at January 1, 2023</w:t>
            </w:r>
          </w:p>
        </w:tc>
        <w:tc>
          <w:tcPr>
            <w:tcW w:w="92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20,000,753</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20,001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(104,104)</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1"/>
                <w:szCs w:val="11"/>
                <w:color w:val="auto"/>
                <w:w w:val="99"/>
              </w:rPr>
              <w:t>After tax cumulative effect of adoption of accountingprinciple related to ASC</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326</w:t>
            </w: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(989)</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1"/>
                <w:szCs w:val="11"/>
                <w:color w:val="auto"/>
              </w:rPr>
              <w:t>Adjusted beginning balance after cumulativeeffect adjustment</w:t>
            </w:r>
          </w:p>
        </w:tc>
        <w:tc>
          <w:tcPr>
            <w:tcW w:w="9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20,000,753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20,001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(105,093)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181,439</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10,005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10,005</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(1,568)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(1,568)</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1"/>
                <w:szCs w:val="11"/>
                <w:color w:val="auto"/>
              </w:rPr>
              <w:t>Repurchase of Class A common stock</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(577,603)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(6,036)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(6,613)</w:t>
            </w: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1"/>
                <w:szCs w:val="11"/>
                <w:color w:val="auto"/>
              </w:rPr>
              <w:t>Restricted stock issued</w:t>
            </w: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121,627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00" w:type="dxa"/>
            <w:vAlign w:val="bottom"/>
            <w:tcBorders>
              <w:bottom w:val="single" w:sz="8" w:color="CCEEFF"/>
            </w:tcBorders>
          </w:tcPr>
          <w:p>
            <w:pPr>
              <w:spacing w:after="0"/>
              <w:rPr>
                <w:sz w:val="11"/>
                <w:szCs w:val="11"/>
                <w:color w:val="auto"/>
              </w:rPr>
            </w:pPr>
          </w:p>
        </w:tc>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422</w:t>
            </w:r>
          </w:p>
        </w:tc>
        <w:tc>
          <w:tcPr>
            <w:tcW w:w="0" w:type="dxa"/>
            <w:vAlign w:val="bottom"/>
          </w:tcPr>
          <w:p>
            <w:pPr>
              <w:spacing w:after="0"/>
              <w:rPr>
                <w:sz w:val="1"/>
                <w:szCs w:val="1"/>
                <w:color w:val="auto"/>
              </w:rPr>
            </w:pPr>
          </w:p>
        </w:tc>
      </w:tr>
      <w:tr>
        <w:trPr>
          <w:trHeight w:val="117"/>
        </w:trPr>
        <w:tc>
          <w:tcPr>
            <w:tcW w:w="3840" w:type="dxa"/>
            <w:vAlign w:val="bottom"/>
            <w:gridSpan w:val="2"/>
            <w:shd w:val="clear" w:color="auto" w:fill="CCEEFF"/>
          </w:tcPr>
          <w:p>
            <w:pPr>
              <w:ind w:left="40"/>
              <w:spacing w:after="0" w:line="117" w:lineRule="exact"/>
              <w:rPr>
                <w:sz w:val="20"/>
                <w:szCs w:val="20"/>
                <w:color w:val="auto"/>
              </w:rPr>
            </w:pPr>
            <w:r>
              <w:rPr>
                <w:rFonts w:ascii="Arial" w:cs="Arial" w:eastAsia="Arial" w:hAnsi="Arial"/>
                <w:sz w:val="11"/>
                <w:szCs w:val="11"/>
                <w:color w:val="auto"/>
              </w:rPr>
              <w:t>Balance at June 30, 2023</w:t>
            </w:r>
          </w:p>
        </w:tc>
        <w:tc>
          <w:tcPr>
            <w:tcW w:w="920" w:type="dxa"/>
            <w:vAlign w:val="bottom"/>
            <w:gridSpan w:val="2"/>
            <w:shd w:val="clear" w:color="auto" w:fill="CCEEFF"/>
          </w:tcPr>
          <w:p>
            <w:pPr>
              <w:jc w:val="right"/>
              <w:ind w:right="6"/>
              <w:spacing w:after="0" w:line="117" w:lineRule="exact"/>
              <w:rPr>
                <w:sz w:val="20"/>
                <w:szCs w:val="20"/>
                <w:color w:val="auto"/>
              </w:rPr>
            </w:pPr>
            <w:r>
              <w:rPr>
                <w:rFonts w:ascii="Arial" w:cs="Arial" w:eastAsia="Arial" w:hAnsi="Arial"/>
                <w:sz w:val="11"/>
                <w:szCs w:val="11"/>
                <w:color w:val="auto"/>
              </w:rPr>
              <w:t>19,544,777</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
              <w:spacing w:after="0" w:line="117" w:lineRule="exact"/>
              <w:rPr>
                <w:sz w:val="20"/>
                <w:szCs w:val="20"/>
                <w:color w:val="auto"/>
              </w:rPr>
            </w:pPr>
            <w:r>
              <w:rPr>
                <w:rFonts w:ascii="Arial" w:cs="Arial" w:eastAsia="Arial" w:hAnsi="Arial"/>
                <w:sz w:val="11"/>
                <w:szCs w:val="11"/>
                <w:color w:val="auto"/>
              </w:rPr>
              <w:t>19,545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ind w:left="20"/>
              <w:spacing w:after="0" w:line="117"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305,547</w:t>
            </w:r>
          </w:p>
        </w:tc>
        <w:tc>
          <w:tcPr>
            <w:tcW w:w="40" w:type="dxa"/>
            <w:vAlign w:val="bottom"/>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160" w:type="dxa"/>
            <w:vAlign w:val="bottom"/>
            <w:gridSpan w:val="2"/>
            <w:shd w:val="clear" w:color="auto" w:fill="CCEEFF"/>
          </w:tcPr>
          <w:p>
            <w:pPr>
              <w:ind w:left="40"/>
              <w:spacing w:after="0" w:line="117" w:lineRule="exact"/>
              <w:rPr>
                <w:sz w:val="20"/>
                <w:szCs w:val="20"/>
                <w:color w:val="auto"/>
              </w:rPr>
            </w:pPr>
            <w:r>
              <w:rPr>
                <w:rFonts w:ascii="Arial" w:cs="Arial" w:eastAsia="Arial" w:hAnsi="Arial"/>
                <w:sz w:val="11"/>
                <w:szCs w:val="11"/>
                <w:color w:val="auto"/>
              </w:rPr>
              <w:t>$</w:t>
            </w:r>
          </w:p>
        </w:tc>
        <w:tc>
          <w:tcPr>
            <w:tcW w:w="940" w:type="dxa"/>
            <w:vAlign w:val="bottom"/>
            <w:gridSpan w:val="3"/>
            <w:shd w:val="clear" w:color="auto" w:fill="CCEEFF"/>
          </w:tcPr>
          <w:p>
            <w:pPr>
              <w:jc w:val="right"/>
              <w:spacing w:after="0" w:line="117" w:lineRule="exact"/>
              <w:rPr>
                <w:sz w:val="20"/>
                <w:szCs w:val="20"/>
                <w:color w:val="auto"/>
              </w:rPr>
            </w:pPr>
            <w:r>
              <w:rPr>
                <w:rFonts w:ascii="Arial" w:cs="Arial" w:eastAsia="Arial" w:hAnsi="Arial"/>
                <w:sz w:val="11"/>
                <w:szCs w:val="11"/>
                <w:color w:val="auto"/>
              </w:rPr>
              <w:t>(95,088)</w:t>
            </w: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ind w:left="20"/>
              <w:spacing w:after="0" w:line="117" w:lineRule="exact"/>
              <w:rPr>
                <w:sz w:val="20"/>
                <w:szCs w:val="20"/>
                <w:color w:val="auto"/>
              </w:rPr>
            </w:pPr>
            <w:r>
              <w:rPr>
                <w:rFonts w:ascii="Arial" w:cs="Arial" w:eastAsia="Arial" w:hAnsi="Arial"/>
                <w:sz w:val="11"/>
                <w:szCs w:val="11"/>
                <w:color w:val="auto"/>
                <w:w w:val="97"/>
              </w:rPr>
              <w:t>$</w:t>
            </w:r>
          </w:p>
        </w:tc>
        <w:tc>
          <w:tcPr>
            <w:tcW w:w="940" w:type="dxa"/>
            <w:vAlign w:val="bottom"/>
            <w:gridSpan w:val="4"/>
            <w:shd w:val="clear" w:color="auto" w:fill="CCEEFF"/>
          </w:tcPr>
          <w:p>
            <w:pPr>
              <w:jc w:val="right"/>
              <w:spacing w:after="0" w:line="117" w:lineRule="exact"/>
              <w:rPr>
                <w:sz w:val="20"/>
                <w:szCs w:val="20"/>
                <w:color w:val="auto"/>
              </w:rPr>
            </w:pPr>
            <w:r>
              <w:rPr>
                <w:rFonts w:ascii="Arial" w:cs="Arial" w:eastAsia="Arial" w:hAnsi="Arial"/>
                <w:sz w:val="11"/>
                <w:szCs w:val="11"/>
                <w:color w:val="auto"/>
              </w:rPr>
              <w:t>(46,319)</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26"/>
              <w:spacing w:after="0" w:line="117" w:lineRule="exact"/>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jc w:val="right"/>
              <w:ind w:right="60"/>
              <w:spacing w:after="0" w:line="117" w:lineRule="exact"/>
              <w:rPr>
                <w:sz w:val="20"/>
                <w:szCs w:val="20"/>
                <w:color w:val="auto"/>
              </w:rPr>
            </w:pPr>
            <w:r>
              <w:rPr>
                <w:rFonts w:ascii="Arial" w:cs="Arial" w:eastAsia="Arial" w:hAnsi="Arial"/>
                <w:sz w:val="11"/>
                <w:szCs w:val="11"/>
                <w:color w:val="auto"/>
              </w:rPr>
              <w:t>183,685</w:t>
            </w:r>
          </w:p>
        </w:tc>
        <w:tc>
          <w:tcPr>
            <w:tcW w:w="0" w:type="dxa"/>
            <w:vAlign w:val="bottom"/>
          </w:tcPr>
          <w:p>
            <w:pPr>
              <w:spacing w:after="0"/>
              <w:rPr>
                <w:sz w:val="1"/>
                <w:szCs w:val="1"/>
                <w:color w:val="auto"/>
              </w:rPr>
            </w:pPr>
          </w:p>
        </w:tc>
      </w:tr>
      <w:tr>
        <w:trPr>
          <w:trHeight w:val="20"/>
        </w:trPr>
        <w:tc>
          <w:tcPr>
            <w:tcW w:w="384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84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4"/>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Balance at January 1, 2022</w:t>
            </w: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19,991,753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19,992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(124,245)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10,149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10,149</w:t>
            </w:r>
          </w:p>
        </w:tc>
        <w:tc>
          <w:tcPr>
            <w:tcW w:w="0" w:type="dxa"/>
            <w:vAlign w:val="bottom"/>
          </w:tcPr>
          <w:p>
            <w:pPr>
              <w:spacing w:after="0"/>
              <w:rPr>
                <w:sz w:val="1"/>
                <w:szCs w:val="1"/>
                <w:color w:val="auto"/>
              </w:rPr>
            </w:pPr>
          </w:p>
        </w:tc>
      </w:tr>
      <w:tr>
        <w:trPr>
          <w:trHeight w:val="139"/>
        </w:trPr>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comprehensive loss</w:t>
            </w: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(34,345)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(34,345)</w:t>
            </w: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740" w:type="dxa"/>
            <w:vAlign w:val="bottom"/>
          </w:tcPr>
          <w:p>
            <w:pPr>
              <w:ind w:left="40"/>
              <w:spacing w:after="0"/>
              <w:rPr>
                <w:sz w:val="20"/>
                <w:szCs w:val="20"/>
                <w:color w:val="auto"/>
              </w:rPr>
            </w:pPr>
            <w:r>
              <w:rPr>
                <w:rFonts w:ascii="Arial" w:cs="Arial" w:eastAsia="Arial" w:hAnsi="Arial"/>
                <w:sz w:val="11"/>
                <w:szCs w:val="11"/>
                <w:color w:val="auto"/>
              </w:rPr>
              <w:t>Exercise of stock options</w:t>
            </w:r>
          </w:p>
        </w:tc>
        <w:tc>
          <w:tcPr>
            <w:tcW w:w="920" w:type="dxa"/>
            <w:vAlign w:val="bottom"/>
            <w:gridSpan w:val="2"/>
          </w:tcPr>
          <w:p>
            <w:pPr>
              <w:jc w:val="right"/>
              <w:ind w:right="26"/>
              <w:spacing w:after="0"/>
              <w:rPr>
                <w:sz w:val="20"/>
                <w:szCs w:val="20"/>
                <w:color w:val="auto"/>
              </w:rPr>
            </w:pPr>
            <w:r>
              <w:rPr>
                <w:rFonts w:ascii="Arial" w:cs="Arial" w:eastAsia="Arial" w:hAnsi="Arial"/>
                <w:sz w:val="11"/>
                <w:szCs w:val="11"/>
                <w:color w:val="auto"/>
              </w:rPr>
              <w:t>9,000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28"/>
        </w:trPr>
        <w:tc>
          <w:tcPr>
            <w:tcW w:w="100" w:type="dxa"/>
            <w:vAlign w:val="bottom"/>
            <w:shd w:val="clear" w:color="auto" w:fill="CCEEFF"/>
          </w:tcPr>
          <w:p>
            <w:pPr>
              <w:spacing w:after="0"/>
              <w:rPr>
                <w:sz w:val="11"/>
                <w:szCs w:val="11"/>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1"/>
                <w:szCs w:val="11"/>
                <w:color w:val="auto"/>
              </w:rPr>
              <w:t>Stock-based compensation</w:t>
            </w:r>
          </w:p>
        </w:tc>
        <w:tc>
          <w:tcPr>
            <w:tcW w:w="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4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265</w:t>
            </w:r>
          </w:p>
        </w:tc>
        <w:tc>
          <w:tcPr>
            <w:tcW w:w="0" w:type="dxa"/>
            <w:vAlign w:val="bottom"/>
          </w:tcPr>
          <w:p>
            <w:pPr>
              <w:spacing w:after="0"/>
              <w:rPr>
                <w:sz w:val="1"/>
                <w:szCs w:val="1"/>
                <w:color w:val="auto"/>
              </w:rPr>
            </w:pPr>
          </w:p>
        </w:tc>
      </w:tr>
      <w:tr>
        <w:trPr>
          <w:trHeight w:val="119"/>
        </w:trPr>
        <w:tc>
          <w:tcPr>
            <w:tcW w:w="3840" w:type="dxa"/>
            <w:vAlign w:val="bottom"/>
            <w:gridSpan w:val="2"/>
          </w:tcPr>
          <w:p>
            <w:pPr>
              <w:ind w:left="40"/>
              <w:spacing w:after="0" w:line="119" w:lineRule="exact"/>
              <w:rPr>
                <w:sz w:val="20"/>
                <w:szCs w:val="20"/>
                <w:color w:val="auto"/>
              </w:rPr>
            </w:pPr>
            <w:r>
              <w:rPr>
                <w:rFonts w:ascii="Arial" w:cs="Arial" w:eastAsia="Arial" w:hAnsi="Arial"/>
                <w:sz w:val="11"/>
                <w:szCs w:val="11"/>
                <w:color w:val="auto"/>
              </w:rPr>
              <w:t>Balance at June 30, 2022</w:t>
            </w:r>
          </w:p>
        </w:tc>
        <w:tc>
          <w:tcPr>
            <w:tcW w:w="920" w:type="dxa"/>
            <w:vAlign w:val="bottom"/>
            <w:gridSpan w:val="2"/>
          </w:tcPr>
          <w:p>
            <w:pPr>
              <w:jc w:val="right"/>
              <w:ind w:right="6"/>
              <w:spacing w:after="0" w:line="119" w:lineRule="exact"/>
              <w:rPr>
                <w:sz w:val="20"/>
                <w:szCs w:val="20"/>
                <w:color w:val="auto"/>
              </w:rPr>
            </w:pPr>
            <w:r>
              <w:rPr>
                <w:rFonts w:ascii="Arial" w:cs="Arial" w:eastAsia="Arial" w:hAnsi="Arial"/>
                <w:sz w:val="11"/>
                <w:szCs w:val="11"/>
                <w:color w:val="auto"/>
              </w:rPr>
              <w:t>20,000,753</w:t>
            </w:r>
          </w:p>
        </w:tc>
        <w:tc>
          <w:tcPr>
            <w:tcW w:w="40" w:type="dxa"/>
            <w:vAlign w:val="bottom"/>
          </w:tcPr>
          <w:p>
            <w:pPr>
              <w:spacing w:after="0"/>
              <w:rPr>
                <w:sz w:val="10"/>
                <w:szCs w:val="10"/>
                <w:color w:val="auto"/>
              </w:rPr>
            </w:pPr>
          </w:p>
        </w:tc>
        <w:tc>
          <w:tcPr>
            <w:tcW w:w="14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6"/>
              <w:spacing w:after="0" w:line="119" w:lineRule="exact"/>
              <w:rPr>
                <w:sz w:val="20"/>
                <w:szCs w:val="20"/>
                <w:color w:val="auto"/>
              </w:rPr>
            </w:pPr>
            <w:r>
              <w:rPr>
                <w:rFonts w:ascii="Arial" w:cs="Arial" w:eastAsia="Arial" w:hAnsi="Arial"/>
                <w:sz w:val="11"/>
                <w:szCs w:val="11"/>
                <w:color w:val="auto"/>
              </w:rPr>
              <w:t>20,001</w:t>
            </w:r>
          </w:p>
        </w:tc>
        <w:tc>
          <w:tcPr>
            <w:tcW w:w="180" w:type="dxa"/>
            <w:vAlign w:val="bottom"/>
            <w:gridSpan w:val="2"/>
          </w:tcPr>
          <w:p>
            <w:pPr>
              <w:ind w:left="80"/>
              <w:spacing w:after="0" w:line="119"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311,024</w:t>
            </w:r>
          </w:p>
        </w:tc>
        <w:tc>
          <w:tcPr>
            <w:tcW w:w="40" w:type="dxa"/>
            <w:vAlign w:val="bottom"/>
          </w:tcPr>
          <w:p>
            <w:pPr>
              <w:spacing w:after="0"/>
              <w:rPr>
                <w:sz w:val="10"/>
                <w:szCs w:val="10"/>
                <w:color w:val="auto"/>
              </w:rPr>
            </w:pPr>
          </w:p>
        </w:tc>
        <w:tc>
          <w:tcPr>
            <w:tcW w:w="220" w:type="dxa"/>
            <w:vAlign w:val="bottom"/>
            <w:gridSpan w:val="4"/>
          </w:tcPr>
          <w:p>
            <w:pPr>
              <w:ind w:left="100"/>
              <w:spacing w:after="0" w:line="119" w:lineRule="exact"/>
              <w:rPr>
                <w:sz w:val="20"/>
                <w:szCs w:val="20"/>
                <w:color w:val="auto"/>
              </w:rPr>
            </w:pPr>
            <w:r>
              <w:rPr>
                <w:rFonts w:ascii="Arial" w:cs="Arial" w:eastAsia="Arial" w:hAnsi="Arial"/>
                <w:sz w:val="11"/>
                <w:szCs w:val="11"/>
                <w:color w:val="auto"/>
              </w:rPr>
              <w:t>$</w:t>
            </w:r>
          </w:p>
        </w:tc>
        <w:tc>
          <w:tcPr>
            <w:tcW w:w="940" w:type="dxa"/>
            <w:vAlign w:val="bottom"/>
            <w:gridSpan w:val="3"/>
          </w:tcPr>
          <w:p>
            <w:pPr>
              <w:jc w:val="right"/>
              <w:spacing w:after="0" w:line="119" w:lineRule="exact"/>
              <w:rPr>
                <w:sz w:val="20"/>
                <w:szCs w:val="20"/>
                <w:color w:val="auto"/>
              </w:rPr>
            </w:pPr>
            <w:r>
              <w:rPr>
                <w:rFonts w:ascii="Arial" w:cs="Arial" w:eastAsia="Arial" w:hAnsi="Arial"/>
                <w:sz w:val="11"/>
                <w:szCs w:val="11"/>
                <w:color w:val="auto"/>
              </w:rPr>
              <w:t>(114,096)</w:t>
            </w:r>
          </w:p>
        </w:tc>
        <w:tc>
          <w:tcPr>
            <w:tcW w:w="60" w:type="dxa"/>
            <w:vAlign w:val="bottom"/>
          </w:tcPr>
          <w:p>
            <w:pPr>
              <w:spacing w:after="0"/>
              <w:rPr>
                <w:sz w:val="10"/>
                <w:szCs w:val="10"/>
                <w:color w:val="auto"/>
              </w:rPr>
            </w:pPr>
          </w:p>
        </w:tc>
        <w:tc>
          <w:tcPr>
            <w:tcW w:w="100" w:type="dxa"/>
            <w:vAlign w:val="bottom"/>
            <w:gridSpan w:val="2"/>
          </w:tcPr>
          <w:p>
            <w:pPr>
              <w:ind w:left="20"/>
              <w:spacing w:after="0" w:line="119" w:lineRule="exact"/>
              <w:rPr>
                <w:sz w:val="20"/>
                <w:szCs w:val="20"/>
                <w:color w:val="auto"/>
              </w:rPr>
            </w:pPr>
            <w:r>
              <w:rPr>
                <w:rFonts w:ascii="Arial" w:cs="Arial" w:eastAsia="Arial" w:hAnsi="Arial"/>
                <w:sz w:val="11"/>
                <w:szCs w:val="11"/>
                <w:color w:val="auto"/>
                <w:w w:val="97"/>
              </w:rPr>
              <w:t>$</w:t>
            </w:r>
          </w:p>
        </w:tc>
        <w:tc>
          <w:tcPr>
            <w:tcW w:w="940" w:type="dxa"/>
            <w:vAlign w:val="bottom"/>
            <w:gridSpan w:val="4"/>
          </w:tcPr>
          <w:p>
            <w:pPr>
              <w:jc w:val="right"/>
              <w:spacing w:after="0" w:line="119" w:lineRule="exact"/>
              <w:rPr>
                <w:sz w:val="20"/>
                <w:szCs w:val="20"/>
                <w:color w:val="auto"/>
              </w:rPr>
            </w:pPr>
            <w:r>
              <w:rPr>
                <w:rFonts w:ascii="Arial" w:cs="Arial" w:eastAsia="Arial" w:hAnsi="Arial"/>
                <w:sz w:val="11"/>
                <w:szCs w:val="11"/>
                <w:color w:val="auto"/>
              </w:rPr>
              <w:t>(36,861)</w:t>
            </w:r>
          </w:p>
        </w:tc>
        <w:tc>
          <w:tcPr>
            <w:tcW w:w="60" w:type="dxa"/>
            <w:vAlign w:val="bottom"/>
          </w:tcPr>
          <w:p>
            <w:pPr>
              <w:spacing w:after="0"/>
              <w:rPr>
                <w:sz w:val="10"/>
                <w:szCs w:val="10"/>
                <w:color w:val="auto"/>
              </w:rPr>
            </w:pPr>
          </w:p>
        </w:tc>
        <w:tc>
          <w:tcPr>
            <w:tcW w:w="160" w:type="dxa"/>
            <w:vAlign w:val="bottom"/>
          </w:tcPr>
          <w:p>
            <w:pPr>
              <w:jc w:val="right"/>
              <w:ind w:right="26"/>
              <w:spacing w:after="0" w:line="119" w:lineRule="exact"/>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180,068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0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10300"/>
          </w:cols>
          <w:pgMar w:left="900" w:top="481" w:right="69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1"/>
                <w:szCs w:val="11"/>
                <w:b w:val="1"/>
                <w:bCs w:val="1"/>
                <w:color w:val="auto"/>
              </w:rPr>
              <w:t>Six Months Ended June 30,</w:t>
            </w:r>
          </w:p>
        </w:tc>
        <w:tc>
          <w:tcPr>
            <w:tcW w:w="4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49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spacing w:after="0" w:line="119" w:lineRule="exact"/>
              <w:rPr>
                <w:sz w:val="20"/>
                <w:szCs w:val="20"/>
                <w:color w:val="auto"/>
              </w:rPr>
            </w:pPr>
            <w:r>
              <w:rPr>
                <w:rFonts w:ascii="Arial" w:cs="Arial" w:eastAsia="Arial" w:hAnsi="Arial"/>
                <w:sz w:val="11"/>
                <w:szCs w:val="11"/>
                <w:b w:val="1"/>
                <w:bCs w:val="1"/>
                <w:color w:val="auto"/>
              </w:rPr>
              <w:t>2022</w:t>
            </w: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Borders>
              <w:right w:val="single" w:sz="8" w:color="CCEEFF"/>
            </w:tcBorders>
            <w:gridSpan w:val="3"/>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Net income</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5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10,005</w:t>
            </w:r>
          </w:p>
        </w:tc>
        <w:tc>
          <w:tcPr>
            <w:tcW w:w="740" w:type="dxa"/>
            <w:vAlign w:val="bottom"/>
            <w:gridSpan w:val="2"/>
          </w:tcPr>
          <w:p>
            <w:pPr>
              <w:jc w:val="right"/>
              <w:ind w:right="653"/>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10,149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Adjustments to reconcile net incometo net cash provided by operating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gridSpan w:val="2"/>
          </w:tcPr>
          <w:p>
            <w:pPr>
              <w:ind w:left="100"/>
              <w:spacing w:after="0"/>
              <w:rPr>
                <w:sz w:val="20"/>
                <w:szCs w:val="20"/>
                <w:color w:val="auto"/>
              </w:rPr>
            </w:pPr>
            <w:r>
              <w:rPr>
                <w:rFonts w:ascii="Arial" w:cs="Arial" w:eastAsia="Arial" w:hAnsi="Arial"/>
                <w:sz w:val="11"/>
                <w:szCs w:val="11"/>
                <w:color w:val="auto"/>
              </w:rPr>
              <w:t>Provision for credit losses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239</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298</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gridSpan w:val="2"/>
          </w:tcPr>
          <w:p>
            <w:pPr>
              <w:ind w:left="100"/>
              <w:spacing w:after="0"/>
              <w:rPr>
                <w:sz w:val="20"/>
                <w:szCs w:val="20"/>
                <w:color w:val="auto"/>
              </w:rPr>
            </w:pPr>
            <w:r>
              <w:rPr>
                <w:rFonts w:ascii="Arial" w:cs="Arial" w:eastAsia="Arial" w:hAnsi="Arial"/>
                <w:sz w:val="11"/>
                <w:szCs w:val="11"/>
                <w:color w:val="auto"/>
              </w:rPr>
              <w:t>(Accretion) amortization of premiums onsecurities, net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Accretion of deferred loan fees,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gridSpan w:val="2"/>
          </w:tcPr>
          <w:p>
            <w:pPr>
              <w:ind w:left="100"/>
              <w:spacing w:after="0"/>
              <w:rPr>
                <w:sz w:val="20"/>
                <w:szCs w:val="20"/>
                <w:color w:val="auto"/>
              </w:rPr>
            </w:pPr>
            <w:r>
              <w:rPr>
                <w:rFonts w:ascii="Arial" w:cs="Arial" w:eastAsia="Arial" w:hAnsi="Arial"/>
                <w:sz w:val="11"/>
                <w:szCs w:val="11"/>
                <w:color w:val="auto"/>
              </w:rPr>
              <w:t>Stock-based compensation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422</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Loss (gain) on sale of available for sale securities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gridSpan w:val="2"/>
          </w:tcPr>
          <w:p>
            <w:pPr>
              <w:ind w:left="100"/>
              <w:spacing w:after="0"/>
              <w:rPr>
                <w:sz w:val="20"/>
                <w:szCs w:val="20"/>
                <w:color w:val="auto"/>
              </w:rPr>
            </w:pPr>
            <w:r>
              <w:rPr>
                <w:rFonts w:ascii="Arial" w:cs="Arial" w:eastAsia="Arial" w:hAnsi="Arial"/>
                <w:sz w:val="11"/>
                <w:szCs w:val="11"/>
                <w:color w:val="auto"/>
              </w:rPr>
              <w:t>Gain on sale of loans held for sale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(441)</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(356)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Increase in cash surrender value of bank ownedlife insurance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(538)</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(529)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gridSpan w:val="2"/>
          </w:tcPr>
          <w:p>
            <w:pPr>
              <w:ind w:left="100"/>
              <w:spacing w:after="0"/>
              <w:rPr>
                <w:sz w:val="20"/>
                <w:szCs w:val="20"/>
                <w:color w:val="auto"/>
              </w:rPr>
            </w:pPr>
            <w:r>
              <w:rPr>
                <w:rFonts w:ascii="Arial" w:cs="Arial" w:eastAsia="Arial" w:hAnsi="Arial"/>
                <w:sz w:val="11"/>
                <w:szCs w:val="11"/>
                <w:color w:val="auto"/>
              </w:rPr>
              <w:t>Decrease in deferred tax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3,214</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change in operating assets and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gridSpan w:val="2"/>
          </w:tcPr>
          <w:p>
            <w:pPr>
              <w:ind w:left="100"/>
              <w:spacing w:after="0"/>
              <w:rPr>
                <w:sz w:val="20"/>
                <w:szCs w:val="20"/>
                <w:color w:val="auto"/>
              </w:rPr>
            </w:pPr>
            <w:r>
              <w:rPr>
                <w:rFonts w:ascii="Arial" w:cs="Arial" w:eastAsia="Arial" w:hAnsi="Arial"/>
                <w:sz w:val="11"/>
                <w:szCs w:val="11"/>
                <w:color w:val="auto"/>
              </w:rPr>
              <w:t>Accrued interest receivable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(483)</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739</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(2,069)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Accrued interest and other liabilities</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7,051</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960" w:type="dxa"/>
            <w:vAlign w:val="bottom"/>
            <w:tcBorders>
              <w:right w:val="single" w:sz="8" w:color="CCEEFF"/>
            </w:tcBorders>
            <w:shd w:val="clear" w:color="auto" w:fill="CCEEFF"/>
          </w:tcPr>
          <w:p>
            <w:pPr>
              <w:ind w:left="8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20,186</w:t>
            </w: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20,105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Purchase of investment securities heldto maturity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(86,788)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(2,432)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54,873</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Purchase of investment securities availablefor sale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(7,667)</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(42,794)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7,399</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26,950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Proceeds from sales of investment securitiesavailable for sale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8,617</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31,838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increase in loans held for investment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(93,737)</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(115,607)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Purchase of loans held for investment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(700)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(70,175)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Additions to premises and equipment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Proceeds from the sale of loans held for sale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6,441</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Proceeds from the redemption of Federal HomeLoan Bank stock</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6,305</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Purchase of Federal Home Loan Bank stock</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(8,164)</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9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960" w:type="dxa"/>
            <w:vAlign w:val="bottom"/>
            <w:tcBorders>
              <w:right w:val="single" w:sz="8" w:color="CCEEFF"/>
            </w:tcBorders>
            <w:shd w:val="clear" w:color="auto" w:fill="CCEEFF"/>
          </w:tcPr>
          <w:p>
            <w:pPr>
              <w:spacing w:after="0" w:line="119" w:lineRule="exact"/>
              <w:rPr>
                <w:sz w:val="20"/>
                <w:szCs w:val="20"/>
                <w:color w:val="auto"/>
              </w:rPr>
            </w:pPr>
            <w:r>
              <w:rPr>
                <w:rFonts w:ascii="Arial" w:cs="Arial" w:eastAsia="Arial" w:hAnsi="Arial"/>
                <w:sz w:val="11"/>
                <w:szCs w:val="11"/>
                <w:color w:val="auto"/>
              </w:rPr>
              <w:t>Net cash used in investment activities</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(113,481)</w:t>
            </w:r>
          </w:p>
        </w:tc>
        <w:tc>
          <w:tcPr>
            <w:tcW w:w="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w w:val="93"/>
              </w:rPr>
              <w:t>(161,504)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Proceeds from issuance of Class A commonstock, net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Repurchase of Class A common stock</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(6,613)</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Net increase in deposits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92,020</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148,341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Proceeds from Federal Home Loan Bank advances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239,350</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Borders>
              <w:bottom w:val="single" w:sz="8" w:color="CCEEFF"/>
            </w:tcBorders>
            <w:gridSpan w:val="3"/>
          </w:tcPr>
          <w:p>
            <w:pPr>
              <w:ind w:left="80"/>
              <w:spacing w:after="0"/>
              <w:rPr>
                <w:sz w:val="20"/>
                <w:szCs w:val="20"/>
                <w:color w:val="auto"/>
              </w:rPr>
            </w:pPr>
            <w:r>
              <w:rPr>
                <w:rFonts w:ascii="Arial" w:cs="Arial" w:eastAsia="Arial" w:hAnsi="Arial"/>
                <w:sz w:val="11"/>
                <w:szCs w:val="11"/>
                <w:color w:val="auto"/>
              </w:rPr>
              <w:t>Repayments on Federal Home Loan Bank advances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(198,350)</w:t>
            </w: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960" w:type="dxa"/>
            <w:vAlign w:val="bottom"/>
            <w:tcBorders>
              <w:right w:val="single" w:sz="8" w:color="CCEEFF"/>
            </w:tcBorders>
            <w:shd w:val="clear" w:color="auto" w:fill="CCEEFF"/>
          </w:tcPr>
          <w:p>
            <w:pPr>
              <w:spacing w:after="0" w:line="117" w:lineRule="exact"/>
              <w:rPr>
                <w:sz w:val="20"/>
                <w:szCs w:val="20"/>
                <w:color w:val="auto"/>
              </w:rPr>
            </w:pPr>
            <w:r>
              <w:rPr>
                <w:rFonts w:ascii="Arial" w:cs="Arial" w:eastAsia="Arial" w:hAnsi="Arial"/>
                <w:sz w:val="11"/>
                <w:szCs w:val="11"/>
                <w:color w:val="auto"/>
              </w:rPr>
              <w:t>Net cash provided by financing activities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ind w:right="26"/>
              <w:spacing w:after="0" w:line="117" w:lineRule="exact"/>
              <w:rPr>
                <w:sz w:val="20"/>
                <w:szCs w:val="20"/>
                <w:color w:val="auto"/>
              </w:rPr>
            </w:pPr>
            <w:r>
              <w:rPr>
                <w:rFonts w:ascii="Arial" w:cs="Arial" w:eastAsia="Arial" w:hAnsi="Arial"/>
                <w:sz w:val="11"/>
                <w:szCs w:val="11"/>
                <w:color w:val="auto"/>
              </w:rPr>
              <w:t>126,407</w:t>
            </w: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178,443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4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Net increase in cash and cash equivalents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33,112</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37,044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60" w:type="dxa"/>
            <w:vAlign w:val="bottom"/>
            <w:gridSpan w:val="4"/>
          </w:tcPr>
          <w:p>
            <w:pPr>
              <w:spacing w:after="0"/>
              <w:rPr>
                <w:sz w:val="20"/>
                <w:szCs w:val="20"/>
                <w:color w:val="auto"/>
              </w:rPr>
            </w:pPr>
            <w:r>
              <w:rPr>
                <w:rFonts w:ascii="Arial" w:cs="Arial" w:eastAsia="Arial" w:hAnsi="Arial"/>
                <w:sz w:val="11"/>
                <w:szCs w:val="11"/>
                <w:color w:val="auto"/>
              </w:rPr>
              <w:t>Cash and cash equivalents at beginningof period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54,168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Borders>
              <w:top w:val="single" w:sz="8" w:color="CCEEFF"/>
              <w:right w:val="single" w:sz="8" w:color="CCEEFF"/>
            </w:tcBorders>
            <w:gridSpan w:val="3"/>
            <w:shd w:val="clear" w:color="auto" w:fill="CCEEFF"/>
          </w:tcPr>
          <w:p>
            <w:pPr>
              <w:spacing w:after="0" w:line="119" w:lineRule="exact"/>
              <w:rPr>
                <w:sz w:val="20"/>
                <w:szCs w:val="20"/>
                <w:color w:val="auto"/>
              </w:rPr>
            </w:pPr>
            <w:r>
              <w:rPr>
                <w:rFonts w:ascii="Arial" w:cs="Arial" w:eastAsia="Arial" w:hAnsi="Arial"/>
                <w:sz w:val="11"/>
                <w:szCs w:val="11"/>
                <w:color w:val="auto"/>
              </w:rPr>
              <w:t>Cash and cash equivalents at end of period</w:t>
            </w:r>
          </w:p>
        </w:tc>
        <w:tc>
          <w:tcPr>
            <w:tcW w:w="1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right w:val="single" w:sz="8" w:color="CCEEFF"/>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87,280</w:t>
            </w: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83,272</w:t>
            </w:r>
          </w:p>
        </w:tc>
        <w:tc>
          <w:tcPr>
            <w:tcW w:w="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6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524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240" w:type="dxa"/>
            <w:vAlign w:val="bottom"/>
            <w:gridSpan w:val="3"/>
          </w:tcPr>
          <w:p>
            <w:pPr>
              <w:ind w:left="80"/>
              <w:spacing w:after="0"/>
              <w:rPr>
                <w:sz w:val="20"/>
                <w:szCs w:val="20"/>
                <w:color w:val="auto"/>
              </w:rPr>
            </w:pPr>
            <w:r>
              <w:rPr>
                <w:rFonts w:ascii="Arial" w:cs="Arial" w:eastAsia="Arial" w:hAnsi="Arial"/>
                <w:sz w:val="11"/>
                <w:szCs w:val="11"/>
                <w:color w:val="auto"/>
              </w:rPr>
              <w:t>Interest paid</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580" w:type="dxa"/>
            <w:vAlign w:val="bottom"/>
          </w:tcPr>
          <w:p>
            <w:pPr>
              <w:spacing w:after="0"/>
              <w:rPr>
                <w:sz w:val="15"/>
                <w:szCs w:val="15"/>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15,535</w:t>
            </w:r>
          </w:p>
        </w:tc>
        <w:tc>
          <w:tcPr>
            <w:tcW w:w="740" w:type="dxa"/>
            <w:vAlign w:val="bottom"/>
            <w:gridSpan w:val="2"/>
          </w:tcPr>
          <w:p>
            <w:pPr>
              <w:jc w:val="right"/>
              <w:ind w:right="653"/>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240" w:type="dxa"/>
            <w:vAlign w:val="bottom"/>
            <w:tcBorders>
              <w:top w:val="single" w:sz="8" w:color="CCEEFF"/>
              <w:right w:val="single" w:sz="8" w:color="CCEEFF"/>
            </w:tcBorders>
            <w:gridSpan w:val="3"/>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40" w:type="dxa"/>
            <w:vAlign w:val="bottom"/>
            <w:gridSpan w:val="3"/>
          </w:tcPr>
          <w:p>
            <w:pPr>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Transfer of loans held for investment to loans heldfor sale</w:t>
            </w:r>
          </w:p>
        </w:tc>
        <w:tc>
          <w:tcPr>
            <w:tcW w:w="1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6,000</w:t>
            </w:r>
          </w:p>
        </w:tc>
        <w:tc>
          <w:tcPr>
            <w:tcW w:w="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3,662</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240" w:type="dxa"/>
            <w:vAlign w:val="bottom"/>
            <w:gridSpan w:val="3"/>
          </w:tcPr>
          <w:p>
            <w:pPr>
              <w:ind w:left="80"/>
              <w:spacing w:after="0" w:line="88" w:lineRule="exact"/>
              <w:rPr>
                <w:sz w:val="20"/>
                <w:szCs w:val="20"/>
                <w:color w:val="auto"/>
              </w:rPr>
            </w:pPr>
            <w:r>
              <w:rPr>
                <w:rFonts w:ascii="Arial" w:cs="Arial" w:eastAsia="Arial" w:hAnsi="Arial"/>
                <w:sz w:val="10"/>
                <w:szCs w:val="10"/>
                <w:color w:val="auto"/>
              </w:rPr>
              <w:t>Lease liability arising from obtaining right-of-useassets</w:t>
            </w:r>
          </w:p>
        </w:tc>
        <w:tc>
          <w:tcPr>
            <w:tcW w:w="120" w:type="dxa"/>
            <w:vAlign w:val="bottom"/>
          </w:tcPr>
          <w:p>
            <w:pPr>
              <w:jc w:val="right"/>
              <w:ind w:right="49"/>
              <w:spacing w:after="0"/>
              <w:rPr>
                <w:sz w:val="20"/>
                <w:szCs w:val="20"/>
                <w:color w:val="auto"/>
              </w:rPr>
            </w:pPr>
            <w:r>
              <w:rPr>
                <w:rFonts w:ascii="Arial" w:cs="Arial" w:eastAsia="Arial" w:hAnsi="Arial"/>
                <w:sz w:val="5"/>
                <w:szCs w:val="5"/>
                <w:color w:val="auto"/>
                <w:w w:val="70"/>
              </w:rPr>
              <w:t>$</w:t>
            </w:r>
          </w:p>
        </w:tc>
        <w:tc>
          <w:tcPr>
            <w:tcW w:w="580" w:type="dxa"/>
            <w:vAlign w:val="bottom"/>
          </w:tcPr>
          <w:p>
            <w:pPr>
              <w:spacing w:after="0"/>
              <w:rPr>
                <w:sz w:val="8"/>
                <w:szCs w:val="8"/>
                <w:color w:val="auto"/>
              </w:rPr>
            </w:pPr>
          </w:p>
        </w:tc>
        <w:tc>
          <w:tcPr>
            <w:tcW w:w="520" w:type="dxa"/>
            <w:vAlign w:val="bottom"/>
          </w:tcPr>
          <w:p>
            <w:pPr>
              <w:jc w:val="right"/>
              <w:ind w:right="26"/>
              <w:spacing w:after="0" w:line="87"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653"/>
              <w:spacing w:after="0" w:line="87"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87" w:lineRule="exact"/>
              <w:rPr>
                <w:sz w:val="20"/>
                <w:szCs w:val="20"/>
                <w:color w:val="auto"/>
              </w:rPr>
            </w:pPr>
            <w:r>
              <w:rPr>
                <w:rFonts w:ascii="Arial" w:cs="Arial" w:eastAsia="Arial" w:hAnsi="Arial"/>
                <w:sz w:val="10"/>
                <w:szCs w:val="10"/>
                <w:color w:val="auto"/>
              </w:rPr>
              <w:t>898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tabs>
          <w:tab w:leader="none" w:pos="840" w:val="left"/>
        </w:tabs>
        <w:rPr>
          <w:sz w:val="20"/>
          <w:szCs w:val="20"/>
          <w:color w:val="auto"/>
        </w:rPr>
      </w:pPr>
      <w:r>
        <w:rPr>
          <w:rFonts w:ascii="Arial" w:cs="Arial" w:eastAsia="Arial" w:hAnsi="Arial"/>
          <w:sz w:val="14"/>
          <w:szCs w:val="14"/>
          <w:b w:val="1"/>
          <w:bCs w:val="1"/>
          <w:color w:val="auto"/>
        </w:rPr>
        <w:t>1.</w:t>
        <w:tab/>
        <w:t>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32"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of Presentation</w:t>
      </w:r>
    </w:p>
    <w:p>
      <w:pPr>
        <w:spacing w:after="0" w:line="17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consolidated financial statements and related notes appearing in the Company’s Annual Report on Form 10-K/A for the year ended December 31, 2022.</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8" w:lineRule="exact"/>
        <w:rPr>
          <w:sz w:val="20"/>
          <w:szCs w:val="20"/>
          <w:color w:val="auto"/>
        </w:rPr>
      </w:pPr>
    </w:p>
    <w:p>
      <w:pPr>
        <w:ind w:left="660" w:right="719" w:firstLine="256"/>
        <w:spacing w:after="0" w:line="267"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estimates impacting the Company’s consolidated financial statements are the allowance for credit losses (ACL) and income taxes.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Reclassifications had no impact on the net income or stockholders’ equity of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Adoption of New Accounting Standards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Measurement of Credit Losses on Financial Instruments</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On January 1st,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It also applies to off-balance sheet credit exposures not accounted for as insurance (e.g., loan commitments, standby letters of credit, financial guarantees, and other similar instruments) and net investments in leases recognized by a lessor in accordance with Topic 842 on leases. In addition, ASC 326 amended the accounting for available-for-sale debt securities. One such change is to require credit losses to be presented as an allowance rather than as a write-down on available-for-sale debt securities, that management does not intend to sell or believes that it is more likely than not they will be required to sell.</w:t>
      </w:r>
    </w:p>
    <w:p>
      <w:pPr>
        <w:spacing w:after="0" w:line="139"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Under CECL, the Company estimates the allowance for credit losses using relevant available information, from both internal and external sources, relating to past events, current conditions, and reasonable and supportable forecasts. Historical credit losses provide the basis for estimation of expected credit losses. Qualitative adjustments are applied to the</w:t>
      </w:r>
    </w:p>
    <w:p>
      <w:pPr>
        <w:spacing w:after="0" w:line="330"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99"/>
        <w:spacing w:after="0" w:line="267" w:lineRule="auto"/>
        <w:rPr>
          <w:sz w:val="20"/>
          <w:szCs w:val="20"/>
          <w:color w:val="auto"/>
        </w:rPr>
      </w:pPr>
      <w:r>
        <w:rPr>
          <w:rFonts w:ascii="Arial" w:cs="Arial" w:eastAsia="Arial" w:hAnsi="Arial"/>
          <w:sz w:val="14"/>
          <w:szCs w:val="14"/>
          <w:color w:val="auto"/>
        </w:rPr>
        <w:t>expected credit losses estimated for the loan portfolio in relation to potential limitations of the quantitative model. A scorecard is used to aid management in the assessment of qualitative factor adjustments applied to expected credit losses.</w:t>
      </w:r>
    </w:p>
    <w:p>
      <w:pPr>
        <w:spacing w:after="0" w:line="133" w:lineRule="exact"/>
        <w:rPr>
          <w:sz w:val="20"/>
          <w:szCs w:val="20"/>
          <w:color w:val="auto"/>
        </w:rPr>
      </w:pPr>
    </w:p>
    <w:p>
      <w:pPr>
        <w:ind w:left="660" w:right="639" w:firstLine="256"/>
        <w:spacing w:after="0" w:line="246" w:lineRule="auto"/>
        <w:rPr>
          <w:sz w:val="20"/>
          <w:szCs w:val="20"/>
          <w:color w:val="auto"/>
        </w:rPr>
      </w:pPr>
      <w:r>
        <w:rPr>
          <w:rFonts w:ascii="Arial" w:cs="Arial" w:eastAsia="Arial" w:hAnsi="Arial"/>
          <w:sz w:val="14"/>
          <w:szCs w:val="14"/>
          <w:color w:val="auto"/>
        </w:rPr>
        <w:t>The quantitative component of the estimate relies on the statistical relationship between the projected value of an economic indicator and the implied historical loss experience among a curated group of peers. The Company utilized regression analyses of peer data, in which the Company was included, and where observed credit losses and selected economic factors were used to determine suitable loss drivers for modeling the lifetime rates of probability of default (PD). A loss given default rate (LGD) is assigned to each pool for each period based on these PD outcomes. The model fundamentally utilizes an expected discounted cash flow (DCF) analysis for loan portfolio segments. The DCF analysis is run at the instrument-level and incorporates an array of loan-specific data points and segment-implied assumptions to determine the lifetime expected loss attributable to each instrument. An implicit "hypothetical loss" is derived for each period of the DCF and helps establish the present value of future cash flows for each period. The reserve applied to a specific instrument is the difference between the sum of the present value of future cash flows and the book balance of the loan at the measurement date.</w:t>
      </w:r>
    </w:p>
    <w:p>
      <w:pPr>
        <w:spacing w:after="0" w:line="14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Management elected the Remaining Life (WARM)methodology for five portfolio segments. For each of these segments, a long-term average loss rate is calculated and applied on a quarterly basis for the remaining life of the pool. Adjustments for economic expectations are made through qualitative assessments. For the remaining life estimated, management implemented a software solution that uses an attrition-based calculation that performs quarterly, cohort-based attrition measurements based on the loan portfolio.</w:t>
      </w:r>
    </w:p>
    <w:p>
      <w:pPr>
        <w:spacing w:after="0" w:line="146"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At adoption of CECL, 84% or $1.3 billion of loan receivables were collectively evaluated under DCF method and 16% or $251.0 million of loan receivables were collectively evaluated under the Remaining Life method. The remaining $ 7.9 million loan receivables of the total loan portfolio were individually evaluated.</w:t>
      </w:r>
    </w:p>
    <w:p>
      <w:pPr>
        <w:spacing w:after="0" w:line="12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Portfolio segments are the level at which loss assumptions are applied to a pool of loans based on the similarity of risk characteristics inherent in the included instruments, relying on collateral codes and FFIEC Call Report codes. The Company currently segments the portfolio based on collateral codes for purpose of establishing reserves. Each of these segments is paired to regression models (Loss Driver Analyses) based on peer data for loans of similar risk characteristics. The Company has established relationships between internal segmentation and FFIEC Call Report codes for this purpose. The loss driver for each loan portfolio segment is derived from a readily available and reasonable economic forecast, including the Federal Reserve Bank projections of U.S. civilian unemployment rate and the year-over-year real GDP growth; for the residential loan segment the House Price index (“HPI”) projections published by Fannie Mae’s Economic and Strategic Research Group are utilized for the forecast. Forecasts are applied the first four quarters of the credit loss estimate and revert on a straight-line basis to the lookback period's historical mean for the economic indicator over the expected life of loans.</w:t>
      </w:r>
    </w:p>
    <w:p>
      <w:pPr>
        <w:spacing w:after="0" w:line="141"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model incorporates qualitative factor adjustments in order to calibrate the model for risk in each portfolio segment that may not be captured through quantitative analysis. Determinations regarding qualitative adjustments are reflective of management's expectation of loss conditions differing from those already captured in the quantitative component of the model.</w:t>
      </w:r>
    </w:p>
    <w:p>
      <w:pPr>
        <w:spacing w:after="0" w:line="143"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The Company estimates a reserve for unfunded commitments, which is reported separately from the allowance for credit losses within other liabilities. The reserve is based upon the same quantitative and qualitative factors applied to the collectively evaluated loan portfolio.</w:t>
      </w:r>
    </w:p>
    <w:p>
      <w:pPr>
        <w:spacing w:after="0" w:line="12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The impact of adoption of the ASU 2016-13 was an increase to the allowance for credit losses (ACL) on loans receivables of $1.1 million and an increase to the reserve for unfunded commitments of $ 259 thousand. This one-time net of tax cumulative adjustment resulted in a increase of $1.0 million in accumulated deficit. See “Allowance for Credit Losses” section in Note 3 for more information on ACL.</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Trouble Debt Restructuring</w:t>
      </w:r>
    </w:p>
    <w:p>
      <w:pPr>
        <w:spacing w:after="0" w:line="170" w:lineRule="exact"/>
        <w:rPr>
          <w:sz w:val="20"/>
          <w:szCs w:val="20"/>
          <w:color w:val="auto"/>
        </w:rPr>
      </w:pPr>
    </w:p>
    <w:p>
      <w:pPr>
        <w:jc w:val="both"/>
        <w:ind w:left="660" w:right="699" w:firstLine="256"/>
        <w:spacing w:after="0" w:line="273" w:lineRule="auto"/>
        <w:rPr>
          <w:sz w:val="20"/>
          <w:szCs w:val="20"/>
          <w:color w:val="auto"/>
        </w:rPr>
      </w:pPr>
      <w:r>
        <w:rPr>
          <w:rFonts w:ascii="Arial" w:cs="Arial" w:eastAsia="Arial" w:hAnsi="Arial"/>
          <w:sz w:val="13"/>
          <w:szCs w:val="13"/>
          <w:color w:val="auto"/>
        </w:rPr>
        <w:t>In March 2022, the Financial Accounting Standards Board (“FASB”) issued Accounting Standards Update (“ASU”) 2022-02, Financial Instruments-Credit Losses (Topic 326): Troubled Debt Restructurings (“TDR”) and Vintage Disclosures. The standard addresses the following: 1) eliminates the accounting guidance for TDRs, requires an entity to determine whether a modification results in a new loan or a continuation of an existing loan, 2) expands disclosures related to modifications, and 3) requires disclosure of current period gross write-offs of financing receivables within the vintage disclosures table</w:t>
      </w:r>
    </w:p>
    <w:p>
      <w:pPr>
        <w:spacing w:after="0" w:line="366"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99"/>
        <w:spacing w:after="0" w:line="267" w:lineRule="auto"/>
        <w:rPr>
          <w:sz w:val="20"/>
          <w:szCs w:val="20"/>
          <w:color w:val="auto"/>
        </w:rPr>
      </w:pPr>
      <w:r>
        <w:rPr>
          <w:rFonts w:ascii="Arial" w:cs="Arial" w:eastAsia="Arial" w:hAnsi="Arial"/>
          <w:sz w:val="14"/>
          <w:szCs w:val="14"/>
          <w:color w:val="auto"/>
        </w:rPr>
        <w:t>(see note 3). The Company adopted ASU 2022-02 effective January 1, 2023 on a prospective basis. The adoption of ASU 2022-02 did not have a material impact on the Company’s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Issued and Not Yet  Adopted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Reference Rate Reform</w:t>
      </w:r>
    </w:p>
    <w:p>
      <w:pPr>
        <w:spacing w:after="0" w:line="15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from March 12, 2020 through December 31, 2024. The Company is evaluating the impact of this ASU and has not yet determined whether LIBOR transition and this ASU will have a material effect on our business operations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1040" w:hanging="377"/>
        <w:spacing w:after="0"/>
        <w:tabs>
          <w:tab w:leader="none" w:pos="1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10"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On January 1st,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The measurement of expected credit losses under the CECL methodology is applicable to financial assets measured at amortized cost, including loan receivables and held-to-maturity debt securities. In addition, ASC 326 amended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be required to sell.</w:t>
      </w:r>
    </w:p>
    <w:p>
      <w:pPr>
        <w:spacing w:after="0" w:line="14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CECL requires a loss reserve for securities classified as Held-to-Maturity (HTM). The reserve should reflect historical credit performance as well as the impact of projected economic forecast. For U.S. Government bonds and U.S. Agency issued bonds in HTM the explicit guarantee of the US Government is sufficient to conclude that a credit loss reserve is not required. The reserve requirement is for three primary assets groups: municipal bonds, corporate bond,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35"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monitors the credit quality of held to maturity securities through the use of credit ratings. Credit ratings are monitored by the Company on at least a quarterly basis. As of June 30, 2023 and December 31, 2022, all held to maturity securities held by the Company were rated investment grade.</w:t>
      </w:r>
    </w:p>
    <w:p>
      <w:pPr>
        <w:spacing w:after="0" w:line="13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At quarter end, HTM securities included $210.0 million of U.S. Government and U.S. Agency issued bonds and mortgage-backed securities. Because of the explicit and/or implicit guarantee on these bonds, the Company holds no reserves on these holdings. The remaining portion of the HTM portfolio is made up of $11.0 million in investment grade corporate bonds. The required reserve for these holdings is determined each quarter using the model described above. For the portion of the HTM exposed to non-government credit risk the Company utilized the PD/LGD methodology to estimate a $19 thousand ACL as of June 30, 2023. The book value for debt securities classified as HTM represents amortized cost less ACL.</w:t>
      </w:r>
    </w:p>
    <w:p>
      <w:pPr>
        <w:spacing w:after="0" w:line="137" w:lineRule="exact"/>
        <w:rPr>
          <w:sz w:val="20"/>
          <w:szCs w:val="20"/>
          <w:color w:val="auto"/>
        </w:rPr>
      </w:pPr>
    </w:p>
    <w:p>
      <w:pPr>
        <w:ind w:left="660" w:right="719" w:firstLine="256"/>
        <w:spacing w:after="0" w:line="283" w:lineRule="auto"/>
        <w:rPr>
          <w:sz w:val="20"/>
          <w:szCs w:val="20"/>
          <w:color w:val="auto"/>
        </w:rPr>
      </w:pPr>
      <w:r>
        <w:rPr>
          <w:rFonts w:ascii="Arial" w:cs="Arial" w:eastAsia="Arial" w:hAnsi="Arial"/>
          <w:sz w:val="14"/>
          <w:szCs w:val="14"/>
          <w:color w:val="auto"/>
        </w:rPr>
        <w:t>The Company determined that an ACL on its debt securities available for sale as of June 30, 2023 and December 31, 2022 was not required.</w:t>
      </w:r>
    </w:p>
    <w:p>
      <w:pPr>
        <w:spacing w:after="0" w:line="111"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tabs>
          <w:tab w:leader="none" w:pos="280" w:val="left"/>
          <w:tab w:leader="none" w:pos="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gridSpan w:val="10"/>
          </w:tcPr>
          <w:p>
            <w:pPr>
              <w:jc w:val="right"/>
              <w:ind w:right="116"/>
              <w:spacing w:after="0"/>
              <w:rPr>
                <w:sz w:val="20"/>
                <w:szCs w:val="20"/>
                <w:color w:val="auto"/>
              </w:rPr>
            </w:pPr>
            <w:r>
              <w:rPr>
                <w:rFonts w:ascii="Arial" w:cs="Arial" w:eastAsia="Arial" w:hAnsi="Arial"/>
                <w:sz w:val="13"/>
                <w:szCs w:val="13"/>
                <w:color w:val="auto"/>
              </w:rPr>
              <w:t>Notes to the Consolidated Financial Statements - Unaudited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ind w:left="460"/>
              <w:spacing w:after="0"/>
              <w:rPr>
                <w:sz w:val="20"/>
                <w:szCs w:val="20"/>
                <w:color w:val="auto"/>
              </w:rPr>
            </w:pPr>
            <w:r>
              <w:rPr>
                <w:rFonts w:ascii="Arial" w:cs="Arial" w:eastAsia="Arial" w:hAnsi="Arial"/>
                <w:sz w:val="13"/>
                <w:szCs w:val="13"/>
                <w:b w:val="1"/>
                <w:bCs w:val="1"/>
                <w:color w:val="auto"/>
              </w:rPr>
              <w:t>June 30, 2023</w:t>
            </w:r>
          </w:p>
        </w:tc>
        <w:tc>
          <w:tcPr>
            <w:tcW w:w="2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7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36"/>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center"/>
              <w:ind w:right="76"/>
              <w:spacing w:after="0"/>
              <w:rPr>
                <w:sz w:val="20"/>
                <w:szCs w:val="20"/>
                <w:color w:val="auto"/>
              </w:rPr>
            </w:pPr>
            <w:r>
              <w:rPr>
                <w:rFonts w:ascii="Arial" w:cs="Arial" w:eastAsia="Arial" w:hAnsi="Arial"/>
                <w:sz w:val="13"/>
                <w:szCs w:val="13"/>
                <w:b w:val="1"/>
                <w:bCs w:val="1"/>
                <w:color w:val="auto"/>
                <w:w w:val="99"/>
              </w:rPr>
              <w:t>Gains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96"/>
              <w:spacing w:after="0"/>
              <w:rPr>
                <w:sz w:val="20"/>
                <w:szCs w:val="20"/>
                <w:color w:val="auto"/>
              </w:rPr>
            </w:pPr>
            <w:r>
              <w:rPr>
                <w:rFonts w:ascii="Arial" w:cs="Arial" w:eastAsia="Arial" w:hAnsi="Arial"/>
                <w:sz w:val="13"/>
                <w:szCs w:val="13"/>
                <w:b w:val="1"/>
                <w:bCs w:val="1"/>
                <w:color w:val="auto"/>
                <w:w w:val="93"/>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9,906</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shd w:val="clear" w:color="auto" w:fill="CCEEFF"/>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(1,572)</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7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8,334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107,991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(24,108)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83,883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71,279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58,099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36,775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30,852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25,044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19,091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16,836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(2,368)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14,468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4,033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7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271,864</w:t>
            </w:r>
          </w:p>
        </w:tc>
        <w:tc>
          <w:tcPr>
            <w:tcW w:w="160" w:type="dxa"/>
            <w:vAlign w:val="bottom"/>
            <w:gridSpan w:val="4"/>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(53,422)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spacing w:after="0"/>
              <w:rPr>
                <w:sz w:val="20"/>
                <w:szCs w:val="20"/>
                <w:color w:val="auto"/>
              </w:rPr>
            </w:pPr>
            <w:r>
              <w:rPr>
                <w:rFonts w:ascii="Arial" w:cs="Arial" w:eastAsia="Arial" w:hAnsi="Arial"/>
                <w:sz w:val="13"/>
                <w:szCs w:val="13"/>
                <w:color w:val="auto"/>
              </w:rPr>
              <w:t>218,442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Held-to-maturity:</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7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44,404</w:t>
            </w:r>
          </w:p>
        </w:tc>
        <w:tc>
          <w:tcPr>
            <w:tcW w:w="160" w:type="dxa"/>
            <w:vAlign w:val="bottom"/>
            <w:gridSpan w:val="4"/>
          </w:tcPr>
          <w:p>
            <w:pPr>
              <w:ind w:left="80"/>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(6,174)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38,230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U.S. Treasury</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39,414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7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39,400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65,844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57,030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44,834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(4,799)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7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40,213</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15,491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16"/>
              <w:spacing w:after="0"/>
              <w:rPr>
                <w:sz w:val="20"/>
                <w:szCs w:val="20"/>
                <w:color w:val="auto"/>
              </w:rPr>
            </w:pPr>
            <w:r>
              <w:rPr>
                <w:rFonts w:ascii="Arial" w:cs="Arial" w:eastAsia="Arial" w:hAnsi="Arial"/>
                <w:sz w:val="13"/>
                <w:szCs w:val="13"/>
                <w:color w:val="auto"/>
              </w:rPr>
              <w:t>14,409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10,988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30" w:type="dxa"/>
            <w:vAlign w:val="bottom"/>
            <w:tcBorders>
              <w:bottom w:val="single" w:sz="8" w:color="CCEEFF"/>
            </w:tcBorders>
            <w:shd w:val="clear" w:color="auto" w:fill="CCEEFF"/>
          </w:tcPr>
          <w:p>
            <w:pPr>
              <w:spacing w:after="0"/>
              <w:rPr>
                <w:sz w:val="15"/>
                <w:szCs w:val="15"/>
                <w:color w:val="auto"/>
              </w:rPr>
            </w:pPr>
          </w:p>
        </w:tc>
        <w:tc>
          <w:tcPr>
            <w:tcW w:w="77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10,047</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220,975</w:t>
            </w:r>
          </w:p>
        </w:tc>
        <w:tc>
          <w:tcPr>
            <w:tcW w:w="40" w:type="dxa"/>
            <w:vAlign w:val="bottom"/>
            <w:gridSpan w:val="2"/>
          </w:tcPr>
          <w:p>
            <w:pPr>
              <w:spacing w:after="0"/>
              <w:rPr>
                <w:sz w:val="18"/>
                <w:szCs w:val="18"/>
                <w:color w:val="auto"/>
              </w:rPr>
            </w:pPr>
          </w:p>
        </w:tc>
        <w:tc>
          <w:tcPr>
            <w:tcW w:w="1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193</w:t>
            </w:r>
          </w:p>
        </w:tc>
        <w:tc>
          <w:tcPr>
            <w:tcW w:w="40" w:type="dxa"/>
            <w:vAlign w:val="bottom"/>
            <w:gridSpan w:val="2"/>
          </w:tcPr>
          <w:p>
            <w:pPr>
              <w:spacing w:after="0"/>
              <w:rPr>
                <w:sz w:val="18"/>
                <w:szCs w:val="18"/>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(21,839)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77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(19)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30" w:type="dxa"/>
            <w:vAlign w:val="bottom"/>
            <w:tcBorders>
              <w:top w:val="single" w:sz="8" w:color="auto"/>
            </w:tcBorders>
            <w:shd w:val="clear" w:color="auto" w:fill="CCEEFF"/>
          </w:tcPr>
          <w:p>
            <w:pPr>
              <w:spacing w:after="0"/>
              <w:rPr>
                <w:sz w:val="11"/>
                <w:szCs w:val="11"/>
                <w:color w:val="auto"/>
              </w:rPr>
            </w:pPr>
          </w:p>
        </w:tc>
        <w:tc>
          <w:tcPr>
            <w:tcW w:w="77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780" w:type="dxa"/>
            <w:vAlign w:val="bottom"/>
          </w:tcPr>
          <w:p>
            <w:pPr>
              <w:spacing w:after="0" w:line="132" w:lineRule="exact"/>
              <w:rPr>
                <w:sz w:val="20"/>
                <w:szCs w:val="20"/>
                <w:color w:val="auto"/>
              </w:rPr>
            </w:pPr>
            <w:r>
              <w:rPr>
                <w:rFonts w:ascii="Arial" w:cs="Arial" w:eastAsia="Arial" w:hAnsi="Arial"/>
                <w:sz w:val="13"/>
                <w:szCs w:val="13"/>
                <w:color w:val="auto"/>
              </w:rPr>
              <w:t>Securities held-to maturity, net of allowance for credit losses</w:t>
            </w:r>
          </w:p>
        </w:tc>
        <w:tc>
          <w:tcPr>
            <w:tcW w:w="12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6"/>
              <w:spacing w:after="0" w:line="132" w:lineRule="exact"/>
              <w:rPr>
                <w:sz w:val="20"/>
                <w:szCs w:val="20"/>
                <w:color w:val="auto"/>
              </w:rPr>
            </w:pPr>
            <w:r>
              <w:rPr>
                <w:rFonts w:ascii="Arial" w:cs="Arial" w:eastAsia="Arial" w:hAnsi="Arial"/>
                <w:sz w:val="13"/>
                <w:szCs w:val="13"/>
                <w:color w:val="auto"/>
              </w:rPr>
              <w:t>220,956</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77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8"/>
            <w:vMerge w:val="restart"/>
          </w:tcPr>
          <w:p>
            <w:pPr>
              <w:jc w:val="center"/>
              <w:ind w:right="60"/>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7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6"/>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center"/>
              <w:ind w:right="76"/>
              <w:spacing w:after="0"/>
              <w:rPr>
                <w:sz w:val="20"/>
                <w:szCs w:val="20"/>
                <w:color w:val="auto"/>
              </w:rPr>
            </w:pPr>
            <w:r>
              <w:rPr>
                <w:rFonts w:ascii="Arial" w:cs="Arial" w:eastAsia="Arial" w:hAnsi="Arial"/>
                <w:sz w:val="13"/>
                <w:szCs w:val="13"/>
                <w:b w:val="1"/>
                <w:bCs w:val="1"/>
                <w:color w:val="auto"/>
                <w:w w:val="99"/>
              </w:rPr>
              <w:t>Gains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ind w:right="96"/>
              <w:spacing w:after="0"/>
              <w:rPr>
                <w:sz w:val="20"/>
                <w:szCs w:val="20"/>
                <w:color w:val="auto"/>
              </w:rPr>
            </w:pPr>
            <w:r>
              <w:rPr>
                <w:rFonts w:ascii="Arial" w:cs="Arial" w:eastAsia="Arial" w:hAnsi="Arial"/>
                <w:sz w:val="13"/>
                <w:szCs w:val="13"/>
                <w:b w:val="1"/>
                <w:bCs w:val="1"/>
                <w:color w:val="auto"/>
                <w:w w:val="93"/>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10,177</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(1,522)</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50" w:type="dxa"/>
            <w:vAlign w:val="bottom"/>
            <w:tcBorders>
              <w:top w:val="single" w:sz="8" w:color="auto"/>
            </w:tcBorders>
            <w:gridSpan w:val="2"/>
            <w:shd w:val="clear" w:color="auto" w:fill="CCEEFF"/>
          </w:tcPr>
          <w:p>
            <w:pPr>
              <w:jc w:val="right"/>
              <w:ind w:right="6"/>
              <w:spacing w:after="0"/>
              <w:rPr>
                <w:sz w:val="20"/>
                <w:szCs w:val="20"/>
                <w:color w:val="auto"/>
              </w:rPr>
            </w:pPr>
            <w:r>
              <w:rPr>
                <w:rFonts w:ascii="Arial" w:cs="Arial" w:eastAsia="Arial" w:hAnsi="Arial"/>
                <w:sz w:val="13"/>
                <w:szCs w:val="13"/>
                <w:color w:val="auto"/>
                <w:w w:val="82"/>
              </w:rPr>
              <w:t>$</w:t>
            </w:r>
          </w:p>
        </w:tc>
        <w:tc>
          <w:tcPr>
            <w:tcW w:w="77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118,951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(23,410)</w:t>
            </w: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ind w:left="350"/>
              <w:spacing w:after="0"/>
              <w:rPr>
                <w:sz w:val="20"/>
                <w:szCs w:val="20"/>
                <w:color w:val="auto"/>
              </w:rPr>
            </w:pPr>
            <w:r>
              <w:rPr>
                <w:rFonts w:ascii="Arial" w:cs="Arial" w:eastAsia="Arial" w:hAnsi="Arial"/>
                <w:sz w:val="13"/>
                <w:szCs w:val="13"/>
                <w:color w:val="auto"/>
              </w:rPr>
              <w:t>95,541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(12,959)</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ind w:left="350"/>
              <w:spacing w:after="0"/>
              <w:rPr>
                <w:sz w:val="20"/>
                <w:szCs w:val="20"/>
                <w:color w:val="auto"/>
              </w:rPr>
            </w:pPr>
            <w:r>
              <w:rPr>
                <w:rFonts w:ascii="Arial" w:cs="Arial" w:eastAsia="Arial" w:hAnsi="Arial"/>
                <w:sz w:val="13"/>
                <w:szCs w:val="13"/>
                <w:color w:val="auto"/>
              </w:rPr>
              <w:t>60,879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32,244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(4,305)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ind w:left="350"/>
              <w:spacing w:after="0"/>
              <w:rPr>
                <w:sz w:val="20"/>
                <w:szCs w:val="20"/>
                <w:color w:val="auto"/>
              </w:rPr>
            </w:pPr>
            <w:r>
              <w:rPr>
                <w:rFonts w:ascii="Arial" w:cs="Arial" w:eastAsia="Arial" w:hAnsi="Arial"/>
                <w:sz w:val="13"/>
                <w:szCs w:val="13"/>
                <w:color w:val="auto"/>
              </w:rPr>
              <w:t>27,954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ind w:left="350"/>
              <w:spacing w:after="0"/>
              <w:rPr>
                <w:sz w:val="20"/>
                <w:szCs w:val="20"/>
                <w:color w:val="auto"/>
              </w:rPr>
            </w:pPr>
            <w:r>
              <w:rPr>
                <w:rFonts w:ascii="Arial" w:cs="Arial" w:eastAsia="Arial" w:hAnsi="Arial"/>
                <w:sz w:val="13"/>
                <w:szCs w:val="13"/>
                <w:color w:val="auto"/>
              </w:rPr>
              <w:t>18,483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15,964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(1,050)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ind w:left="350"/>
              <w:spacing w:after="0"/>
              <w:rPr>
                <w:sz w:val="20"/>
                <w:szCs w:val="20"/>
                <w:color w:val="auto"/>
              </w:rPr>
            </w:pPr>
            <w:r>
              <w:rPr>
                <w:rFonts w:ascii="Arial" w:cs="Arial" w:eastAsia="Arial" w:hAnsi="Arial"/>
                <w:sz w:val="13"/>
                <w:szCs w:val="13"/>
                <w:color w:val="auto"/>
              </w:rPr>
              <w:t>14,919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(328)</w:t>
            </w:r>
          </w:p>
        </w:tc>
        <w:tc>
          <w:tcPr>
            <w:tcW w:w="2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0" w:type="dxa"/>
            <w:vAlign w:val="bottom"/>
            <w:gridSpan w:val="2"/>
            <w:shd w:val="clear" w:color="auto" w:fill="000000"/>
          </w:tcPr>
          <w:p>
            <w:pPr>
              <w:spacing w:after="0" w:line="20" w:lineRule="exact"/>
              <w:rPr>
                <w:sz w:val="1"/>
                <w:szCs w:val="1"/>
                <w:color w:val="auto"/>
              </w:rPr>
            </w:pPr>
          </w:p>
        </w:tc>
        <w:tc>
          <w:tcPr>
            <w:tcW w:w="77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280,295</w:t>
            </w:r>
          </w:p>
        </w:tc>
        <w:tc>
          <w:tcPr>
            <w:tcW w:w="40" w:type="dxa"/>
            <w:vAlign w:val="bottom"/>
            <w:gridSpan w:val="2"/>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40" w:type="dxa"/>
            <w:vAlign w:val="bottom"/>
            <w:gridSpan w:val="2"/>
          </w:tcPr>
          <w:p>
            <w:pPr>
              <w:spacing w:after="0"/>
              <w:rPr>
                <w:sz w:val="17"/>
                <w:szCs w:val="17"/>
                <w:color w:val="auto"/>
              </w:rPr>
            </w:pP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880" w:type="dxa"/>
            <w:vAlign w:val="bottom"/>
            <w:gridSpan w:val="3"/>
          </w:tcPr>
          <w:p>
            <w:pPr>
              <w:jc w:val="right"/>
              <w:ind w:right="40"/>
              <w:spacing w:after="0"/>
              <w:rPr>
                <w:sz w:val="20"/>
                <w:szCs w:val="20"/>
                <w:color w:val="auto"/>
              </w:rPr>
            </w:pPr>
            <w:r>
              <w:rPr>
                <w:rFonts w:ascii="Arial" w:cs="Arial" w:eastAsia="Arial" w:hAnsi="Arial"/>
                <w:sz w:val="13"/>
                <w:szCs w:val="13"/>
                <w:color w:val="auto"/>
              </w:rPr>
              <w:t>(50,175)</w:t>
            </w:r>
          </w:p>
        </w:tc>
        <w:tc>
          <w:tcPr>
            <w:tcW w:w="150" w:type="dxa"/>
            <w:vAlign w:val="bottom"/>
            <w:gridSpan w:val="2"/>
          </w:tcPr>
          <w:p>
            <w:pPr>
              <w:jc w:val="right"/>
              <w:ind w:right="6"/>
              <w:spacing w:after="0"/>
              <w:rPr>
                <w:sz w:val="20"/>
                <w:szCs w:val="20"/>
                <w:color w:val="auto"/>
              </w:rPr>
            </w:pPr>
            <w:r>
              <w:rPr>
                <w:rFonts w:ascii="Arial" w:cs="Arial" w:eastAsia="Arial" w:hAnsi="Arial"/>
                <w:sz w:val="13"/>
                <w:szCs w:val="13"/>
                <w:color w:val="auto"/>
                <w:w w:val="82"/>
              </w:rPr>
              <w:t>$</w:t>
            </w:r>
          </w:p>
        </w:tc>
        <w:tc>
          <w:tcPr>
            <w:tcW w:w="770" w:type="dxa"/>
            <w:vAlign w:val="bottom"/>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7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7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44,914</w:t>
            </w:r>
          </w:p>
        </w:tc>
        <w:tc>
          <w:tcPr>
            <w:tcW w:w="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6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(5,877)</w:t>
            </w:r>
          </w:p>
        </w:tc>
        <w:tc>
          <w:tcPr>
            <w:tcW w:w="40" w:type="dxa"/>
            <w:vAlign w:val="bottom"/>
            <w:tcBorders>
              <w:bottom w:val="single" w:sz="8" w:color="CCEEFF"/>
            </w:tcBorders>
            <w:shd w:val="clear" w:color="auto" w:fill="CCEEFF"/>
          </w:tcPr>
          <w:p>
            <w:pPr>
              <w:spacing w:after="0"/>
              <w:rPr>
                <w:sz w:val="13"/>
                <w:szCs w:val="13"/>
                <w:color w:val="auto"/>
              </w:rPr>
            </w:pPr>
          </w:p>
        </w:tc>
        <w:tc>
          <w:tcPr>
            <w:tcW w:w="15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3"/>
                <w:szCs w:val="13"/>
                <w:color w:val="auto"/>
                <w:w w:val="82"/>
              </w:rPr>
              <w:t>$</w:t>
            </w:r>
          </w:p>
        </w:tc>
        <w:tc>
          <w:tcPr>
            <w:tcW w:w="770" w:type="dxa"/>
            <w:vAlign w:val="bottom"/>
            <w:tcBorders>
              <w:bottom w:val="single" w:sz="8" w:color="CCEEFF"/>
            </w:tcBorders>
            <w:shd w:val="clear" w:color="auto" w:fill="CCEEFF"/>
          </w:tcPr>
          <w:p>
            <w:pPr>
              <w:ind w:left="350"/>
              <w:spacing w:after="0"/>
              <w:rPr>
                <w:sz w:val="20"/>
                <w:szCs w:val="20"/>
                <w:color w:val="auto"/>
              </w:rPr>
            </w:pPr>
            <w:r>
              <w:rPr>
                <w:rFonts w:ascii="Arial" w:cs="Arial" w:eastAsia="Arial" w:hAnsi="Arial"/>
                <w:sz w:val="13"/>
                <w:szCs w:val="13"/>
                <w:color w:val="auto"/>
              </w:rPr>
              <w:t>39,062</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0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9,841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jc w:val="right"/>
              <w:spacing w:after="0"/>
              <w:rPr>
                <w:sz w:val="20"/>
                <w:szCs w:val="20"/>
                <w:color w:val="auto"/>
              </w:rPr>
            </w:pPr>
            <w:r>
              <w:rPr>
                <w:rFonts w:ascii="Arial" w:cs="Arial" w:eastAsia="Arial" w:hAnsi="Arial"/>
                <w:sz w:val="13"/>
                <w:szCs w:val="13"/>
                <w:color w:val="auto"/>
              </w:rPr>
              <w:t>9,828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68,727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(7,830)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70" w:type="dxa"/>
            <w:vAlign w:val="bottom"/>
            <w:tcBorders>
              <w:bottom w:val="single" w:sz="8" w:color="CCEEFF"/>
            </w:tcBorders>
            <w:shd w:val="clear" w:color="auto" w:fill="CCEEFF"/>
          </w:tcPr>
          <w:p>
            <w:pPr>
              <w:ind w:left="350"/>
              <w:spacing w:after="0"/>
              <w:rPr>
                <w:sz w:val="20"/>
                <w:szCs w:val="20"/>
                <w:color w:val="auto"/>
              </w:rPr>
            </w:pPr>
            <w:r>
              <w:rPr>
                <w:rFonts w:ascii="Arial" w:cs="Arial" w:eastAsia="Arial" w:hAnsi="Arial"/>
                <w:sz w:val="13"/>
                <w:szCs w:val="13"/>
                <w:color w:val="auto"/>
              </w:rPr>
              <w:t>60,925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42,685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372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(4,574)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ind w:left="350"/>
              <w:spacing w:after="0"/>
              <w:rPr>
                <w:sz w:val="20"/>
                <w:szCs w:val="20"/>
                <w:color w:val="auto"/>
              </w:rPr>
            </w:pPr>
            <w:r>
              <w:rPr>
                <w:rFonts w:ascii="Arial" w:cs="Arial" w:eastAsia="Arial" w:hAnsi="Arial"/>
                <w:sz w:val="13"/>
                <w:szCs w:val="13"/>
                <w:color w:val="auto"/>
              </w:rPr>
              <w:t>38,483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11,442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0" w:type="dxa"/>
            <w:vAlign w:val="bottom"/>
            <w:tcBorders>
              <w:bottom w:val="single" w:sz="8" w:color="CCEEFF"/>
            </w:tcBorders>
            <w:shd w:val="clear" w:color="auto" w:fill="CCEEFF"/>
          </w:tcPr>
          <w:p>
            <w:pPr>
              <w:spacing w:after="0"/>
              <w:rPr>
                <w:sz w:val="13"/>
                <w:szCs w:val="13"/>
                <w:color w:val="auto"/>
              </w:rPr>
            </w:pPr>
          </w:p>
        </w:tc>
        <w:tc>
          <w:tcPr>
            <w:tcW w:w="770" w:type="dxa"/>
            <w:vAlign w:val="bottom"/>
            <w:tcBorders>
              <w:bottom w:val="single" w:sz="8" w:color="CCEEFF"/>
            </w:tcBorders>
            <w:shd w:val="clear" w:color="auto" w:fill="CCEEFF"/>
          </w:tcPr>
          <w:p>
            <w:pPr>
              <w:ind w:left="350"/>
              <w:spacing w:after="0"/>
              <w:rPr>
                <w:sz w:val="20"/>
                <w:szCs w:val="20"/>
                <w:color w:val="auto"/>
              </w:rPr>
            </w:pPr>
            <w:r>
              <w:rPr>
                <w:rFonts w:ascii="Arial" w:cs="Arial" w:eastAsia="Arial" w:hAnsi="Arial"/>
                <w:sz w:val="13"/>
                <w:szCs w:val="13"/>
                <w:color w:val="auto"/>
              </w:rPr>
              <w:t>10,777</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11,090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color w:val="auto"/>
              </w:rPr>
              <w:t>(1,077)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ind w:left="350"/>
              <w:spacing w:after="0"/>
              <w:rPr>
                <w:sz w:val="20"/>
                <w:szCs w:val="20"/>
                <w:color w:val="auto"/>
              </w:rPr>
            </w:pPr>
            <w:r>
              <w:rPr>
                <w:rFonts w:ascii="Arial" w:cs="Arial" w:eastAsia="Arial" w:hAnsi="Arial"/>
                <w:sz w:val="13"/>
                <w:szCs w:val="13"/>
                <w:color w:val="auto"/>
              </w:rPr>
              <w:t>10,013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188,699</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(20,036)</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5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3"/>
                <w:szCs w:val="13"/>
                <w:color w:val="auto"/>
                <w:w w:val="82"/>
              </w:rPr>
              <w:t>$</w:t>
            </w:r>
          </w:p>
        </w:tc>
        <w:tc>
          <w:tcPr>
            <w:tcW w:w="77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169,088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7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During the year ended December 31, 2022, a total of 26 investment securities with an amortized cost basis and fair value of $74.4 million and $63.8 million, respectively, were transferred from AFS to HTM. These securities had a net unrealized loss of $10.6 million on the date of transfer. The net unrealized loss that was retained in accumulated other comprehensive income (“AOCI”) is being amortized over the remaining life of the securities. For the three and six months ended June 30, 2023, total amortization out of AOCI for net unrealized losses on securities transferred from AFS to HTM was $60 thousand and $120 thousand, respectively. The unamortized net unrealized loss at June 30, 2023 was $9.7 million.</w:t>
      </w:r>
    </w:p>
    <w:p>
      <w:pPr>
        <w:spacing w:after="0" w:line="135"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and six months ended June 30, 2023 and 2022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5500" w:type="dxa"/>
            <w:vAlign w:val="bottom"/>
            <w:gridSpan w:val="7"/>
          </w:tcPr>
          <w:p>
            <w:pPr>
              <w:jc w:val="right"/>
              <w:ind w:right="12"/>
              <w:spacing w:after="0"/>
              <w:rPr>
                <w:sz w:val="20"/>
                <w:szCs w:val="20"/>
                <w:color w:val="auto"/>
              </w:rPr>
            </w:pPr>
            <w:r>
              <w:rPr>
                <w:rFonts w:ascii="Arial" w:cs="Arial" w:eastAsia="Arial" w:hAnsi="Arial"/>
                <w:sz w:val="13"/>
                <w:szCs w:val="13"/>
                <w:color w:val="auto"/>
              </w:rPr>
              <w:t>Notes to the Consolidated Financial Statements - Unaudited</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24"/>
                <w:szCs w:val="24"/>
                <w:color w:val="auto"/>
              </w:rPr>
            </w:pPr>
          </w:p>
        </w:tc>
        <w:tc>
          <w:tcPr>
            <w:tcW w:w="210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276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760" w:type="dxa"/>
            <w:vAlign w:val="bottom"/>
            <w:tcBorders>
              <w:top w:val="single" w:sz="8" w:color="CCEEFF"/>
              <w:right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Proceeds from sale and call of securities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line="141"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17,280</w:t>
            </w:r>
          </w:p>
        </w:tc>
        <w:tc>
          <w:tcPr>
            <w:tcW w:w="8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8,617</w:t>
            </w:r>
          </w:p>
        </w:tc>
        <w:tc>
          <w:tcPr>
            <w:tcW w:w="260" w:type="dxa"/>
            <w:vAlign w:val="bottom"/>
            <w:shd w:val="clear" w:color="auto" w:fill="CCEEFF"/>
          </w:tcPr>
          <w:p>
            <w:pPr>
              <w:jc w:val="right"/>
              <w:ind w:right="116"/>
              <w:spacing w:after="0" w:line="141"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31,838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6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120" w:type="dxa"/>
            <w:vAlign w:val="bottom"/>
          </w:tcPr>
          <w:p>
            <w:pPr>
              <w:spacing w:after="0"/>
              <w:rPr>
                <w:sz w:val="13"/>
                <w:szCs w:val="13"/>
                <w:color w:val="auto"/>
              </w:rPr>
            </w:pPr>
          </w:p>
        </w:tc>
        <w:tc>
          <w:tcPr>
            <w:tcW w:w="11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(61)</w:t>
            </w:r>
          </w:p>
        </w:tc>
        <w:tc>
          <w:tcPr>
            <w:tcW w:w="3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26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Net realized (loss) gain</w:t>
            </w:r>
          </w:p>
        </w:tc>
        <w:tc>
          <w:tcPr>
            <w:tcW w:w="1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right w:val="single" w:sz="8" w:color="CCEEFF"/>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right w:val="single" w:sz="8" w:color="CCEEFF"/>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660" w:type="dxa"/>
            <w:vAlign w:val="bottom"/>
            <w:tcBorders>
              <w:bottom w:val="single" w:sz="8" w:color="CCEEFF"/>
              <w:right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right w:val="single" w:sz="8" w:color="CCEEFF"/>
            </w:tcBorders>
            <w:shd w:val="clear" w:color="auto" w:fill="CCEEFF"/>
          </w:tcPr>
          <w:p>
            <w:pPr>
              <w:jc w:val="right"/>
              <w:ind w:right="36"/>
              <w:spacing w:after="0" w:line="131"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jc w:val="right"/>
              <w:ind w:right="116"/>
              <w:spacing w:after="0" w:line="131"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right w:val="single" w:sz="8" w:color="CCEEFF"/>
            </w:tcBorders>
            <w:gridSpan w:val="2"/>
            <w:shd w:val="clear" w:color="auto" w:fill="CCEEFF"/>
          </w:tcPr>
          <w:p>
            <w:pPr>
              <w:jc w:val="right"/>
              <w:ind w:right="60"/>
              <w:spacing w:after="0" w:line="131" w:lineRule="exact"/>
              <w:rPr>
                <w:sz w:val="20"/>
                <w:szCs w:val="20"/>
                <w:color w:val="auto"/>
              </w:rPr>
            </w:pPr>
            <w:r>
              <w:rPr>
                <w:rFonts w:ascii="Arial" w:cs="Arial" w:eastAsia="Arial" w:hAnsi="Arial"/>
                <w:sz w:val="13"/>
                <w:szCs w:val="13"/>
                <w:color w:val="auto"/>
              </w:rPr>
              <w:t>(3)</w:t>
            </w:r>
          </w:p>
        </w:tc>
        <w:tc>
          <w:tcPr>
            <w:tcW w:w="3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right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w:t>
            </w:r>
          </w:p>
        </w:tc>
        <w:tc>
          <w:tcPr>
            <w:tcW w:w="260" w:type="dxa"/>
            <w:vAlign w:val="bottom"/>
            <w:tcBorders>
              <w:bottom w:val="single" w:sz="8" w:color="CCEEFF"/>
            </w:tcBorders>
            <w:shd w:val="clear" w:color="auto" w:fill="CCEEFF"/>
          </w:tcPr>
          <w:p>
            <w:pPr>
              <w:jc w:val="right"/>
              <w:ind w:right="116"/>
              <w:spacing w:after="0" w:line="131"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18</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5"/>
                <w:szCs w:val="15"/>
                <w:color w:val="auto"/>
              </w:rPr>
            </w:pPr>
          </w:p>
        </w:tc>
      </w:tr>
      <w:tr>
        <w:trPr>
          <w:trHeight w:val="150"/>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4"/>
                <w:szCs w:val="14"/>
                <w:color w:val="auto"/>
              </w:rPr>
            </w:pPr>
          </w:p>
        </w:tc>
      </w:tr>
      <w:tr>
        <w:trPr>
          <w:trHeight w:val="15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40,916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40,892</w:t>
            </w:r>
          </w:p>
        </w:tc>
        <w:tc>
          <w:tcPr>
            <w:tcW w:w="20" w:type="dxa"/>
            <w:vAlign w:val="bottom"/>
            <w:shd w:val="clear" w:color="auto" w:fill="CCEEFF"/>
          </w:tcPr>
          <w:p>
            <w:pPr>
              <w:spacing w:after="0"/>
              <w:rPr>
                <w:sz w:val="13"/>
                <w:szCs w:val="13"/>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9,486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8,555</w:t>
            </w:r>
          </w:p>
        </w:tc>
        <w:tc>
          <w:tcPr>
            <w:tcW w:w="20" w:type="dxa"/>
            <w:vAlign w:val="bottom"/>
          </w:tcPr>
          <w:p>
            <w:pPr>
              <w:spacing w:after="0"/>
              <w:rPr>
                <w:sz w:val="14"/>
                <w:szCs w:val="14"/>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24,045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18,274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44,404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38,230</w:t>
            </w:r>
          </w:p>
        </w:tc>
        <w:tc>
          <w:tcPr>
            <w:tcW w:w="20" w:type="dxa"/>
            <w:vAlign w:val="bottom"/>
            <w:shd w:val="clear" w:color="auto" w:fill="CCEEFF"/>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107,991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83,883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65,844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57,030</w:t>
            </w:r>
          </w:p>
        </w:tc>
        <w:tc>
          <w:tcPr>
            <w:tcW w:w="20" w:type="dxa"/>
            <w:vAlign w:val="bottom"/>
          </w:tcPr>
          <w:p>
            <w:pPr>
              <w:spacing w:after="0"/>
              <w:rPr>
                <w:sz w:val="14"/>
                <w:szCs w:val="14"/>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71,279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40,213</w:t>
            </w:r>
          </w:p>
        </w:tc>
        <w:tc>
          <w:tcPr>
            <w:tcW w:w="20" w:type="dxa"/>
            <w:vAlign w:val="bottom"/>
            <w:shd w:val="clear" w:color="auto" w:fill="CCEEFF"/>
          </w:tcPr>
          <w:p>
            <w:pPr>
              <w:spacing w:after="0"/>
              <w:rPr>
                <w:sz w:val="14"/>
                <w:szCs w:val="14"/>
                <w:color w:val="auto"/>
              </w:rPr>
            </w:pPr>
          </w:p>
        </w:tc>
      </w:tr>
      <w:tr>
        <w:trPr>
          <w:trHeight w:val="171"/>
        </w:trPr>
        <w:tc>
          <w:tcPr>
            <w:tcW w:w="40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36,775</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30,852</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15,491</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14,409</w:t>
            </w:r>
          </w:p>
        </w:tc>
        <w:tc>
          <w:tcPr>
            <w:tcW w:w="20" w:type="dxa"/>
            <w:vAlign w:val="bottom"/>
          </w:tcPr>
          <w:p>
            <w:pPr>
              <w:spacing w:after="0"/>
              <w:rPr>
                <w:sz w:val="14"/>
                <w:szCs w:val="14"/>
                <w:color w:val="auto"/>
              </w:rPr>
            </w:pPr>
          </w:p>
        </w:tc>
      </w:tr>
      <w:tr>
        <w:trPr>
          <w:trHeight w:val="161"/>
        </w:trPr>
        <w:tc>
          <w:tcPr>
            <w:tcW w:w="40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271,864</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218,442</w:t>
            </w: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220,975</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199,329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At June 30, 2023, there were no securities held in the portfolio from any one issuer in an amount greater than 10% of total stockholders’ equity other than the United States Government and Government Agency securities. All the collateralized mortgage obligations and mortgage-backed securities are issued by United States sponsored entities at June 30, 2023 and December 31, 2022.</w:t>
      </w:r>
    </w:p>
    <w:p>
      <w:pPr>
        <w:spacing w:after="0" w:line="143"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4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 w:type="dxa"/>
            <w:vAlign w:val="bottom"/>
            <w:tcBorders>
              <w:bottom w:val="single" w:sz="8" w:color="auto"/>
            </w:tcBorders>
          </w:tcPr>
          <w:p>
            <w:pPr>
              <w:spacing w:after="0"/>
              <w:rPr>
                <w:sz w:val="13"/>
                <w:szCs w:val="13"/>
                <w:color w:val="auto"/>
              </w:rPr>
            </w:pPr>
          </w:p>
        </w:tc>
        <w:tc>
          <w:tcPr>
            <w:tcW w:w="57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June 30, 2023</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 w:type="dxa"/>
            <w:vAlign w:val="bottom"/>
            <w:tcBorders>
              <w:bottom w:val="single" w:sz="8" w:color="auto"/>
            </w:tcBorders>
          </w:tcPr>
          <w:p>
            <w:pPr>
              <w:spacing w:after="0"/>
              <w:rPr>
                <w:sz w:val="13"/>
                <w:szCs w:val="13"/>
                <w:color w:val="auto"/>
              </w:rPr>
            </w:pPr>
          </w:p>
        </w:tc>
        <w:tc>
          <w:tcPr>
            <w:tcW w:w="53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151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53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3"/>
              </w:rPr>
              <w:t>Fair Value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auto"/>
            </w:tcBorders>
            <w:shd w:val="clear" w:color="auto" w:fill="CCEEFF"/>
          </w:tcPr>
          <w:p>
            <w:pPr>
              <w:spacing w:after="0"/>
              <w:rPr>
                <w:sz w:val="14"/>
                <w:szCs w:val="14"/>
                <w:color w:val="auto"/>
              </w:rPr>
            </w:pPr>
          </w:p>
        </w:tc>
        <w:tc>
          <w:tcPr>
            <w:tcW w:w="7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7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46,564</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(9,030)</w:t>
            </w:r>
          </w:p>
        </w:tc>
        <w:tc>
          <w:tcPr>
            <w:tcW w:w="20" w:type="dxa"/>
            <w:vAlign w:val="bottom"/>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46,564</w:t>
            </w: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(9,030)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U.S. Treasury</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70" w:type="dxa"/>
            <w:vAlign w:val="bottom"/>
          </w:tcPr>
          <w:p>
            <w:pPr>
              <w:jc w:val="right"/>
              <w:spacing w:after="0"/>
              <w:rPr>
                <w:sz w:val="20"/>
                <w:szCs w:val="20"/>
                <w:color w:val="auto"/>
              </w:rPr>
            </w:pPr>
            <w:r>
              <w:rPr>
                <w:rFonts w:ascii="Arial" w:cs="Arial" w:eastAsia="Arial" w:hAnsi="Arial"/>
                <w:sz w:val="13"/>
                <w:szCs w:val="13"/>
                <w:color w:val="auto"/>
              </w:rPr>
              <w:t>39,400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39,400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140,913</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(37,550)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140,913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(37,550)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70" w:type="dxa"/>
            <w:vAlign w:val="bottom"/>
          </w:tcPr>
          <w:p>
            <w:pPr>
              <w:jc w:val="right"/>
              <w:spacing w:after="0"/>
              <w:rPr>
                <w:sz w:val="20"/>
                <w:szCs w:val="20"/>
                <w:color w:val="auto"/>
              </w:rPr>
            </w:pPr>
            <w:r>
              <w:rPr>
                <w:rFonts w:ascii="Arial" w:cs="Arial" w:eastAsia="Arial" w:hAnsi="Arial"/>
                <w:sz w:val="13"/>
                <w:szCs w:val="13"/>
                <w:color w:val="auto"/>
              </w:rPr>
              <w:t>3,686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92,653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(20,400)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96,339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commercial</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34,733</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7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19,091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(5,953)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30" w:type="dxa"/>
            <w:vAlign w:val="bottom"/>
          </w:tcPr>
          <w:p>
            <w:pPr>
              <w:jc w:val="right"/>
              <w:spacing w:after="0"/>
              <w:rPr>
                <w:sz w:val="20"/>
                <w:szCs w:val="20"/>
                <w:color w:val="auto"/>
              </w:rPr>
            </w:pPr>
            <w:r>
              <w:rPr>
                <w:rFonts w:ascii="Arial" w:cs="Arial" w:eastAsia="Arial" w:hAnsi="Arial"/>
                <w:sz w:val="13"/>
                <w:szCs w:val="13"/>
                <w:color w:val="auto"/>
              </w:rPr>
              <w:t>19,091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subordinated debt securities</w:t>
            </w: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14"/>
                <w:szCs w:val="14"/>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4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57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13,762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5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13,762</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57,144</w:t>
            </w:r>
          </w:p>
        </w:tc>
        <w:tc>
          <w:tcPr>
            <w:tcW w:w="2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358,243</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(83,951)</w:t>
            </w:r>
          </w:p>
        </w:tc>
        <w:tc>
          <w:tcPr>
            <w:tcW w:w="260" w:type="dxa"/>
            <w:vAlign w:val="bottom"/>
            <w:gridSpan w:val="3"/>
            <w:shd w:val="clear" w:color="auto" w:fill="CCEEFF"/>
          </w:tcPr>
          <w:p>
            <w:pPr>
              <w:spacing w:after="0"/>
              <w:rPr>
                <w:sz w:val="14"/>
                <w:szCs w:val="14"/>
                <w:color w:val="auto"/>
              </w:rPr>
            </w:pPr>
          </w:p>
        </w:tc>
        <w:tc>
          <w:tcPr>
            <w:tcW w:w="70" w:type="dxa"/>
            <w:vAlign w:val="bottom"/>
            <w:shd w:val="clear" w:color="auto" w:fill="CCEEFF"/>
          </w:tcPr>
          <w:p>
            <w:pPr>
              <w:spacing w:after="0"/>
              <w:rPr>
                <w:sz w:val="20"/>
                <w:szCs w:val="20"/>
                <w:color w:val="auto"/>
              </w:rPr>
            </w:pPr>
            <w:r>
              <w:rPr>
                <w:rFonts w:ascii="Arial" w:cs="Arial" w:eastAsia="Arial" w:hAnsi="Arial"/>
                <w:sz w:val="13"/>
                <w:szCs w:val="13"/>
                <w:color w:val="auto"/>
                <w:w w:val="82"/>
                <w:shd w:val="clear" w:color="auto" w:fill="CCEEFF"/>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415,387</w:t>
            </w:r>
          </w:p>
        </w:tc>
        <w:tc>
          <w:tcPr>
            <w:tcW w:w="2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(84,740)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5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53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080" w:type="dxa"/>
            <w:vAlign w:val="bottom"/>
            <w:gridSpan w:val="14"/>
          </w:tcPr>
          <w:p>
            <w:pPr>
              <w:ind w:left="2140"/>
              <w:spacing w:after="0"/>
              <w:rPr>
                <w:sz w:val="20"/>
                <w:szCs w:val="20"/>
                <w:color w:val="auto"/>
              </w:rPr>
            </w:pPr>
            <w:r>
              <w:rPr>
                <w:rFonts w:ascii="Arial" w:cs="Arial" w:eastAsia="Arial" w:hAnsi="Arial"/>
                <w:sz w:val="13"/>
                <w:szCs w:val="13"/>
                <w:color w:val="auto"/>
              </w:rPr>
              <w:t>Notes to the Consolidated Financial Statements - Unaudited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3"/>
                <w:szCs w:val="13"/>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9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53"/>
        </w:trPr>
        <w:tc>
          <w:tcPr>
            <w:tcW w:w="24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Losses</w:t>
            </w: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Losses</w:t>
            </w:r>
          </w:p>
        </w:tc>
        <w:tc>
          <w:tcPr>
            <w:tcW w:w="9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4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U.S. Government Agency</w:t>
            </w: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11,407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(1,093)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36,310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(7,616)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47,717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(8,709)</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U.S. Treasury</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(963)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139,965</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(34,962)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156,465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(35,925)</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5,059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(564)</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91,742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(19,348)</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96,801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(19,912)</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(1,173)</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(5,300)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(6,473)</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18,483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(6,601)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18,483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(6,601)</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(670)</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(381)</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(1,051)</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20"/>
                <w:szCs w:val="20"/>
                <w:color w:val="auto"/>
              </w:rPr>
            </w:pPr>
            <w:r>
              <w:rPr>
                <w:rFonts w:ascii="Arial" w:cs="Arial" w:eastAsia="Arial" w:hAnsi="Arial"/>
                <w:sz w:val="13"/>
                <w:szCs w:val="13"/>
                <w:color w:val="auto"/>
              </w:rPr>
              <w:t>Corporate bonds</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13,723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(926)</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13,723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77,864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(5,402)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315,942</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(74,208)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393,806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(79,610)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As of June 30, 2023, the unrealized losses associated with $131.7 million of investment securities transferred from the AFS portfolio to the HTM portfolio represent unrealized losses since the date of purchase, independent of the impact associated with changes in the cost basis of the securities upon transfer between portfolios.</w:t>
      </w:r>
    </w:p>
    <w:p>
      <w:pPr>
        <w:spacing w:after="0" w:line="12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ASC Topic 326 amended the existing other-than-temporary-impairment guidance for AFS securities, requiring credit losses to be recorded as an allowance rather than through a permanent write-down. 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 over its holding period as it moves to maturity and the Company has the intent and ability to hold these securities to maturity if necessary. As a result of this evaluation, the Company concluded that no allowance was required on AFS securities.</w:t>
      </w:r>
    </w:p>
    <w:p>
      <w:pPr>
        <w:spacing w:after="0" w:line="136"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At June 30, 2023, the Company had $57.9 million of unrealized losses on mortgage-backed securities and collateralized mortgage obligations of government sponsored entities having a fair value of $284.5 million that were attributable to a combination of factors, including relative changes in interest rates since the time of purchase.</w:t>
      </w:r>
    </w:p>
    <w:p>
      <w:pPr>
        <w:spacing w:after="0" w:line="138"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At December 31, 2022, the Company had $53.7 million of unrealized losses on mortgage backed securities and collateralized mortgage obligations of government sponsored entities having a fair value of $294.6 million that were attributable to a combination of factors, including relative changes in interest rates since the time of purchase.</w:t>
      </w:r>
    </w:p>
    <w:p>
      <w:pPr>
        <w:spacing w:after="0" w:line="144"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believed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46"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At June 30, 2023, the Company does not intend to sell debt securities that are in an unrealized loss position and it is not more than likely than not that the Company will be required to sell these securities before recovery of the amortized cost basis. Therefore, management does not consider any investment to be other than temporarily impaired at June 30, 2023.</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Pledged Securities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maintains a master repurchase agreement with a public banking institution for up to $ 20.0 million fully guaranteed with investment securities upon withdrawal. Any amounts borrowed would be at a variable interest rate based on prevailing rates at the time funding is requested. As of June 30, 2023, the Company did not have any securities pledged under this agreement.</w:t>
      </w:r>
    </w:p>
    <w:p>
      <w:pPr>
        <w:spacing w:after="0" w:line="143"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is a Qualified Public Depositor (“QPD”) with the State of Florida. As a QPD, the Company has the legal authority to maintain public deposits from cities, municipalities, and the State of Florida. These public deposits are secured by securities pledged to the State of Florida at a ratio of 25% of the outstanding uninsured deposits. The Company must also maintain a minimum amount of pledged securities to be in the public funds program.</w:t>
      </w:r>
    </w:p>
    <w:p>
      <w:pPr>
        <w:spacing w:after="0" w:line="200" w:lineRule="exact"/>
        <w:rPr>
          <w:sz w:val="20"/>
          <w:szCs w:val="20"/>
          <w:color w:val="auto"/>
        </w:rPr>
      </w:pPr>
    </w:p>
    <w:p>
      <w:pPr>
        <w:spacing w:after="0" w:line="35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4"/>
          <w:szCs w:val="14"/>
          <w:color w:val="auto"/>
        </w:rPr>
        <w:t>As of June 30, 2023, the Company had a total of $219.4 million in deposits under the public funds program and pledged to the State of Florida for these public funds were twenty nine bonds with an aggregate fair value of $78.4 million.</w:t>
      </w:r>
    </w:p>
    <w:p>
      <w:pPr>
        <w:spacing w:after="0" w:line="13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As of December 31, 2022, the Company had a total of $204.2 million in deposits under the public funds program and pledged to the State of Florida for these public funds were eighteen corporate bonds with an aggregate fair value of $49.0 million.</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Federal Reserve Board, on March 12, 2023, announced the creation of a new Bank Term Funding Program (BTFP). The BTFP offers loans of up to one year in length to banks, savings associations, credit unions, and other eligible depository institutions pledging U.S. Treasuries, U.S. agency debt and mortgage-backed securities, and other qualifying assets as collateral. These assets will be valued at par.</w:t>
      </w:r>
    </w:p>
    <w:p>
      <w:pPr>
        <w:spacing w:after="0" w:line="143"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Company had no borrowing under the BTFP program as of June 30, 2023 and had pledged $ 136.8 million in securities measured at par to the Federal Reserve Bank of Atlanta for the BTFP program.</w:t>
      </w:r>
    </w:p>
    <w:p>
      <w:pPr>
        <w:spacing w:after="0" w:line="285" w:lineRule="exact"/>
        <w:rPr>
          <w:sz w:val="20"/>
          <w:szCs w:val="20"/>
          <w:color w:val="auto"/>
        </w:rPr>
      </w:pPr>
    </w:p>
    <w:p>
      <w:pPr>
        <w:ind w:left="1040" w:hanging="377"/>
        <w:spacing w:after="0"/>
        <w:tabs>
          <w:tab w:leader="none" w:pos="10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1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On January 1, 2023, the Company adopted FASB ASC Topic 326 using the modified retrospective methodology in accordance with the amendments of FASB ASU 2016-13. Through the adoption of CECL, the Company developed an allowance for credit losses (“ACL”) methodology that replaces its previous allowance for loan losses methodology. See the ACL section in this note for further information regarding the Company’s ACL. Prior periods balance for ACL are presented under legacy GAAP and may not be comparable to current period presentation.</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3"/>
                <w:szCs w:val="13"/>
                <w:b w:val="1"/>
                <w:bCs w:val="1"/>
                <w:color w:val="auto"/>
              </w:rPr>
              <w:t>June 30, 2023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r>
      <w:tr>
        <w:trPr>
          <w:trHeight w:val="190"/>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r>
      <w:tr>
        <w:trPr>
          <w:trHeight w:val="153"/>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9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6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183,093</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12.3 %</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989,401</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62.0 %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169,401</w:t>
            </w:r>
          </w:p>
        </w:tc>
        <w:tc>
          <w:tcPr>
            <w:tcW w:w="60" w:type="dxa"/>
            <w:vAlign w:val="bottom"/>
            <w:gridSpan w:val="2"/>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8.4 %</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85,409</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5.4 %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20" w:type="dxa"/>
            <w:vAlign w:val="bottom"/>
            <w:shd w:val="clear" w:color="auto" w:fill="CCEEFF"/>
          </w:tcPr>
          <w:p>
            <w:pPr>
              <w:spacing w:after="0"/>
              <w:rPr>
                <w:sz w:val="14"/>
                <w:szCs w:val="14"/>
                <w:color w:val="auto"/>
              </w:rPr>
            </w:pP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1,595,149</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r>
      <w:tr>
        <w:trPr>
          <w:trHeight w:val="121"/>
        </w:trPr>
        <w:tc>
          <w:tcPr>
            <w:tcW w:w="33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Less: Deferred fees (cost)</w:t>
            </w: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(810)</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5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1,595,959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18,815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1,577,144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1,489,851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At June 30, 2023 and December 31, 2022, the Company had $582.9 million and $ 338.1 million, respectively, of commercial real estate and residential mortgage loans pledged as collateral for lines of credit with the FHLB and the Federal Reserve Bank of Atlanta.</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was a participant in the Small Business Administration’s (“SBA”) Paycheck Protection Program (“PPP”) loans. These loans were designed to provide a direct incentive for small businesses to keep their workers on payroll and the funds had to be used towards payroll cost, mortgage interest, rent, utilities and other costs related to COVID-19. These loans are forgivable under specific criteria as determined by the SBA. The Company had PPP loans totaling $ 299 thousand at June 30, 2023 and $1.3 million at December 31, 2022, which are categorized as commercial and industrial loans.</w:t>
      </w:r>
    </w:p>
    <w:p>
      <w:pPr>
        <w:spacing w:after="0" w:line="133" w:lineRule="exact"/>
        <w:rPr>
          <w:sz w:val="20"/>
          <w:szCs w:val="20"/>
          <w:color w:val="auto"/>
        </w:rPr>
      </w:pPr>
    </w:p>
    <w:p>
      <w:pPr>
        <w:jc w:val="both"/>
        <w:ind w:left="660" w:right="639" w:firstLine="256"/>
        <w:spacing w:after="0" w:line="260" w:lineRule="auto"/>
        <w:rPr>
          <w:sz w:val="20"/>
          <w:szCs w:val="20"/>
          <w:color w:val="auto"/>
        </w:rPr>
      </w:pPr>
      <w:r>
        <w:rPr>
          <w:rFonts w:ascii="Arial" w:cs="Arial" w:eastAsia="Arial" w:hAnsi="Arial"/>
          <w:sz w:val="14"/>
          <w:szCs w:val="14"/>
          <w:color w:val="auto"/>
        </w:rPr>
        <w:t>The Company recognized $4 thousand and $1.5 million in PPP loan fees and interest income during the six months ended June 30, 2023 and 2022, respectively, which is reported under loans, including fees,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In general, the Company utilizes the Discounted Cash Flow (DCF) method or the Remaining Life (WARM) methodology to estimate the quantitative portion of the ACL for loan pools. The DCF uses a loss driver analysis (LDA) and discounted cash flow analyses. Management engaged advisors and consultants with expertise in CECL model development to assist in development of a loss driver analysis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and/or the HPI. For each of the segments in which the WARM methodology is used, the long-term average loss rate is calculated and applied on a quarterly basis for the remaining life of the pool. Adjustments for economic expectations are made through qualitative factors .</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used in the ACL methodology include:</w:t>
      </w:r>
    </w:p>
    <w:p>
      <w:pPr>
        <w:spacing w:after="0" w:line="159" w:lineRule="exact"/>
        <w:rPr>
          <w:sz w:val="20"/>
          <w:szCs w:val="20"/>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1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conditions</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nature and volume of portfolio</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Concentration risk</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150"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ACL for the three and six months ended June 30 2023, was estimated under the CECL methodology, and for all periods in 2022, it was estimated under the incurred loss model.</w:t>
      </w:r>
    </w:p>
    <w:p>
      <w:pPr>
        <w:spacing w:after="0" w:line="111" w:lineRule="exact"/>
        <w:rPr>
          <w:sz w:val="20"/>
          <w:szCs w:val="20"/>
          <w:color w:val="auto"/>
        </w:rPr>
      </w:pPr>
    </w:p>
    <w:p>
      <w:pPr>
        <w:ind w:left="660" w:right="679" w:firstLine="256"/>
        <w:spacing w:after="0" w:line="283" w:lineRule="auto"/>
        <w:rPr>
          <w:sz w:val="20"/>
          <w:szCs w:val="20"/>
          <w:color w:val="auto"/>
        </w:rPr>
      </w:pPr>
      <w:r>
        <w:rPr>
          <w:rFonts w:ascii="Arial" w:cs="Arial" w:eastAsia="Arial" w:hAnsi="Arial"/>
          <w:sz w:val="14"/>
          <w:szCs w:val="14"/>
          <w:color w:val="auto"/>
        </w:rPr>
        <w:t>Changes in the allowance for credit losses for the three and six months ended June 30 2023 and 2022 were as follows (in thousands):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tcPr>
          <w:p>
            <w:pPr>
              <w:ind w:left="6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Foreign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5"/>
          </w:tcPr>
          <w:p>
            <w:pPr>
              <w:ind w:left="6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Industrial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Banks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w:t>
            </w:r>
          </w:p>
        </w:tc>
      </w:tr>
      <w:tr>
        <w:trPr>
          <w:trHeight w:val="141"/>
        </w:trPr>
        <w:tc>
          <w:tcPr>
            <w:tcW w:w="250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Three Months Ended June 30, 2023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50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6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2,819</w:t>
            </w:r>
          </w:p>
        </w:tc>
        <w:tc>
          <w:tcPr>
            <w:tcW w:w="20" w:type="dxa"/>
            <w:vAlign w:val="bottom"/>
          </w:tcPr>
          <w:p>
            <w:pPr>
              <w:spacing w:after="0"/>
              <w:rPr>
                <w:sz w:val="14"/>
                <w:szCs w:val="14"/>
                <w:color w:val="auto"/>
              </w:rPr>
            </w:pP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10,453</w:t>
            </w:r>
          </w:p>
        </w:tc>
        <w:tc>
          <w:tcPr>
            <w:tcW w:w="20" w:type="dxa"/>
            <w:vAlign w:val="bottom"/>
          </w:tcPr>
          <w:p>
            <w:pPr>
              <w:spacing w:after="0"/>
              <w:rPr>
                <w:sz w:val="14"/>
                <w:szCs w:val="14"/>
                <w:color w:val="auto"/>
              </w:rPr>
            </w:pP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2,367</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772</w:t>
            </w:r>
          </w:p>
        </w:tc>
        <w:tc>
          <w:tcPr>
            <w:tcW w:w="2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2,476</w:t>
            </w:r>
          </w:p>
        </w:tc>
        <w:tc>
          <w:tcPr>
            <w:tcW w:w="20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18,887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500" w:type="dxa"/>
            <w:vAlign w:val="bottom"/>
            <w:shd w:val="clear" w:color="auto" w:fill="CCEEFF"/>
          </w:tcPr>
          <w:p>
            <w:pPr>
              <w:ind w:left="40"/>
              <w:spacing w:after="0" w:line="18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 w:type="dxa"/>
            <w:vAlign w:val="bottom"/>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61"/>
        </w:trPr>
        <w:tc>
          <w:tcPr>
            <w:tcW w:w="250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7"/>
        </w:trPr>
        <w:tc>
          <w:tcPr>
            <w:tcW w:w="2500" w:type="dxa"/>
            <w:vAlign w:val="bottom"/>
          </w:tcPr>
          <w:p>
            <w:pPr>
              <w:ind w:left="40"/>
              <w:spacing w:after="0"/>
              <w:rPr>
                <w:sz w:val="20"/>
                <w:szCs w:val="20"/>
                <w:color w:val="auto"/>
              </w:rPr>
            </w:pPr>
            <w:r>
              <w:rPr>
                <w:rFonts w:ascii="Arial" w:cs="Arial" w:eastAsia="Arial" w:hAnsi="Arial"/>
                <w:sz w:val="13"/>
                <w:szCs w:val="13"/>
                <w:color w:val="auto"/>
              </w:rPr>
              <w:t>Ending Balance</w:t>
            </w:r>
          </w:p>
        </w:tc>
        <w:tc>
          <w:tcPr>
            <w:tcW w:w="16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2,673</w:t>
            </w:r>
          </w:p>
        </w:tc>
        <w:tc>
          <w:tcPr>
            <w:tcW w:w="2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10,183</w:t>
            </w:r>
          </w:p>
        </w:tc>
        <w:tc>
          <w:tcPr>
            <w:tcW w:w="2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2,500</w:t>
            </w:r>
          </w:p>
        </w:tc>
        <w:tc>
          <w:tcPr>
            <w:tcW w:w="18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677</w:t>
            </w:r>
          </w:p>
        </w:tc>
        <w:tc>
          <w:tcPr>
            <w:tcW w:w="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3"/>
                <w:szCs w:val="13"/>
                <w:color w:val="auto"/>
              </w:rPr>
              <w:t>2,782</w:t>
            </w:r>
          </w:p>
        </w:tc>
        <w:tc>
          <w:tcPr>
            <w:tcW w:w="20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18,815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bl>
    <w:p>
      <w:pPr>
        <w:spacing w:after="0" w:line="1" w:lineRule="exact"/>
        <w:rPr>
          <w:sz w:val="20"/>
          <w:szCs w:val="20"/>
          <w:color w:val="auto"/>
        </w:rPr>
      </w:pPr>
    </w:p>
    <w:p>
      <w:pPr>
        <w:sectPr>
          <w:pgSz w:w="11900" w:h="16838" w:orient="portrait"/>
          <w:cols w:equalWidth="0" w:num="1">
            <w:col w:w="9019"/>
          </w:cols>
          <w:pgMar w:left="1440" w:top="481" w:right="1440" w:bottom="1440" w:gutter="0" w:footer="0" w:header="0"/>
        </w:sectPr>
      </w:pPr>
    </w:p>
    <w:tbl>
      <w:tblPr>
        <w:tblLayout w:type="fixed"/>
        <w:tblInd w:w="66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3"/>
                <w:szCs w:val="13"/>
                <w:b w:val="1"/>
                <w:bCs w:val="1"/>
                <w:color w:val="auto"/>
              </w:rPr>
              <w:t>Six Months Ended June 30, 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8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Beginning balance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w w:val="97"/>
              </w:rPr>
              <w:t>Cumulative effect of adoption of accounting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 xml:space="preserve">principle </w:t>
            </w:r>
            <w:r>
              <w:rPr>
                <w:rFonts w:ascii="Arial" w:cs="Arial" w:eastAsia="Arial" w:hAnsi="Arial"/>
                <w:sz w:val="17"/>
                <w:szCs w:val="17"/>
                <w:color w:val="auto"/>
                <w:vertAlign w:val="superscript"/>
              </w:rPr>
              <w:t>(2)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vMerge w:val="restart"/>
            <w:shd w:val="clear" w:color="auto" w:fill="CCEEFF"/>
          </w:tcPr>
          <w:p>
            <w:pPr>
              <w:ind w:left="20"/>
              <w:spacing w:after="0" w:line="150"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Ending Balance</w:t>
            </w:r>
          </w:p>
        </w:tc>
        <w:tc>
          <w:tcPr>
            <w:tcW w:w="20" w:type="dxa"/>
            <w:vAlign w:val="bottom"/>
            <w:tcBorders>
              <w:bottom w:val="single" w:sz="8" w:color="auto"/>
            </w:tcBorders>
          </w:tcPr>
          <w:p>
            <w:pPr>
              <w:spacing w:after="0"/>
              <w:rPr>
                <w:sz w:val="15"/>
                <w:szCs w:val="15"/>
                <w:color w:val="auto"/>
              </w:rPr>
            </w:pPr>
          </w:p>
        </w:tc>
        <w:tc>
          <w:tcPr>
            <w:tcW w:w="120" w:type="dxa"/>
            <w:vAlign w:val="bottom"/>
            <w:gridSpan w:val="3"/>
          </w:tcPr>
          <w:p>
            <w:pPr>
              <w:ind w:left="40"/>
              <w:spacing w:after="0"/>
              <w:rPr>
                <w:sz w:val="20"/>
                <w:szCs w:val="20"/>
                <w:color w:val="auto"/>
              </w:rPr>
            </w:pPr>
            <w:r>
              <w:rPr>
                <w:rFonts w:ascii="Arial" w:cs="Arial" w:eastAsia="Arial" w:hAnsi="Arial"/>
                <w:sz w:val="13"/>
                <w:szCs w:val="13"/>
                <w:color w:val="auto"/>
                <w:w w:val="8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shd w:val="clear" w:color="auto" w:fill="CCEEFF"/>
              </w:rPr>
              <w:t>$</w:t>
            </w:r>
          </w:p>
        </w:tc>
        <w:tc>
          <w:tcPr>
            <w:tcW w:w="60" w:type="dxa"/>
            <w:vAlign w:val="bottom"/>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4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60" w:type="dxa"/>
            <w:vAlign w:val="bottom"/>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0" w:type="dxa"/>
            <w:vAlign w:val="bottom"/>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9"/>
        </w:trPr>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1,238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1,105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(2,158)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1,066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8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w:t>
            </w:r>
          </w:p>
        </w:tc>
        <w:tc>
          <w:tcPr>
            <w:tcW w:w="6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Borders>
              <w:left w:val="single" w:sz="8" w:color="CCEEFF"/>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left w:val="single" w:sz="8" w:color="CCEEFF"/>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3"/>
                <w:szCs w:val="13"/>
                <w:color w:val="auto"/>
              </w:rPr>
            </w:pPr>
          </w:p>
        </w:tc>
        <w:tc>
          <w:tcPr>
            <w:tcW w:w="60" w:type="dxa"/>
            <w:vAlign w:val="bottom"/>
            <w:tcBorders>
              <w:left w:val="single" w:sz="8" w:color="CCEEFF"/>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left w:val="single" w:sz="8" w:color="CCEEFF"/>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left w:val="single" w:sz="8" w:color="CCEEFF"/>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2,673</w:t>
            </w:r>
          </w:p>
        </w:tc>
        <w:tc>
          <w:tcPr>
            <w:tcW w:w="60" w:type="dxa"/>
            <w:vAlign w:val="bottom"/>
          </w:tcPr>
          <w:p>
            <w:pPr>
              <w:spacing w:after="0"/>
              <w:rPr>
                <w:sz w:val="14"/>
                <w:szCs w:val="14"/>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10,183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2,500</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677</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2,782</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18,815</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ectPr>
          <w:pgSz w:w="11900" w:h="16838" w:orient="portrait"/>
          <w:cols w:equalWidth="0" w:num="2">
            <w:col w:w="3300" w:space="40"/>
            <w:col w:w="5679"/>
          </w:cols>
          <w:pgMar w:left="1440" w:top="481" w:right="1440" w:bottom="1440" w:gutter="0" w:footer="0" w:header="0"/>
          <w:type w:val="continuous"/>
        </w:sectPr>
      </w:pPr>
    </w:p>
    <w:p>
      <w:pPr>
        <w:ind w:left="700" w:right="1039" w:hanging="5"/>
        <w:spacing w:after="0" w:line="242" w:lineRule="auto"/>
        <w:tabs>
          <w:tab w:leader="none" w:pos="892" w:val="left"/>
        </w:tabs>
        <w:numPr>
          <w:ilvl w:val="1"/>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$62 thousand expense due to unfunded commitments included in other liabilities and $19 thousand expense due to investment securities held to maturity.</w:t>
      </w:r>
    </w:p>
    <w:p>
      <w:pPr>
        <w:spacing w:after="0" w:line="7" w:lineRule="exact"/>
        <w:rPr>
          <w:rFonts w:ascii="Arial" w:cs="Arial" w:eastAsia="Arial" w:hAnsi="Arial"/>
          <w:sz w:val="13"/>
          <w:szCs w:val="13"/>
          <w:color w:val="auto"/>
        </w:rPr>
      </w:pPr>
    </w:p>
    <w:p>
      <w:pPr>
        <w:ind w:left="880" w:hanging="185"/>
        <w:spacing w:after="0"/>
        <w:tabs>
          <w:tab w:leader="none" w:pos="880" w:val="left"/>
        </w:tabs>
        <w:numPr>
          <w:ilvl w:val="1"/>
          <w:numId w:val="6"/>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53" w:lineRule="exact"/>
        <w:rPr>
          <w:rFonts w:ascii="Arial" w:cs="Arial" w:eastAsia="Arial" w:hAnsi="Arial"/>
          <w:sz w:val="13"/>
          <w:szCs w:val="13"/>
          <w:color w:val="auto"/>
        </w:rPr>
      </w:pPr>
    </w:p>
    <w:p>
      <w:pPr>
        <w:ind w:left="660" w:right="1139" w:firstLine="3"/>
        <w:spacing w:after="0" w:line="242" w:lineRule="auto"/>
        <w:tabs>
          <w:tab w:leader="none" w:pos="852"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$22 thousand release due to unfunded commitments included in other liabilities and $19 thousand expense due to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type w:val="continuous"/>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920" w:type="dxa"/>
            <w:vAlign w:val="bottom"/>
            <w:gridSpan w:val="12"/>
          </w:tcPr>
          <w:p>
            <w:pPr>
              <w:jc w:val="right"/>
              <w:ind w:right="456"/>
              <w:spacing w:after="0"/>
              <w:rPr>
                <w:sz w:val="20"/>
                <w:szCs w:val="20"/>
                <w:color w:val="auto"/>
              </w:rPr>
            </w:pPr>
            <w:r>
              <w:rPr>
                <w:rFonts w:ascii="Arial" w:cs="Arial" w:eastAsia="Arial" w:hAnsi="Arial"/>
                <w:sz w:val="13"/>
                <w:szCs w:val="13"/>
                <w:color w:val="auto"/>
                <w:w w:val="97"/>
              </w:rPr>
              <w:t>Notes to the Consolidated Financial Statements - 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b w:val="1"/>
                <w:bCs w:val="1"/>
                <w:color w:val="auto"/>
              </w:rPr>
              <w:t>Residential</w:t>
            </w:r>
          </w:p>
        </w:tc>
        <w:tc>
          <w:tcPr>
            <w:tcW w:w="20" w:type="dxa"/>
            <w:vAlign w:val="bottom"/>
          </w:tcPr>
          <w:p>
            <w:pPr>
              <w:spacing w:after="0"/>
              <w:rPr>
                <w:sz w:val="24"/>
                <w:szCs w:val="24"/>
                <w:color w:val="auto"/>
              </w:rPr>
            </w:pPr>
          </w:p>
        </w:tc>
        <w:tc>
          <w:tcPr>
            <w:tcW w:w="880" w:type="dxa"/>
            <w:vAlign w:val="bottom"/>
            <w:gridSpan w:val="2"/>
          </w:tcPr>
          <w:p>
            <w:pPr>
              <w:jc w:val="right"/>
              <w:ind w:right="36"/>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Consumer</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and Industrial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10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6"/>
              </w:rPr>
              <w:t>Three Months Ended June 30, 2022</w:t>
            </w:r>
          </w:p>
        </w:tc>
        <w:tc>
          <w:tcPr>
            <w:tcW w:w="40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2,357</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9,183</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2,355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491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688</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15,074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160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4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6"/>
              <w:spacing w:after="0"/>
              <w:rPr>
                <w:sz w:val="20"/>
                <w:szCs w:val="20"/>
                <w:color w:val="auto"/>
              </w:rPr>
            </w:pPr>
            <w:r>
              <w:rPr>
                <w:rFonts w:ascii="Arial" w:cs="Arial" w:eastAsia="Arial" w:hAnsi="Arial"/>
                <w:sz w:val="13"/>
                <w:szCs w:val="13"/>
                <w:color w:val="auto"/>
              </w:rPr>
              <w:t>2,366</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9,290</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2,671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651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808</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15,786</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120" w:type="dxa"/>
            <w:vAlign w:val="bottom"/>
          </w:tcPr>
          <w:p>
            <w:pPr>
              <w:spacing w:after="0"/>
              <w:rPr>
                <w:sz w:val="20"/>
                <w:szCs w:val="20"/>
                <w:color w:val="auto"/>
              </w:rPr>
            </w:pPr>
            <w:r>
              <w:rPr>
                <w:rFonts w:ascii="Arial" w:cs="Arial" w:eastAsia="Arial" w:hAnsi="Arial"/>
                <w:sz w:val="13"/>
                <w:szCs w:val="13"/>
                <w:b w:val="1"/>
                <w:bCs w:val="1"/>
                <w:color w:val="auto"/>
              </w:rPr>
              <w:t>Six Months Ended June 30, 2022</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2,498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2,775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457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569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532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194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242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4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214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Ending Balance</w:t>
            </w:r>
          </w:p>
        </w:tc>
        <w:tc>
          <w:tcPr>
            <w:tcW w:w="40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tcBorders>
              <w:top w:val="single" w:sz="8" w:color="auto"/>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2,366</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9,290</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2,671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651</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808</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At June 30, 2023 the ACL, under the CECL methodology, was $ 18.8 million compared to $ 17.5 million at December 31, 2022, under the incurred loss methodology. The increase of $ 1.3 million was composed of $1.1 million impact of adoption of the ASU 2016-13 on loan receivables, $242 thousand increase on ACL for loan receivables due to loan growth, and $ 20 thousand decrease due to net charge offs.</w:t>
      </w:r>
    </w:p>
    <w:p>
      <w:pPr>
        <w:spacing w:after="0" w:line="143"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Company had charge offs totaling $40 thousand for the quarter ended June 30 2023 on loans. $21 thousand of charge offs related to loans were originated in 2015 and $19 thousand related to loans were originated in 2023.</w:t>
      </w:r>
    </w:p>
    <w:p>
      <w:pPr>
        <w:spacing w:after="0" w:line="133"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Company had charge offs totaling $ 45 thousand for the six months ended June 30 2023 on loans. $21 thousand of charge offs related to loans were originated in 2015 and $24 thousand related to loans were originated in 2023.</w:t>
      </w:r>
    </w:p>
    <w:p>
      <w:pPr>
        <w:spacing w:after="0" w:line="133" w:lineRule="exact"/>
        <w:rPr>
          <w:sz w:val="20"/>
          <w:szCs w:val="20"/>
          <w:color w:val="auto"/>
        </w:rPr>
      </w:pPr>
    </w:p>
    <w:p>
      <w:pPr>
        <w:jc w:val="both"/>
        <w:ind w:left="660" w:right="679" w:firstLine="299"/>
        <w:spacing w:after="0" w:line="253" w:lineRule="auto"/>
        <w:rPr>
          <w:sz w:val="20"/>
          <w:szCs w:val="20"/>
          <w:color w:val="auto"/>
        </w:rPr>
      </w:pPr>
      <w:r>
        <w:rPr>
          <w:rFonts w:ascii="Arial" w:cs="Arial" w:eastAsia="Arial" w:hAnsi="Arial"/>
          <w:sz w:val="14"/>
          <w:szCs w:val="14"/>
          <w:color w:val="auto"/>
        </w:rPr>
        <w:t>The Federal Open Market Committee (“FOMC”) economic forecasts as of June 30, 2023 showed improvements in unemployment and real GDP growth. Fannie Mae HPI forecast reflected deterioration in national housing prices, but to a lesser extent than forecasts published in first quarter 2023. The Company continued to adjust the HPI index effect on 1-4 Family loan portfolio with a qualitative factor because Florida housing prices are performing better than national levels.</w:t>
      </w:r>
    </w:p>
    <w:p>
      <w:pPr>
        <w:spacing w:after="0" w:line="132" w:lineRule="exact"/>
        <w:rPr>
          <w:sz w:val="20"/>
          <w:szCs w:val="20"/>
          <w:color w:val="auto"/>
        </w:rPr>
      </w:pPr>
    </w:p>
    <w:p>
      <w:pPr>
        <w:ind w:left="660" w:right="719" w:firstLine="256"/>
        <w:spacing w:after="0" w:line="283" w:lineRule="auto"/>
        <w:rPr>
          <w:sz w:val="20"/>
          <w:szCs w:val="20"/>
          <w:color w:val="auto"/>
        </w:rPr>
      </w:pPr>
      <w:r>
        <w:rPr>
          <w:rFonts w:ascii="Arial" w:cs="Arial" w:eastAsia="Arial" w:hAnsi="Arial"/>
          <w:sz w:val="14"/>
          <w:szCs w:val="14"/>
          <w:color w:val="auto"/>
        </w:rPr>
        <w:t>The ACL and the outstanding balances in the specified loan categories as of June 30, 2023 and December 31, 2022 are as follows (in thousands):</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9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22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and Other</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June 30, 2023:</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Individually evaluated for impairment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20" w:type="dxa"/>
            <w:vAlign w:val="bottom"/>
            <w:shd w:val="clear" w:color="auto" w:fill="CCEEFF"/>
          </w:tcPr>
          <w:p>
            <w:pPr>
              <w:spacing w:after="0"/>
              <w:rPr>
                <w:sz w:val="14"/>
                <w:szCs w:val="14"/>
                <w:color w:val="auto"/>
              </w:rPr>
            </w:pPr>
          </w:p>
        </w:tc>
      </w:tr>
      <w:tr>
        <w:trPr>
          <w:trHeight w:val="171"/>
        </w:trPr>
        <w:tc>
          <w:tcPr>
            <w:tcW w:w="22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2,529</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2,782</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18,589</w:t>
            </w:r>
          </w:p>
        </w:tc>
        <w:tc>
          <w:tcPr>
            <w:tcW w:w="20" w:type="dxa"/>
            <w:vAlign w:val="bottom"/>
          </w:tcPr>
          <w:p>
            <w:pPr>
              <w:spacing w:after="0"/>
              <w:rPr>
                <w:sz w:val="14"/>
                <w:szCs w:val="14"/>
                <w:color w:val="auto"/>
              </w:rPr>
            </w:pPr>
          </w:p>
        </w:tc>
      </w:tr>
      <w:tr>
        <w:trPr>
          <w:trHeight w:val="151"/>
        </w:trPr>
        <w:tc>
          <w:tcPr>
            <w:tcW w:w="2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w:t>
            </w:r>
          </w:p>
        </w:tc>
        <w:tc>
          <w:tcPr>
            <w:tcW w:w="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2,782</w:t>
            </w:r>
          </w:p>
        </w:tc>
        <w:tc>
          <w:tcPr>
            <w:tcW w:w="4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18,815</w:t>
            </w:r>
          </w:p>
        </w:tc>
        <w:tc>
          <w:tcPr>
            <w:tcW w:w="20" w:type="dxa"/>
            <w:vAlign w:val="bottom"/>
            <w:shd w:val="clear" w:color="auto" w:fill="CCEEFF"/>
          </w:tcPr>
          <w:p>
            <w:pPr>
              <w:spacing w:after="0"/>
              <w:rPr>
                <w:sz w:val="13"/>
                <w:szCs w:val="13"/>
                <w:color w:val="auto"/>
              </w:rPr>
            </w:pPr>
          </w:p>
        </w:tc>
      </w:tr>
      <w:tr>
        <w:trPr>
          <w:trHeight w:val="20"/>
        </w:trPr>
        <w:tc>
          <w:tcPr>
            <w:tcW w:w="230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3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00" w:type="dxa"/>
            <w:vAlign w:val="bottom"/>
            <w:gridSpan w:val="2"/>
          </w:tcPr>
          <w:p>
            <w:pPr>
              <w:ind w:left="100"/>
              <w:spacing w:after="0"/>
              <w:rPr>
                <w:sz w:val="20"/>
                <w:szCs w:val="20"/>
                <w:color w:val="auto"/>
              </w:rPr>
            </w:pPr>
            <w:r>
              <w:rPr>
                <w:rFonts w:ascii="Arial" w:cs="Arial" w:eastAsia="Arial" w:hAnsi="Arial"/>
                <w:sz w:val="13"/>
                <w:szCs w:val="13"/>
                <w:color w:val="auto"/>
              </w:rPr>
              <w:t>Individually evaluated for impairment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7,105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547</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7,652</w:t>
            </w:r>
          </w:p>
        </w:tc>
        <w:tc>
          <w:tcPr>
            <w:tcW w:w="20" w:type="dxa"/>
            <w:vAlign w:val="bottom"/>
          </w:tcPr>
          <w:p>
            <w:pPr>
              <w:spacing w:after="0"/>
              <w:rPr>
                <w:sz w:val="14"/>
                <w:szCs w:val="14"/>
                <w:color w:val="auto"/>
              </w:rPr>
            </w:pPr>
          </w:p>
        </w:tc>
      </w:tr>
      <w:tr>
        <w:trPr>
          <w:trHeight w:val="165"/>
        </w:trPr>
        <w:tc>
          <w:tcPr>
            <w:tcW w:w="22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175,988</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168,854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85,409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1,587,497</w:t>
            </w:r>
          </w:p>
        </w:tc>
        <w:tc>
          <w:tcPr>
            <w:tcW w:w="20" w:type="dxa"/>
            <w:vAlign w:val="bottom"/>
            <w:shd w:val="clear" w:color="auto" w:fill="CCEEFF"/>
          </w:tcPr>
          <w:p>
            <w:pPr>
              <w:spacing w:after="0"/>
              <w:rPr>
                <w:sz w:val="14"/>
                <w:szCs w:val="14"/>
                <w:color w:val="auto"/>
              </w:rPr>
            </w:pPr>
          </w:p>
        </w:tc>
      </w:tr>
      <w:tr>
        <w:trPr>
          <w:trHeight w:val="168"/>
        </w:trPr>
        <w:tc>
          <w:tcPr>
            <w:tcW w:w="230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183,093</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989,401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169,401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85,409</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167,845</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1,595,149</w:t>
            </w:r>
          </w:p>
        </w:tc>
        <w:tc>
          <w:tcPr>
            <w:tcW w:w="20" w:type="dxa"/>
            <w:vAlign w:val="bottom"/>
          </w:tcPr>
          <w:p>
            <w:pPr>
              <w:spacing w:after="0"/>
              <w:rPr>
                <w:sz w:val="14"/>
                <w:szCs w:val="14"/>
                <w:color w:val="auto"/>
              </w:rPr>
            </w:pPr>
          </w:p>
        </w:tc>
      </w:tr>
      <w:tr>
        <w:trPr>
          <w:trHeight w:val="149"/>
        </w:trPr>
        <w:tc>
          <w:tcPr>
            <w:tcW w:w="230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00" w:type="dxa"/>
            <w:vAlign w:val="bottom"/>
            <w:gridSpan w:val="2"/>
          </w:tcPr>
          <w:p>
            <w:pPr>
              <w:ind w:left="100"/>
              <w:spacing w:after="0"/>
              <w:rPr>
                <w:sz w:val="20"/>
                <w:szCs w:val="20"/>
                <w:color w:val="auto"/>
              </w:rPr>
            </w:pPr>
            <w:r>
              <w:rPr>
                <w:rFonts w:ascii="Arial" w:cs="Arial" w:eastAsia="Arial" w:hAnsi="Arial"/>
                <w:sz w:val="13"/>
                <w:szCs w:val="13"/>
                <w:color w:val="auto"/>
              </w:rPr>
              <w:t>Individually evaluated for impairment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4"/>
                <w:szCs w:val="14"/>
                <w:color w:val="auto"/>
              </w:rPr>
            </w:pPr>
          </w:p>
        </w:tc>
      </w:tr>
      <w:tr>
        <w:trPr>
          <w:trHeight w:val="155"/>
        </w:trPr>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Collectively evaluated for impairment</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17,193</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8"/>
        </w:trPr>
        <w:tc>
          <w:tcPr>
            <w:tcW w:w="2300" w:type="dxa"/>
            <w:vAlign w:val="bottom"/>
            <w:gridSpan w:val="2"/>
          </w:tcPr>
          <w:p>
            <w:pPr>
              <w:ind w:left="100"/>
              <w:spacing w:after="0"/>
              <w:rPr>
                <w:sz w:val="20"/>
                <w:szCs w:val="20"/>
                <w:color w:val="auto"/>
              </w:rPr>
            </w:pPr>
            <w:r>
              <w:rPr>
                <w:rFonts w:ascii="Arial" w:cs="Arial" w:eastAsia="Arial" w:hAnsi="Arial"/>
                <w:sz w:val="13"/>
                <w:szCs w:val="13"/>
                <w:color w:val="auto"/>
              </w:rPr>
              <w:t>Balances, 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10,143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4,163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720</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1,109</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4"/>
                <w:szCs w:val="14"/>
                <w:color w:val="auto"/>
              </w:rPr>
            </w:pPr>
          </w:p>
        </w:tc>
      </w:tr>
      <w:tr>
        <w:trPr>
          <w:trHeight w:val="149"/>
        </w:trPr>
        <w:tc>
          <w:tcPr>
            <w:tcW w:w="230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r>
      <w:tr>
        <w:trPr>
          <w:trHeight w:val="168"/>
        </w:trPr>
        <w:tc>
          <w:tcPr>
            <w:tcW w:w="2300" w:type="dxa"/>
            <w:vAlign w:val="bottom"/>
            <w:gridSpan w:val="2"/>
          </w:tcPr>
          <w:p>
            <w:pPr>
              <w:spacing w:after="0"/>
              <w:rPr>
                <w:sz w:val="20"/>
                <w:szCs w:val="20"/>
                <w:color w:val="auto"/>
              </w:rPr>
            </w:pPr>
            <w:r>
              <w:rPr>
                <w:rFonts w:ascii="Arial" w:cs="Arial" w:eastAsia="Arial" w:hAnsi="Arial"/>
                <w:sz w:val="13"/>
                <w:szCs w:val="13"/>
                <w:color w:val="auto"/>
              </w:rPr>
              <w:t>Loans: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2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Individually evaluated for impairment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7,206</w:t>
            </w:r>
          </w:p>
        </w:tc>
        <w:tc>
          <w:tcPr>
            <w:tcW w:w="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7,877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2300" w:type="dxa"/>
            <w:vAlign w:val="bottom"/>
            <w:gridSpan w:val="2"/>
          </w:tcPr>
          <w:p>
            <w:pPr>
              <w:ind w:left="100"/>
              <w:spacing w:after="0"/>
              <w:rPr>
                <w:sz w:val="20"/>
                <w:szCs w:val="20"/>
                <w:color w:val="auto"/>
              </w:rPr>
            </w:pPr>
            <w:r>
              <w:rPr>
                <w:rFonts w:ascii="Arial" w:cs="Arial" w:eastAsia="Arial" w:hAnsi="Arial"/>
                <w:sz w:val="13"/>
                <w:szCs w:val="13"/>
                <w:color w:val="auto"/>
              </w:rPr>
              <w:t>Collectively evaluated for impairment</w:t>
            </w: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178,430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970,017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126,902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1,499,351</w:t>
            </w:r>
          </w:p>
        </w:tc>
        <w:tc>
          <w:tcPr>
            <w:tcW w:w="20" w:type="dxa"/>
            <w:vAlign w:val="bottom"/>
          </w:tcPr>
          <w:p>
            <w:pPr>
              <w:spacing w:after="0"/>
              <w:rPr>
                <w:sz w:val="13"/>
                <w:szCs w:val="13"/>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230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Balances,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10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970,410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93,769</w:t>
            </w: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130,429</w:t>
            </w:r>
          </w:p>
        </w:tc>
        <w:tc>
          <w:tcPr>
            <w:tcW w:w="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1,507,228</w:t>
            </w:r>
          </w:p>
        </w:tc>
        <w:tc>
          <w:tcPr>
            <w:tcW w:w="20" w:type="dxa"/>
            <w:vAlign w:val="bottom"/>
            <w:shd w:val="clear" w:color="auto" w:fill="CCEEFF"/>
          </w:tcPr>
          <w:p>
            <w:pPr>
              <w:spacing w:after="0"/>
              <w:rPr>
                <w:sz w:val="12"/>
                <w:szCs w:val="12"/>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799"/>
        <w:spacing w:after="0" w:line="266"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38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jc w:val="both"/>
        <w:ind w:left="1180" w:right="81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As of June 30, 2023</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3"/>
                <w:szCs w:val="13"/>
                <w:b w:val="1"/>
                <w:bCs w:val="1"/>
                <w:color w:val="auto"/>
              </w:rPr>
              <w:t>Term Loans by Origination Year</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Revolving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5"/>
                <w:szCs w:val="15"/>
                <w:color w:val="auto"/>
              </w:rPr>
            </w:pPr>
          </w:p>
        </w:tc>
      </w:tr>
      <w:tr>
        <w:trPr>
          <w:trHeight w:val="141"/>
        </w:trPr>
        <w:tc>
          <w:tcPr>
            <w:tcW w:w="14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5,028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38,626</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26,459</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7,189</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9,813</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87,326</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8,652</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183,093</w:t>
            </w:r>
          </w:p>
        </w:tc>
        <w:tc>
          <w:tcPr>
            <w:tcW w:w="20" w:type="dxa"/>
            <w:vAlign w:val="bottom"/>
          </w:tcPr>
          <w:p>
            <w:pPr>
              <w:spacing w:after="0"/>
              <w:rPr>
                <w:sz w:val="14"/>
                <w:szCs w:val="14"/>
                <w:color w:val="auto"/>
              </w:rPr>
            </w:pPr>
          </w:p>
        </w:tc>
      </w:tr>
      <w:tr>
        <w:trPr>
          <w:trHeight w:val="151"/>
        </w:trPr>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5,028</w:t>
            </w: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38,626</w:t>
            </w:r>
          </w:p>
        </w:tc>
        <w:tc>
          <w:tcPr>
            <w:tcW w:w="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26,459</w:t>
            </w:r>
          </w:p>
        </w:tc>
        <w:tc>
          <w:tcPr>
            <w:tcW w:w="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7,189</w:t>
            </w: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9,813</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87,326</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8,652</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3"/>
                <w:szCs w:val="13"/>
                <w:color w:val="auto"/>
              </w:rPr>
            </w:pPr>
          </w:p>
        </w:tc>
      </w:tr>
      <w:tr>
        <w:trPr>
          <w:trHeight w:val="171"/>
        </w:trPr>
        <w:tc>
          <w:tcPr>
            <w:tcW w:w="20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2"/>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79"/>
        </w:trPr>
        <w:tc>
          <w:tcPr>
            <w:tcW w:w="200" w:type="dxa"/>
            <w:vAlign w:val="bottom"/>
            <w:gridSpan w:val="2"/>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38,191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341,882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227,443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103,150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80,974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191,613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986,874</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1,828</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2,527</w:t>
            </w:r>
          </w:p>
        </w:tc>
        <w:tc>
          <w:tcPr>
            <w:tcW w:w="20" w:type="dxa"/>
            <w:vAlign w:val="bottom"/>
            <w:shd w:val="clear" w:color="auto" w:fill="CCEEFF"/>
          </w:tcPr>
          <w:p>
            <w:pPr>
              <w:spacing w:after="0"/>
              <w:rPr>
                <w:sz w:val="14"/>
                <w:szCs w:val="14"/>
                <w:color w:val="auto"/>
              </w:rPr>
            </w:pPr>
          </w:p>
        </w:tc>
      </w:tr>
      <w:tr>
        <w:trPr>
          <w:trHeight w:val="151"/>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38,191</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341,882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229,271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103,849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80,974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191,613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3,621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tcPr>
          <w:p>
            <w:pPr>
              <w:spacing w:after="0"/>
              <w:rPr>
                <w:sz w:val="13"/>
                <w:szCs w:val="13"/>
                <w:color w:val="auto"/>
              </w:rPr>
            </w:pPr>
          </w:p>
        </w:tc>
      </w:tr>
      <w:tr>
        <w:trPr>
          <w:trHeight w:val="171"/>
        </w:trPr>
        <w:tc>
          <w:tcPr>
            <w:tcW w:w="1400" w:type="dxa"/>
            <w:vAlign w:val="bottom"/>
            <w:gridSpan w:val="3"/>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5"/>
        </w:trPr>
        <w:tc>
          <w:tcPr>
            <w:tcW w:w="1400" w:type="dxa"/>
            <w:vAlign w:val="bottom"/>
            <w:gridSpan w:val="3"/>
          </w:tcPr>
          <w:p>
            <w:pPr>
              <w:spacing w:after="0"/>
              <w:rPr>
                <w:sz w:val="20"/>
                <w:szCs w:val="20"/>
                <w:color w:val="auto"/>
              </w:rPr>
            </w:pPr>
            <w:r>
              <w:rPr>
                <w:rFonts w:ascii="Arial" w:cs="Arial" w:eastAsia="Arial" w:hAnsi="Arial"/>
                <w:sz w:val="13"/>
                <w:szCs w:val="13"/>
                <w:color w:val="auto"/>
              </w:rPr>
              <w:t>Commercial and</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4"/>
        </w:trPr>
        <w:tc>
          <w:tcPr>
            <w:tcW w:w="1400" w:type="dxa"/>
            <w:vAlign w:val="bottom"/>
            <w:gridSpan w:val="3"/>
          </w:tcPr>
          <w:p>
            <w:pPr>
              <w:spacing w:after="0"/>
              <w:rPr>
                <w:sz w:val="20"/>
                <w:szCs w:val="20"/>
                <w:color w:val="auto"/>
              </w:rPr>
            </w:pPr>
            <w:r>
              <w:rPr>
                <w:rFonts w:ascii="Arial" w:cs="Arial" w:eastAsia="Arial" w:hAnsi="Arial"/>
                <w:sz w:val="13"/>
                <w:szCs w:val="13"/>
                <w:color w:val="auto"/>
              </w:rPr>
              <w:t>industrial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48,282</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38,589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35,029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18,925</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168,565</w:t>
            </w:r>
          </w:p>
        </w:tc>
        <w:tc>
          <w:tcPr>
            <w:tcW w:w="20" w:type="dxa"/>
            <w:vAlign w:val="bottom"/>
            <w:shd w:val="clear" w:color="auto" w:fill="CCEEFF"/>
          </w:tcPr>
          <w:p>
            <w:pPr>
              <w:spacing w:after="0"/>
              <w:rPr>
                <w:sz w:val="15"/>
                <w:szCs w:val="15"/>
                <w:color w:val="auto"/>
              </w:rPr>
            </w:pP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836</w:t>
            </w:r>
          </w:p>
        </w:tc>
        <w:tc>
          <w:tcPr>
            <w:tcW w:w="20" w:type="dxa"/>
            <w:vAlign w:val="bottom"/>
          </w:tcPr>
          <w:p>
            <w:pPr>
              <w:spacing w:after="0"/>
              <w:rPr>
                <w:sz w:val="14"/>
                <w:szCs w:val="14"/>
                <w:color w:val="auto"/>
              </w:rPr>
            </w:pPr>
          </w:p>
        </w:tc>
      </w:tr>
      <w:tr>
        <w:trPr>
          <w:trHeight w:val="151"/>
        </w:trPr>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48,282</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38,589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35,379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7,757</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18,925</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169,401</w:t>
            </w:r>
          </w:p>
        </w:tc>
        <w:tc>
          <w:tcPr>
            <w:tcW w:w="20" w:type="dxa"/>
            <w:vAlign w:val="bottom"/>
            <w:shd w:val="clear" w:color="auto" w:fill="CCEEFF"/>
          </w:tcPr>
          <w:p>
            <w:pPr>
              <w:spacing w:after="0"/>
              <w:rPr>
                <w:sz w:val="13"/>
                <w:szCs w:val="13"/>
                <w:color w:val="auto"/>
              </w:rPr>
            </w:pPr>
          </w:p>
        </w:tc>
      </w:tr>
      <w:tr>
        <w:trPr>
          <w:trHeight w:val="171"/>
        </w:trPr>
        <w:tc>
          <w:tcPr>
            <w:tcW w:w="140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Foreign banks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80,909</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r>
      <w:tr>
        <w:trPr>
          <w:trHeight w:val="151"/>
        </w:trPr>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80,909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85,409</w:t>
            </w:r>
          </w:p>
        </w:tc>
        <w:tc>
          <w:tcPr>
            <w:tcW w:w="20" w:type="dxa"/>
            <w:vAlign w:val="bottom"/>
            <w:shd w:val="clear" w:color="auto" w:fill="CCEEFF"/>
          </w:tcPr>
          <w:p>
            <w:pPr>
              <w:spacing w:after="0"/>
              <w:rPr>
                <w:sz w:val="13"/>
                <w:szCs w:val="13"/>
                <w:color w:val="auto"/>
              </w:rPr>
            </w:pPr>
          </w:p>
        </w:tc>
      </w:tr>
      <w:tr>
        <w:trPr>
          <w:trHeight w:val="171"/>
        </w:trPr>
        <w:tc>
          <w:tcPr>
            <w:tcW w:w="140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67"/>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loans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39,715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75,831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48,250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39,715</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75,831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48,250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tcPr>
          <w:p>
            <w:pPr>
              <w:spacing w:after="0"/>
              <w:rPr>
                <w:sz w:val="13"/>
                <w:szCs w:val="13"/>
                <w:color w:val="auto"/>
              </w:rPr>
            </w:pPr>
          </w:p>
        </w:tc>
      </w:tr>
      <w:tr>
        <w:trPr>
          <w:trHeight w:val="17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400" w:type="dxa"/>
            <w:vAlign w:val="bottom"/>
            <w:gridSpan w:val="3"/>
          </w:tcPr>
          <w:p>
            <w:pPr>
              <w:spacing w:after="0"/>
              <w:rPr>
                <w:sz w:val="20"/>
                <w:szCs w:val="20"/>
                <w:color w:val="auto"/>
              </w:rPr>
            </w:pPr>
            <w:r>
              <w:rPr>
                <w:rFonts w:ascii="Arial" w:cs="Arial" w:eastAsia="Arial" w:hAnsi="Arial"/>
                <w:sz w:val="13"/>
                <w:szCs w:val="13"/>
                <w:color w:val="auto"/>
              </w:rPr>
              <w:t>Total Loans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212,125</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499,428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337,181</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118,820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108,543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32,586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1,591,786</w:t>
            </w:r>
          </w:p>
        </w:tc>
        <w:tc>
          <w:tcPr>
            <w:tcW w:w="20" w:type="dxa"/>
            <w:vAlign w:val="bottom"/>
            <w:shd w:val="clear" w:color="auto" w:fill="CCEEFF"/>
          </w:tcPr>
          <w:p>
            <w:pPr>
              <w:spacing w:after="0"/>
              <w:rPr>
                <w:sz w:val="14"/>
                <w:szCs w:val="14"/>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c>
          <w:tcPr>
            <w:tcW w:w="20" w:type="dxa"/>
            <w:vAlign w:val="bottom"/>
            <w:shd w:val="clear" w:color="auto" w:fill="CCEEFF"/>
          </w:tcPr>
          <w:p>
            <w:pPr>
              <w:spacing w:after="0"/>
              <w:rPr>
                <w:sz w:val="14"/>
                <w:szCs w:val="14"/>
                <w:color w:val="auto"/>
              </w:rPr>
            </w:pP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499,428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339,359</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119,519</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109,029</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283,103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32,586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1,595,149</w:t>
            </w:r>
          </w:p>
        </w:tc>
        <w:tc>
          <w:tcPr>
            <w:tcW w:w="20" w:type="dxa"/>
            <w:vAlign w:val="bottom"/>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80" w:type="dxa"/>
            <w:vAlign w:val="bottom"/>
            <w:gridSpan w:val="13"/>
          </w:tcPr>
          <w:p>
            <w:pPr>
              <w:jc w:val="right"/>
              <w:ind w:right="116"/>
              <w:spacing w:after="0"/>
              <w:rPr>
                <w:sz w:val="20"/>
                <w:szCs w:val="20"/>
                <w:color w:val="auto"/>
              </w:rPr>
            </w:pPr>
            <w:r>
              <w:rPr>
                <w:rFonts w:ascii="Arial" w:cs="Arial" w:eastAsia="Arial" w:hAnsi="Arial"/>
                <w:sz w:val="13"/>
                <w:szCs w:val="13"/>
                <w:color w:val="auto"/>
                <w:w w:val="97"/>
              </w:rPr>
              <w:t>Notes to the Consolidated Financial Statements - Unaudited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5"/>
        </w:trPr>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right"/>
              <w:ind w:right="524"/>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1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Special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4"/>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Mention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Substandard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Doubtful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Total Loans</w:t>
            </w:r>
          </w:p>
        </w:tc>
        <w:tc>
          <w:tcPr>
            <w:tcW w:w="2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w w:val="98"/>
              </w:rPr>
              <w:t>Home equity line of credit and other</w:t>
            </w:r>
          </w:p>
        </w:tc>
        <w:tc>
          <w:tcPr>
            <w:tcW w:w="82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623</w:t>
            </w:r>
          </w:p>
        </w:tc>
        <w:tc>
          <w:tcPr>
            <w:tcW w:w="220" w:type="dxa"/>
            <w:vAlign w:val="bottom"/>
            <w:gridSpan w:val="3"/>
          </w:tcPr>
          <w:p>
            <w:pPr>
              <w:jc w:val="right"/>
              <w:ind w:right="52"/>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704"/>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6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Condo residential</w:t>
            </w:r>
          </w:p>
        </w:tc>
        <w:tc>
          <w:tcPr>
            <w:tcW w:w="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5"/>
                <w:szCs w:val="15"/>
                <w:color w:val="auto"/>
              </w:rPr>
            </w:pPr>
          </w:p>
        </w:tc>
      </w:tr>
      <w:tr>
        <w:trPr>
          <w:trHeight w:val="141"/>
        </w:trPr>
        <w:tc>
          <w:tcPr>
            <w:tcW w:w="1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71"/>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Land and construction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38,687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38,687</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Multi-family residential</w:t>
            </w:r>
          </w:p>
        </w:tc>
        <w:tc>
          <w:tcPr>
            <w:tcW w:w="6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176,820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176,820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Condo commercial</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49,601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49,994</w:t>
            </w:r>
          </w:p>
        </w:tc>
        <w:tc>
          <w:tcPr>
            <w:tcW w:w="20" w:type="dxa"/>
            <w:vAlign w:val="bottom"/>
          </w:tcPr>
          <w:p>
            <w:pPr>
              <w:spacing w:after="0"/>
              <w:rPr>
                <w:sz w:val="14"/>
                <w:szCs w:val="14"/>
                <w:color w:val="auto"/>
              </w:rPr>
            </w:pPr>
          </w:p>
        </w:tc>
      </w:tr>
      <w:tr>
        <w:trPr>
          <w:trHeight w:val="155"/>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Commercial property</w:t>
            </w:r>
          </w:p>
        </w:tc>
        <w:tc>
          <w:tcPr>
            <w:tcW w:w="6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702,357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704,909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967,465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120,873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55"/>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Unsecured</w:t>
            </w:r>
          </w:p>
        </w:tc>
        <w:tc>
          <w:tcPr>
            <w:tcW w:w="6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126,177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80"/>
        </w:trPr>
        <w:tc>
          <w:tcPr>
            <w:tcW w:w="10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gridSpan w:val="2"/>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gridSpan w:val="2"/>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gridSpan w:val="2"/>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w:t>
            </w:r>
          </w:p>
        </w:tc>
        <w:tc>
          <w:tcPr>
            <w:tcW w:w="6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1,503,280</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3,948</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1,507,228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 The following tables include an aging analysis of accruing loans and total non-accruing loans as of June 30, 2023 and December 31, 2022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ind w:left="4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4"/>
          </w:tcPr>
          <w:p>
            <w:pPr>
              <w:jc w:val="right"/>
              <w:spacing w:after="0" w:line="115" w:lineRule="exact"/>
              <w:rPr>
                <w:sz w:val="20"/>
                <w:szCs w:val="20"/>
                <w:color w:val="auto"/>
              </w:rPr>
            </w:pPr>
            <w:r>
              <w:rPr>
                <w:rFonts w:ascii="Arial" w:cs="Arial" w:eastAsia="Arial" w:hAnsi="Arial"/>
                <w:sz w:val="13"/>
                <w:szCs w:val="13"/>
                <w:b w:val="1"/>
                <w:bCs w:val="1"/>
                <w:color w:val="auto"/>
              </w:rPr>
              <w:t>Past Due 90</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Past Due 30-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As of June 30, 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b w:val="1"/>
                <w:bCs w:val="1"/>
                <w:color w:val="auto"/>
              </w:rPr>
              <w:t>89 Days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b w:val="1"/>
                <w:bCs w:val="1"/>
                <w:color w:val="auto"/>
              </w:rPr>
              <w:t>Accruing</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 Loans</w:t>
            </w:r>
          </w:p>
        </w:tc>
      </w:tr>
      <w:tr>
        <w:trPr>
          <w:trHeight w:val="141"/>
        </w:trPr>
        <w:tc>
          <w:tcPr>
            <w:tcW w:w="236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543</w:t>
            </w:r>
          </w:p>
        </w:tc>
        <w:tc>
          <w:tcPr>
            <w:tcW w:w="200" w:type="dxa"/>
            <w:vAlign w:val="bottom"/>
            <w:gridSpan w:val="4"/>
          </w:tcPr>
          <w:p>
            <w:pPr>
              <w:jc w:val="right"/>
              <w:ind w:right="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543</w:t>
            </w:r>
          </w:p>
        </w:tc>
        <w:tc>
          <w:tcPr>
            <w:tcW w:w="400" w:type="dxa"/>
            <w:vAlign w:val="bottom"/>
            <w:gridSpan w:val="4"/>
          </w:tcPr>
          <w:p>
            <w:pPr>
              <w:jc w:val="right"/>
              <w:ind w:right="20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543</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129,987</w:t>
            </w:r>
          </w:p>
        </w:tc>
        <w:tc>
          <w:tcPr>
            <w:tcW w:w="20" w:type="dxa"/>
            <w:vAlign w:val="bottom"/>
            <w:shd w:val="clear" w:color="auto" w:fill="CCEEFF"/>
          </w:tcPr>
          <w:p>
            <w:pPr>
              <w:spacing w:after="0"/>
              <w:rPr>
                <w:sz w:val="14"/>
                <w:szCs w:val="14"/>
                <w:color w:val="auto"/>
              </w:rPr>
            </w:pPr>
          </w:p>
        </w:tc>
      </w:tr>
      <w:tr>
        <w:trPr>
          <w:trHeight w:val="180"/>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52,563</w:t>
            </w:r>
          </w:p>
        </w:tc>
        <w:tc>
          <w:tcPr>
            <w:tcW w:w="20" w:type="dxa"/>
            <w:vAlign w:val="bottom"/>
          </w:tcPr>
          <w:p>
            <w:pPr>
              <w:spacing w:after="0"/>
              <w:rPr>
                <w:sz w:val="15"/>
                <w:szCs w:val="15"/>
                <w:color w:val="auto"/>
              </w:rPr>
            </w:pPr>
          </w:p>
        </w:tc>
      </w:tr>
      <w:tr>
        <w:trPr>
          <w:trHeight w:val="141"/>
        </w:trPr>
        <w:tc>
          <w:tcPr>
            <w:tcW w:w="10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1"/>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2"/>
                <w:szCs w:val="12"/>
                <w:color w:val="auto"/>
              </w:rPr>
            </w:pPr>
          </w:p>
        </w:tc>
      </w:tr>
      <w:tr>
        <w:trPr>
          <w:trHeight w:val="168"/>
        </w:trPr>
        <w:tc>
          <w:tcPr>
            <w:tcW w:w="2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1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33,606</w:t>
            </w:r>
          </w:p>
        </w:tc>
        <w:tc>
          <w:tcPr>
            <w:tcW w:w="20" w:type="dxa"/>
            <w:vAlign w:val="bottom"/>
            <w:shd w:val="clear" w:color="auto" w:fill="CCEEFF"/>
          </w:tcPr>
          <w:p>
            <w:pPr>
              <w:spacing w:after="0"/>
              <w:rPr>
                <w:sz w:val="15"/>
                <w:szCs w:val="15"/>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173,360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173,360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173,360</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56,255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56,255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56,255</w:t>
            </w:r>
          </w:p>
        </w:tc>
        <w:tc>
          <w:tcPr>
            <w:tcW w:w="2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726,129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726,129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726,129</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tcPr>
          <w:p>
            <w:pPr>
              <w:spacing w:after="0"/>
              <w:rPr>
                <w:sz w:val="14"/>
                <w:szCs w:val="14"/>
                <w:color w:val="auto"/>
              </w:rPr>
            </w:pP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ind w:left="10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149,392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149,616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150,102</w:t>
            </w:r>
          </w:p>
        </w:tc>
        <w:tc>
          <w:tcPr>
            <w:tcW w:w="20" w:type="dxa"/>
            <w:vAlign w:val="bottom"/>
          </w:tcPr>
          <w:p>
            <w:pPr>
              <w:spacing w:after="0"/>
              <w:rPr>
                <w:sz w:val="14"/>
                <w:szCs w:val="14"/>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19,299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19,299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19,299</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168,691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168,915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169,401</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r>
      <w:tr>
        <w:trPr>
          <w:trHeight w:val="171"/>
        </w:trPr>
        <w:tc>
          <w:tcPr>
            <w:tcW w:w="2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r>
      <w:tr>
        <w:trPr>
          <w:trHeight w:val="180"/>
        </w:trPr>
        <w:tc>
          <w:tcPr>
            <w:tcW w:w="10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gridSpan w:val="2"/>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gridSpan w:val="2"/>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gridSpan w:val="2"/>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2"/>
        </w:trPr>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1,594,439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1,594,663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320" w:type="dxa"/>
            <w:vAlign w:val="bottom"/>
            <w:shd w:val="clear" w:color="auto" w:fill="CCEEFF"/>
          </w:tcPr>
          <w:p>
            <w:pPr>
              <w:jc w:val="right"/>
              <w:ind w:right="204"/>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1,595,149</w:t>
            </w:r>
          </w:p>
        </w:tc>
        <w:tc>
          <w:tcPr>
            <w:tcW w:w="20" w:type="dxa"/>
            <w:vAlign w:val="bottom"/>
            <w:shd w:val="clear" w:color="auto" w:fill="CCEEFF"/>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760" w:type="dxa"/>
            <w:vAlign w:val="bottom"/>
            <w:gridSpan w:val="15"/>
          </w:tcPr>
          <w:p>
            <w:pPr>
              <w:jc w:val="right"/>
              <w:ind w:right="296"/>
              <w:spacing w:after="0"/>
              <w:rPr>
                <w:sz w:val="20"/>
                <w:szCs w:val="20"/>
                <w:color w:val="auto"/>
              </w:rPr>
            </w:pPr>
            <w:r>
              <w:rPr>
                <w:rFonts w:ascii="Arial" w:cs="Arial" w:eastAsia="Arial" w:hAnsi="Arial"/>
                <w:sz w:val="13"/>
                <w:szCs w:val="13"/>
                <w:color w:val="auto"/>
                <w:w w:val="97"/>
              </w:rPr>
              <w:t>Notes to the Consolidated Financial Statements - Unaudited</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78"/>
        </w:trPr>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7"/>
              </w:rPr>
              <w:t>Past Due 90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69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Days or &gt;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b w:val="1"/>
                <w:bCs w:val="1"/>
                <w:color w:val="auto"/>
              </w:rPr>
              <w:t>Past Due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9"/>
              </w:rPr>
              <w:t>Accruing</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b w:val="1"/>
                <w:bCs w:val="1"/>
                <w:color w:val="auto"/>
              </w:rPr>
              <w:t>Accruing</w:t>
            </w:r>
          </w:p>
        </w:tc>
        <w:tc>
          <w:tcPr>
            <w:tcW w:w="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69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w w:val="97"/>
              </w:rPr>
              <w:t>Home equity line of credit and other</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1-4 family residential</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131,120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20" w:type="dxa"/>
            <w:vAlign w:val="bottom"/>
            <w:shd w:val="clear" w:color="auto" w:fill="CCEEFF"/>
          </w:tcPr>
          <w:p>
            <w:pPr>
              <w:spacing w:after="0"/>
              <w:rPr>
                <w:sz w:val="14"/>
                <w:szCs w:val="14"/>
                <w:color w:val="auto"/>
              </w:rPr>
            </w:pPr>
          </w:p>
        </w:tc>
      </w:tr>
      <w:tr>
        <w:trPr>
          <w:trHeight w:val="171"/>
        </w:trPr>
        <w:tc>
          <w:tcPr>
            <w:tcW w:w="2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Condo residential</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50,310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2,525</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4"/>
                <w:szCs w:val="14"/>
                <w:color w:val="auto"/>
              </w:rPr>
            </w:pPr>
          </w:p>
        </w:tc>
      </w:tr>
      <w:tr>
        <w:trPr>
          <w:trHeight w:val="151"/>
        </w:trPr>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182,053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3,583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r>
      <w:tr>
        <w:trPr>
          <w:trHeight w:val="171"/>
        </w:trPr>
        <w:tc>
          <w:tcPr>
            <w:tcW w:w="2140" w:type="dxa"/>
            <w:vAlign w:val="bottom"/>
            <w:gridSpan w:val="2"/>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rPr>
              <w:t>Multi-family residential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176,820</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49,994</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rPr>
              <w:t>Commercial property</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704,884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704,909</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704,909</w:t>
            </w:r>
          </w:p>
        </w:tc>
        <w:tc>
          <w:tcPr>
            <w:tcW w:w="20" w:type="dxa"/>
            <w:vAlign w:val="bottom"/>
          </w:tcPr>
          <w:p>
            <w:pPr>
              <w:spacing w:after="0"/>
              <w:rPr>
                <w:sz w:val="14"/>
                <w:szCs w:val="14"/>
                <w:color w:val="auto"/>
              </w:rPr>
            </w:pPr>
          </w:p>
        </w:tc>
      </w:tr>
      <w:tr>
        <w:trPr>
          <w:trHeight w:val="17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970,385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970,410</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3"/>
                <w:szCs w:val="13"/>
                <w:color w:val="auto"/>
              </w:rPr>
            </w:pPr>
          </w:p>
        </w:tc>
      </w:tr>
      <w:tr>
        <w:trPr>
          <w:trHeight w:val="171"/>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3"/>
                <w:szCs w:val="13"/>
                <w:color w:val="auto"/>
              </w:rPr>
              <w:t>Secured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121,649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121,680</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65"/>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972</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6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69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20" w:type="dxa"/>
            <w:vAlign w:val="bottom"/>
            <w:shd w:val="clear" w:color="auto" w:fill="CCEEFF"/>
          </w:tcPr>
          <w:p>
            <w:pPr>
              <w:spacing w:after="0"/>
              <w:rPr>
                <w:sz w:val="14"/>
                <w:szCs w:val="14"/>
                <w:color w:val="auto"/>
              </w:rPr>
            </w:pPr>
          </w:p>
        </w:tc>
      </w:tr>
      <w:tr>
        <w:trPr>
          <w:trHeight w:val="156"/>
        </w:trPr>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125,981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1,003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126,984</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3"/>
                <w:szCs w:val="13"/>
                <w:color w:val="auto"/>
              </w:rPr>
            </w:pPr>
          </w:p>
        </w:tc>
      </w:tr>
      <w:tr>
        <w:trPr>
          <w:trHeight w:val="171"/>
        </w:trPr>
        <w:tc>
          <w:tcPr>
            <w:tcW w:w="21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140" w:type="dxa"/>
            <w:vAlign w:val="bottom"/>
            <w:gridSpan w:val="2"/>
          </w:tcPr>
          <w:p>
            <w:pPr>
              <w:ind w:left="20"/>
              <w:spacing w:after="0"/>
              <w:rPr>
                <w:sz w:val="20"/>
                <w:szCs w:val="20"/>
                <w:color w:val="auto"/>
              </w:rPr>
            </w:pPr>
            <w:r>
              <w:rPr>
                <w:rFonts w:ascii="Arial" w:cs="Arial" w:eastAsia="Arial" w:hAnsi="Arial"/>
                <w:sz w:val="13"/>
                <w:szCs w:val="13"/>
                <w:color w:val="auto"/>
              </w:rPr>
              <w:t>Foreign banks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69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1,502,357</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4,871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1,507,228</w:t>
            </w: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69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1,507,228</w:t>
            </w:r>
          </w:p>
        </w:tc>
        <w:tc>
          <w:tcPr>
            <w:tcW w:w="20" w:type="dxa"/>
            <w:vAlign w:val="bottom"/>
            <w:shd w:val="clear" w:color="auto" w:fill="CCEEFF"/>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69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8"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includes the amortized cost basis of loans on nonaccrual status and loans past due over 90 days and still accruing as of June 30 2023:</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June 30, 2023</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Nonaccrual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center"/>
              <w:ind w:right="16"/>
              <w:spacing w:after="0"/>
              <w:rPr>
                <w:sz w:val="20"/>
                <w:szCs w:val="20"/>
                <w:color w:val="auto"/>
              </w:rPr>
            </w:pPr>
            <w:r>
              <w:rPr>
                <w:rFonts w:ascii="Arial" w:cs="Arial" w:eastAsia="Arial" w:hAnsi="Arial"/>
                <w:sz w:val="13"/>
                <w:szCs w:val="13"/>
                <w:b w:val="1"/>
                <w:bCs w:val="1"/>
                <w:color w:val="auto"/>
                <w:w w:val="97"/>
              </w:rPr>
              <w:t>Loans Past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6"/>
              </w:rPr>
              <w:t>Loans With No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39" w:lineRule="exact"/>
              <w:rPr>
                <w:sz w:val="20"/>
                <w:szCs w:val="20"/>
                <w:color w:val="auto"/>
              </w:rPr>
            </w:pPr>
            <w:r>
              <w:rPr>
                <w:rFonts w:ascii="Arial" w:cs="Arial" w:eastAsia="Arial" w:hAnsi="Arial"/>
                <w:sz w:val="13"/>
                <w:szCs w:val="13"/>
                <w:b w:val="1"/>
                <w:bCs w:val="1"/>
                <w:color w:val="auto"/>
                <w:w w:val="99"/>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Due Over 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rPr>
                <w:sz w:val="20"/>
                <w:szCs w:val="20"/>
                <w:color w:val="auto"/>
              </w:rPr>
            </w:pPr>
            <w:r>
              <w:rPr>
                <w:rFonts w:ascii="Arial" w:cs="Arial" w:eastAsia="Arial" w:hAnsi="Arial"/>
                <w:sz w:val="13"/>
                <w:szCs w:val="13"/>
                <w:b w:val="1"/>
                <w:bCs w:val="1"/>
                <w:color w:val="auto"/>
              </w:rPr>
              <w:t>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Days and Still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0" w:type="dxa"/>
            <w:vAlign w:val="bottom"/>
            <w:tcBorders>
              <w:bottom w:val="single" w:sz="8" w:color="CCEEFF"/>
            </w:tcBorders>
          </w:tcPr>
          <w:p>
            <w:pPr>
              <w:spacing w:after="0"/>
              <w:rPr>
                <w:sz w:val="15"/>
                <w:szCs w:val="15"/>
                <w:color w:val="auto"/>
              </w:rPr>
            </w:pPr>
          </w:p>
        </w:tc>
        <w:tc>
          <w:tcPr>
            <w:tcW w:w="36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9"/>
              </w:rPr>
              <w:t>Allowance</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94"/>
              </w:rPr>
              <w:t>Nonaccruals</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9"/>
              </w:rPr>
              <w:t>Accruing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100" w:type="dxa"/>
            <w:vAlign w:val="bottom"/>
            <w:tcBorders>
              <w:top w:val="single" w:sz="8" w:color="CCEEFF"/>
            </w:tcBorders>
            <w:shd w:val="clear" w:color="auto" w:fill="CCEEFF"/>
          </w:tcPr>
          <w:p>
            <w:pPr>
              <w:spacing w:after="0"/>
              <w:rPr>
                <w:sz w:val="12"/>
                <w:szCs w:val="12"/>
                <w:color w:val="auto"/>
              </w:rPr>
            </w:pPr>
          </w:p>
        </w:tc>
        <w:tc>
          <w:tcPr>
            <w:tcW w:w="366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Residential real estate</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tcPr>
          <w:p>
            <w:pPr>
              <w:ind w:left="100"/>
              <w:spacing w:after="0"/>
              <w:rPr>
                <w:sz w:val="20"/>
                <w:szCs w:val="20"/>
                <w:color w:val="auto"/>
              </w:rPr>
            </w:pPr>
            <w:r>
              <w:rPr>
                <w:rFonts w:ascii="Arial" w:cs="Arial" w:eastAsia="Arial" w:hAnsi="Arial"/>
                <w:sz w:val="13"/>
                <w:szCs w:val="13"/>
                <w:color w:val="auto"/>
              </w:rPr>
              <w:t>Commercial 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Consumer and other</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did not have loans in nonaccrual status as of December 31, 2022.</w:t>
      </w:r>
    </w:p>
    <w:p>
      <w:pPr>
        <w:spacing w:after="0" w:line="17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months ended June 30, 2023 and 2022. Interest income on these loans for the three months ended June 30, 2023 and 2022, would have been approximately $13 thousand and $0 thousand, respectively, had these loans performed in accordance with their original terms.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8"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 There were no collateral dependent loans as of June 30 2023 and as of December 31, 2022.</w:t>
      </w:r>
    </w:p>
    <w:p>
      <w:pPr>
        <w:spacing w:after="0" w:line="33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Impaired Loans</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as of December 31, 2022 (in thousands):</w:t>
      </w:r>
    </w:p>
    <w:p>
      <w:pPr>
        <w:spacing w:after="0" w:line="182"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4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center"/>
              <w:ind w:left="616"/>
              <w:spacing w:after="0"/>
              <w:rPr>
                <w:sz w:val="20"/>
                <w:szCs w:val="20"/>
                <w:color w:val="auto"/>
              </w:rPr>
            </w:pPr>
            <w:r>
              <w:rPr>
                <w:rFonts w:ascii="Arial" w:cs="Arial" w:eastAsia="Arial" w:hAnsi="Arial"/>
                <w:sz w:val="13"/>
                <w:szCs w:val="13"/>
                <w:b w:val="1"/>
                <w:bCs w:val="1"/>
                <w:color w:val="auto"/>
                <w:w w:val="97"/>
              </w:rPr>
              <w:t>December 31, 2022</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32"/>
        </w:trPr>
        <w:tc>
          <w:tcPr>
            <w:tcW w:w="4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ind w:right="16"/>
              <w:spacing w:after="0"/>
              <w:rPr>
                <w:sz w:val="20"/>
                <w:szCs w:val="20"/>
                <w:color w:val="auto"/>
              </w:rPr>
            </w:pPr>
            <w:r>
              <w:rPr>
                <w:rFonts w:ascii="Arial" w:cs="Arial" w:eastAsia="Arial" w:hAnsi="Arial"/>
                <w:sz w:val="13"/>
                <w:szCs w:val="13"/>
                <w:b w:val="1"/>
                <w:bCs w:val="1"/>
                <w:color w:val="auto"/>
                <w:w w:val="99"/>
              </w:rPr>
              <w:t>Unpaid</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ind w:right="16"/>
              <w:spacing w:after="0"/>
              <w:rPr>
                <w:sz w:val="20"/>
                <w:szCs w:val="20"/>
                <w:color w:val="auto"/>
              </w:rPr>
            </w:pPr>
            <w:r>
              <w:rPr>
                <w:rFonts w:ascii="Arial" w:cs="Arial" w:eastAsia="Arial" w:hAnsi="Arial"/>
                <w:sz w:val="13"/>
                <w:szCs w:val="13"/>
                <w:b w:val="1"/>
                <w:bCs w:val="1"/>
                <w:color w:val="auto"/>
              </w:rPr>
              <w:t>Net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4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Principal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6"/>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rPr>
              <w:t>Valuation</w:t>
            </w:r>
          </w:p>
        </w:tc>
        <w:tc>
          <w:tcPr>
            <w:tcW w:w="20" w:type="dxa"/>
            <w:vAlign w:val="bottom"/>
          </w:tcPr>
          <w:p>
            <w:pPr>
              <w:spacing w:after="0"/>
              <w:rPr>
                <w:sz w:val="12"/>
                <w:szCs w:val="12"/>
                <w:color w:val="auto"/>
              </w:rPr>
            </w:pPr>
          </w:p>
        </w:tc>
      </w:tr>
      <w:tr>
        <w:trPr>
          <w:trHeight w:val="164"/>
        </w:trPr>
        <w:tc>
          <w:tcPr>
            <w:tcW w:w="49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Balance</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Balance</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4"/>
                <w:szCs w:val="14"/>
                <w:color w:val="auto"/>
              </w:rPr>
            </w:pPr>
          </w:p>
        </w:tc>
      </w:tr>
      <w:tr>
        <w:trPr>
          <w:trHeight w:val="151"/>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960" w:type="dxa"/>
            <w:vAlign w:val="bottom"/>
            <w:gridSpan w:val="2"/>
          </w:tcPr>
          <w:p>
            <w:pPr>
              <w:ind w:left="100"/>
              <w:spacing w:after="0"/>
              <w:rPr>
                <w:sz w:val="20"/>
                <w:szCs w:val="20"/>
                <w:color w:val="auto"/>
              </w:rPr>
            </w:pPr>
            <w:r>
              <w:rPr>
                <w:rFonts w:ascii="Arial" w:cs="Arial" w:eastAsia="Arial" w:hAnsi="Arial"/>
                <w:sz w:val="13"/>
                <w:szCs w:val="13"/>
                <w:color w:val="auto"/>
              </w:rPr>
              <w:t>Residential real estate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3,551</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3,544</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3,944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960" w:type="dxa"/>
            <w:vAlign w:val="bottom"/>
            <w:gridSpan w:val="2"/>
          </w:tcPr>
          <w:p>
            <w:pPr>
              <w:ind w:left="100"/>
              <w:spacing w:after="0"/>
              <w:rPr>
                <w:sz w:val="20"/>
                <w:szCs w:val="20"/>
                <w:color w:val="auto"/>
              </w:rPr>
            </w:pPr>
            <w:r>
              <w:rPr>
                <w:rFonts w:ascii="Arial" w:cs="Arial" w:eastAsia="Arial" w:hAnsi="Arial"/>
                <w:sz w:val="13"/>
                <w:szCs w:val="13"/>
                <w:color w:val="auto"/>
              </w:rPr>
              <w:t>Residential real estate</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3,655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r>
      <w:tr>
        <w:trPr>
          <w:trHeight w:val="171"/>
        </w:trPr>
        <w:tc>
          <w:tcPr>
            <w:tcW w:w="4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Consumer and other</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4"/>
                <w:szCs w:val="14"/>
                <w:color w:val="auto"/>
              </w:rPr>
            </w:pPr>
          </w:p>
        </w:tc>
      </w:tr>
      <w:tr>
        <w:trPr>
          <w:trHeight w:val="151"/>
        </w:trPr>
        <w:tc>
          <w:tcPr>
            <w:tcW w:w="4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3"/>
                <w:szCs w:val="13"/>
                <w:color w:val="auto"/>
              </w:rPr>
            </w:pPr>
          </w:p>
        </w:tc>
      </w:tr>
      <w:tr>
        <w:trPr>
          <w:trHeight w:val="161"/>
        </w:trPr>
        <w:tc>
          <w:tcPr>
            <w:tcW w:w="496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7,877</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7,841</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294</w:t>
            </w:r>
          </w:p>
        </w:tc>
        <w:tc>
          <w:tcPr>
            <w:tcW w:w="20" w:type="dxa"/>
            <w:vAlign w:val="bottom"/>
          </w:tcPr>
          <w:p>
            <w:pPr>
              <w:spacing w:after="0"/>
              <w:rPr>
                <w:sz w:val="14"/>
                <w:szCs w:val="14"/>
                <w:color w:val="auto"/>
              </w:rPr>
            </w:pPr>
          </w:p>
        </w:tc>
      </w:tr>
      <w:tr>
        <w:trPr>
          <w:trHeight w:val="20"/>
        </w:trPr>
        <w:tc>
          <w:tcPr>
            <w:tcW w:w="4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170"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 presents the average recorded investment balance on impaired loans for the periods indicated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Pr>
          <w:p>
            <w:pPr>
              <w:jc w:val="right"/>
              <w:ind w:right="256"/>
              <w:spacing w:after="0"/>
              <w:rPr>
                <w:sz w:val="20"/>
                <w:szCs w:val="20"/>
                <w:color w:val="auto"/>
              </w:rPr>
            </w:pPr>
            <w:r>
              <w:rPr>
                <w:rFonts w:ascii="Arial" w:cs="Arial" w:eastAsia="Arial" w:hAnsi="Arial"/>
                <w:sz w:val="13"/>
                <w:szCs w:val="13"/>
                <w:b w:val="1"/>
                <w:bCs w:val="1"/>
                <w:color w:val="auto"/>
              </w:rPr>
              <w:t>Three Months Ended June 30, 2022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2"/>
          </w:tcPr>
          <w:p>
            <w:pPr>
              <w:ind w:left="160"/>
              <w:spacing w:after="0"/>
              <w:rPr>
                <w:sz w:val="20"/>
                <w:szCs w:val="20"/>
                <w:color w:val="auto"/>
              </w:rPr>
            </w:pPr>
            <w:r>
              <w:rPr>
                <w:rFonts w:ascii="Arial" w:cs="Arial" w:eastAsia="Arial" w:hAnsi="Arial"/>
                <w:sz w:val="13"/>
                <w:szCs w:val="13"/>
                <w:b w:val="1"/>
                <w:bCs w:val="1"/>
                <w:color w:val="auto"/>
              </w:rPr>
              <w:t>Six Months Ended June 30, 2022</w:t>
            </w:r>
          </w:p>
        </w:tc>
      </w:tr>
      <w:tr>
        <w:trPr>
          <w:trHeight w:val="151"/>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7,332</w:t>
            </w:r>
          </w:p>
        </w:tc>
        <w:tc>
          <w:tcPr>
            <w:tcW w:w="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7,890</w:t>
            </w:r>
          </w:p>
        </w:tc>
        <w:tc>
          <w:tcPr>
            <w:tcW w:w="20" w:type="dxa"/>
            <w:vAlign w:val="bottom"/>
            <w:shd w:val="clear" w:color="auto" w:fill="CCEEFF"/>
          </w:tcPr>
          <w:p>
            <w:pPr>
              <w:spacing w:after="0"/>
              <w:rPr>
                <w:sz w:val="13"/>
                <w:szCs w:val="13"/>
                <w:color w:val="auto"/>
              </w:rPr>
            </w:pPr>
          </w:p>
        </w:tc>
      </w:tr>
      <w:tr>
        <w:trPr>
          <w:trHeight w:val="171"/>
        </w:trPr>
        <w:tc>
          <w:tcPr>
            <w:tcW w:w="20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Arial" w:cs="Arial" w:eastAsia="Arial" w:hAnsi="Arial"/>
                <w:sz w:val="13"/>
                <w:szCs w:val="13"/>
                <w:color w:val="auto"/>
              </w:rPr>
              <w:t>599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Arial" w:cs="Arial" w:eastAsia="Arial" w:hAnsi="Arial"/>
                <w:sz w:val="13"/>
                <w:szCs w:val="13"/>
                <w:color w:val="auto"/>
              </w:rPr>
              <w:t>631</w:t>
            </w:r>
          </w:p>
        </w:tc>
        <w:tc>
          <w:tcPr>
            <w:tcW w:w="20" w:type="dxa"/>
            <w:vAlign w:val="bottom"/>
          </w:tcPr>
          <w:p>
            <w:pPr>
              <w:spacing w:after="0"/>
              <w:rPr>
                <w:sz w:val="14"/>
                <w:szCs w:val="14"/>
                <w:color w:val="auto"/>
              </w:rPr>
            </w:pPr>
          </w:p>
        </w:tc>
      </w:tr>
      <w:tr>
        <w:trPr>
          <w:trHeight w:val="171"/>
        </w:trPr>
        <w:tc>
          <w:tcPr>
            <w:tcW w:w="20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w:t>
            </w:r>
          </w:p>
        </w:tc>
        <w:tc>
          <w:tcPr>
            <w:tcW w:w="20" w:type="dxa"/>
            <w:vAlign w:val="bottom"/>
          </w:tcPr>
          <w:p>
            <w:pPr>
              <w:spacing w:after="0"/>
              <w:rPr>
                <w:sz w:val="14"/>
                <w:szCs w:val="14"/>
                <w:color w:val="auto"/>
              </w:rPr>
            </w:pPr>
          </w:p>
        </w:tc>
      </w:tr>
      <w:tr>
        <w:trPr>
          <w:trHeight w:val="161"/>
        </w:trPr>
        <w:tc>
          <w:tcPr>
            <w:tcW w:w="2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8,260</w:t>
            </w: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8,862</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4"/>
          <w:szCs w:val="14"/>
          <w:color w:val="auto"/>
        </w:rPr>
        <w:t>Interest income recognized on impaired loans for the three months ended June 30, 2022 was $90 thousand and for the six months ended June 30, 2022 was $181 thousand..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 newly restructured loans, by type of modification, which occurred during the quarter ended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June 30, 2023:</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0"/>
          </w:tcPr>
          <w:p>
            <w:pPr>
              <w:jc w:val="right"/>
              <w:ind w:right="116"/>
              <w:spacing w:after="0"/>
              <w:rPr>
                <w:sz w:val="20"/>
                <w:szCs w:val="20"/>
                <w:color w:val="auto"/>
              </w:rPr>
            </w:pPr>
            <w:r>
              <w:rPr>
                <w:rFonts w:ascii="Arial" w:cs="Arial" w:eastAsia="Arial" w:hAnsi="Arial"/>
                <w:sz w:val="13"/>
                <w:szCs w:val="13"/>
                <w:b w:val="1"/>
                <w:bCs w:val="1"/>
                <w:color w:val="auto"/>
              </w:rPr>
              <w:t>Recorded Investment Prior to Modification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0"/>
          </w:tcPr>
          <w:p>
            <w:pPr>
              <w:jc w:val="right"/>
              <w:ind w:right="216"/>
              <w:spacing w:after="0"/>
              <w:rPr>
                <w:sz w:val="20"/>
                <w:szCs w:val="20"/>
                <w:color w:val="auto"/>
              </w:rPr>
            </w:pPr>
            <w:r>
              <w:rPr>
                <w:rFonts w:ascii="Arial" w:cs="Arial" w:eastAsia="Arial" w:hAnsi="Arial"/>
                <w:sz w:val="13"/>
                <w:szCs w:val="13"/>
                <w:b w:val="1"/>
                <w:bCs w:val="1"/>
                <w:color w:val="auto"/>
              </w:rPr>
              <w:t>Recorded Investment After Modification</w:t>
            </w:r>
          </w:p>
        </w:tc>
        <w:tc>
          <w:tcPr>
            <w:tcW w:w="20" w:type="dxa"/>
            <w:vAlign w:val="bottom"/>
          </w:tcPr>
          <w:p>
            <w:pPr>
              <w:spacing w:after="0"/>
              <w:rPr>
                <w:sz w:val="14"/>
                <w:szCs w:val="14"/>
                <w:color w:val="auto"/>
              </w:rPr>
            </w:pPr>
          </w:p>
        </w:tc>
      </w:tr>
      <w:tr>
        <w:trPr>
          <w:trHeight w:val="168"/>
        </w:trPr>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Combination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76"/>
              <w:spacing w:after="0"/>
              <w:rPr>
                <w:sz w:val="20"/>
                <w:szCs w:val="20"/>
                <w:color w:val="auto"/>
              </w:rPr>
            </w:pPr>
            <w:r>
              <w:rPr>
                <w:rFonts w:ascii="Arial" w:cs="Arial" w:eastAsia="Arial" w:hAnsi="Arial"/>
                <w:sz w:val="13"/>
                <w:szCs w:val="13"/>
                <w:b w:val="1"/>
                <w:bCs w:val="1"/>
                <w:color w:val="auto"/>
              </w:rPr>
              <w:t>Combination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73"/>
        </w:trPr>
        <w:tc>
          <w:tcPr>
            <w:tcW w:w="16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Loans</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Modifications</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Modifications</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7"/>
              </w:rPr>
              <w:t>Modifications</w:t>
            </w:r>
          </w:p>
        </w:tc>
        <w:tc>
          <w:tcPr>
            <w:tcW w:w="20" w:type="dxa"/>
            <w:vAlign w:val="bottom"/>
          </w:tcPr>
          <w:p>
            <w:pPr>
              <w:spacing w:after="0"/>
              <w:rPr>
                <w:sz w:val="15"/>
                <w:szCs w:val="15"/>
                <w:color w:val="auto"/>
              </w:rPr>
            </w:pPr>
          </w:p>
        </w:tc>
      </w:tr>
      <w:tr>
        <w:trPr>
          <w:trHeight w:val="141"/>
        </w:trPr>
        <w:tc>
          <w:tcPr>
            <w:tcW w:w="16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4"/>
                <w:szCs w:val="14"/>
                <w:color w:val="auto"/>
              </w:rPr>
            </w:pPr>
          </w:p>
        </w:tc>
      </w:tr>
      <w:tr>
        <w:trPr>
          <w:trHeight w:val="180"/>
        </w:trPr>
        <w:tc>
          <w:tcPr>
            <w:tcW w:w="16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Consumer and other</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52"/>
        </w:trPr>
        <w:tc>
          <w:tcPr>
            <w:tcW w:w="1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20" w:type="dxa"/>
            <w:vAlign w:val="bottom"/>
            <w:shd w:val="clear" w:color="auto" w:fill="CCEEFF"/>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Company had one new modifications to borrowers experiencing financial difficulties for the three and six months ended June 30, 2023. No loan modifications that subsequently defaulted for the three and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1040" w:hanging="377"/>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Company’s provision for income taxes is presented in the following table for the dates indicated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0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5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1"/>
        </w:trPr>
        <w:tc>
          <w:tcPr>
            <w:tcW w:w="5120" w:type="dxa"/>
            <w:vAlign w:val="bottom"/>
            <w:gridSpan w:val="2"/>
          </w:tcPr>
          <w:p>
            <w:pPr>
              <w:spacing w:after="0" w:line="146" w:lineRule="exact"/>
              <w:rPr>
                <w:sz w:val="20"/>
                <w:szCs w:val="20"/>
                <w:color w:val="auto"/>
              </w:rPr>
            </w:pPr>
            <w:r>
              <w:rPr>
                <w:rFonts w:ascii="Arial" w:cs="Arial" w:eastAsia="Arial" w:hAnsi="Arial"/>
                <w:sz w:val="13"/>
                <w:szCs w:val="13"/>
                <w:color w:val="auto"/>
              </w:rPr>
              <w:t>Total current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120" w:type="dxa"/>
            <w:vAlign w:val="bottom"/>
            <w:gridSpan w:val="2"/>
          </w:tcPr>
          <w:p>
            <w:pPr>
              <w:ind w:left="100"/>
              <w:spacing w:after="0"/>
              <w:rPr>
                <w:sz w:val="20"/>
                <w:szCs w:val="20"/>
                <w:color w:val="auto"/>
              </w:rPr>
            </w:pPr>
            <w:r>
              <w:rPr>
                <w:rFonts w:ascii="Arial" w:cs="Arial" w:eastAsia="Arial" w:hAnsi="Arial"/>
                <w:sz w:val="13"/>
                <w:szCs w:val="13"/>
                <w:color w:val="auto"/>
              </w:rPr>
              <w:t>Federal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2,513</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2,778</w:t>
            </w:r>
          </w:p>
        </w:tc>
        <w:tc>
          <w:tcPr>
            <w:tcW w:w="20" w:type="dxa"/>
            <w:vAlign w:val="bottom"/>
          </w:tcPr>
          <w:p>
            <w:pPr>
              <w:spacing w:after="0"/>
              <w:rPr>
                <w:sz w:val="14"/>
                <w:szCs w:val="14"/>
                <w:color w:val="auto"/>
              </w:rPr>
            </w:pPr>
          </w:p>
        </w:tc>
      </w:tr>
      <w:tr>
        <w:trPr>
          <w:trHeight w:val="17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20" w:type="dxa"/>
            <w:vAlign w:val="bottom"/>
            <w:shd w:val="clear" w:color="auto" w:fill="CCEEFF"/>
          </w:tcPr>
          <w:p>
            <w:pPr>
              <w:spacing w:after="0"/>
              <w:rPr>
                <w:sz w:val="14"/>
                <w:szCs w:val="14"/>
                <w:color w:val="auto"/>
              </w:rPr>
            </w:pPr>
          </w:p>
        </w:tc>
      </w:tr>
      <w:tr>
        <w:trPr>
          <w:trHeight w:val="151"/>
        </w:trPr>
        <w:tc>
          <w:tcPr>
            <w:tcW w:w="5120" w:type="dxa"/>
            <w:vAlign w:val="bottom"/>
            <w:tcBorders>
              <w:bottom w:val="single" w:sz="8" w:color="CCEEFF"/>
            </w:tcBorders>
            <w:gridSpan w:val="2"/>
          </w:tcPr>
          <w:p>
            <w:pPr>
              <w:spacing w:after="0" w:line="146" w:lineRule="exact"/>
              <w:rPr>
                <w:sz w:val="20"/>
                <w:szCs w:val="20"/>
                <w:color w:val="auto"/>
              </w:rPr>
            </w:pPr>
            <w:r>
              <w:rPr>
                <w:rFonts w:ascii="Arial" w:cs="Arial" w:eastAsia="Arial" w:hAnsi="Arial"/>
                <w:sz w:val="13"/>
                <w:szCs w:val="13"/>
                <w:color w:val="auto"/>
              </w:rPr>
              <w:t>Total deferred</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3,214</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3,566</w:t>
            </w:r>
          </w:p>
        </w:tc>
        <w:tc>
          <w:tcPr>
            <w:tcW w:w="20" w:type="dxa"/>
            <w:vAlign w:val="bottom"/>
          </w:tcPr>
          <w:p>
            <w:pPr>
              <w:spacing w:after="0"/>
              <w:rPr>
                <w:sz w:val="13"/>
                <w:szCs w:val="13"/>
                <w:color w:val="auto"/>
              </w:rPr>
            </w:pPr>
          </w:p>
        </w:tc>
      </w:tr>
      <w:tr>
        <w:trPr>
          <w:trHeight w:val="16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3,214</w:t>
            </w: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shd w:val="clear" w:color="auto" w:fill="CCEEFF"/>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actual income tax expense for the six months ended June 30, 2023 and 2022 differs from the statutory tax expense for the period (computed by applying the U.S. federal corporate tax rate of 21% for 2023 and 2022 to income before provision for income taxes) as follows (in thousands):</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10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shd w:val="clear" w:color="auto" w:fill="CCEEFF"/>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2,880</w:t>
            </w:r>
          </w:p>
        </w:tc>
        <w:tc>
          <w:tcPr>
            <w:tcW w:w="20" w:type="dxa"/>
            <w:vAlign w:val="bottom"/>
            <w:shd w:val="clear" w:color="auto" w:fill="CCEEFF"/>
          </w:tcPr>
          <w:p>
            <w:pPr>
              <w:spacing w:after="0"/>
              <w:rPr>
                <w:sz w:val="13"/>
                <w:szCs w:val="13"/>
                <w:color w:val="auto"/>
              </w:rPr>
            </w:pPr>
          </w:p>
        </w:tc>
      </w:tr>
      <w:tr>
        <w:trPr>
          <w:trHeight w:val="171"/>
        </w:trPr>
        <w:tc>
          <w:tcPr>
            <w:tcW w:w="5120" w:type="dxa"/>
            <w:vAlign w:val="bottom"/>
            <w:gridSpan w:val="2"/>
          </w:tcPr>
          <w:p>
            <w:pPr>
              <w:spacing w:after="0"/>
              <w:rPr>
                <w:sz w:val="20"/>
                <w:szCs w:val="20"/>
                <w:color w:val="auto"/>
              </w:rPr>
            </w:pPr>
            <w:r>
              <w:rPr>
                <w:rFonts w:ascii="Arial" w:cs="Arial" w:eastAsia="Arial" w:hAnsi="Arial"/>
                <w:sz w:val="13"/>
                <w:szCs w:val="13"/>
                <w:color w:val="auto"/>
              </w:rPr>
              <w:t>State income taxes, net of federal tax benefit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574</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596</w:t>
            </w:r>
          </w:p>
        </w:tc>
        <w:tc>
          <w:tcPr>
            <w:tcW w:w="20" w:type="dxa"/>
            <w:vAlign w:val="bottom"/>
          </w:tcPr>
          <w:p>
            <w:pPr>
              <w:spacing w:after="0"/>
              <w:rPr>
                <w:sz w:val="14"/>
                <w:szCs w:val="14"/>
                <w:color w:val="auto"/>
              </w:rPr>
            </w:pPr>
          </w:p>
        </w:tc>
      </w:tr>
      <w:tr>
        <w:trPr>
          <w:trHeight w:val="171"/>
        </w:trPr>
        <w:tc>
          <w:tcPr>
            <w:tcW w:w="5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71"/>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net</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3,214</w:t>
            </w:r>
          </w:p>
        </w:tc>
        <w:tc>
          <w:tcPr>
            <w:tcW w:w="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30, 2023</w:t>
            </w:r>
          </w:p>
        </w:tc>
        <w:tc>
          <w:tcPr>
            <w:tcW w:w="1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Net operating loss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18,951</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21,720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Allowance for credit losses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4,834</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Lease liability</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Unrealized losses on available for sale securities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15,990</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Depreciable property</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181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Equity compensation</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Accruals</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43,999</w:t>
            </w:r>
          </w:p>
        </w:tc>
        <w:tc>
          <w:tcPr>
            <w:tcW w:w="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liability:</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Deferred loan cost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Lease right of use asset</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(3,272)</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Deferred expenses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flow hedge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ind w:left="80"/>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liability</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(3,985)</w:t>
            </w:r>
          </w:p>
        </w:tc>
        <w:tc>
          <w:tcPr>
            <w:tcW w:w="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(3,887)</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40,014</w:t>
            </w: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42,360</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has approximately $70.9 million of federal and $93.6 million of state net operating loss carryforwards expiring in various amounts between 2031 and 2036 and which are limited to offset, to the extent permitted, future taxable earnings of the Company.</w:t>
      </w: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46"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examinations by tax authorities for years before 2019.</w:t>
      </w:r>
    </w:p>
    <w:p>
      <w:pPr>
        <w:spacing w:after="0" w:line="128"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For the three and six months ended June 30, 2023 and 2022, the Company did not have any unrecognized tax benefits as a result of tax positions taken during a prior period or during the current period. Additionally, no interest or penalties were recorded as a result of tax uncertainties.</w:t>
      </w:r>
    </w:p>
    <w:p>
      <w:pPr>
        <w:spacing w:after="0" w:line="120" w:lineRule="exact"/>
        <w:rPr>
          <w:sz w:val="20"/>
          <w:szCs w:val="20"/>
          <w:color w:val="auto"/>
        </w:rPr>
      </w:pPr>
    </w:p>
    <w:p>
      <w:pPr>
        <w:ind w:left="1040" w:hanging="377"/>
        <w:spacing w:after="0"/>
        <w:tabs>
          <w:tab w:leader="none" w:pos="10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1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35" w:lineRule="exact"/>
        <w:rPr>
          <w:sz w:val="20"/>
          <w:szCs w:val="20"/>
          <w:color w:val="auto"/>
        </w:rPr>
      </w:pPr>
    </w:p>
    <w:p>
      <w:pPr>
        <w:jc w:val="both"/>
        <w:ind w:left="660" w:right="699" w:firstLine="256"/>
        <w:spacing w:after="0" w:line="283"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June 30, 2023 and December 31, 2022 (in thousands):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00" w:type="dxa"/>
            <w:vAlign w:val="bottom"/>
            <w:tcBorders>
              <w:bottom w:val="single" w:sz="8" w:color="CCEEFF"/>
            </w:tcBorders>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June 30, 2023</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rPr>
                <w:sz w:val="15"/>
                <w:szCs w:val="15"/>
                <w:color w:val="auto"/>
              </w:rPr>
            </w:pPr>
          </w:p>
        </w:tc>
      </w:tr>
      <w:tr>
        <w:trPr>
          <w:trHeight w:val="141"/>
        </w:trPr>
        <w:tc>
          <w:tcPr>
            <w:tcW w:w="482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Commitments to grant loans and unfunded lines of credit</w:t>
            </w: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shd w:val="clear" w:color="auto" w:fill="CCEEFF"/>
              </w:rPr>
              <w:t>$</w:t>
            </w:r>
          </w:p>
        </w:tc>
        <w:tc>
          <w:tcPr>
            <w:tcW w:w="12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92,910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95,461</w:t>
            </w:r>
          </w:p>
        </w:tc>
        <w:tc>
          <w:tcPr>
            <w:tcW w:w="20" w:type="dxa"/>
            <w:vAlign w:val="bottom"/>
            <w:shd w:val="clear" w:color="auto" w:fill="CCEEFF"/>
          </w:tcPr>
          <w:p>
            <w:pPr>
              <w:spacing w:after="0"/>
              <w:rPr>
                <w:sz w:val="12"/>
                <w:szCs w:val="12"/>
                <w:color w:val="auto"/>
              </w:rPr>
            </w:pPr>
          </w:p>
        </w:tc>
      </w:tr>
      <w:tr>
        <w:trPr>
          <w:trHeight w:val="180"/>
        </w:trPr>
        <w:tc>
          <w:tcPr>
            <w:tcW w:w="480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20" w:type="dxa"/>
            <w:vAlign w:val="bottom"/>
          </w:tcPr>
          <w:p>
            <w:pPr>
              <w:spacing w:after="0"/>
              <w:rPr>
                <w:sz w:val="15"/>
                <w:szCs w:val="15"/>
                <w:color w:val="auto"/>
              </w:rPr>
            </w:pPr>
          </w:p>
        </w:tc>
      </w:tr>
      <w:tr>
        <w:trPr>
          <w:trHeight w:val="152"/>
        </w:trPr>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720" w:type="dxa"/>
            <w:vAlign w:val="bottom"/>
            <w:tcBorders>
              <w:top w:val="single" w:sz="8" w:color="CCEEFF"/>
              <w:bottom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color w:val="auto"/>
              </w:rPr>
              <w:t>Total</w:t>
            </w:r>
          </w:p>
        </w:tc>
        <w:tc>
          <w:tcPr>
            <w:tcW w:w="1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shd w:val="clear" w:color="auto" w:fill="CCEEFF"/>
              </w:rPr>
              <w:t>$</w:t>
            </w:r>
          </w:p>
        </w:tc>
        <w:tc>
          <w:tcPr>
            <w:tcW w:w="12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101,254</w:t>
            </w: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99,781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3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5" w:lineRule="exact"/>
        <w:rPr>
          <w:sz w:val="20"/>
          <w:szCs w:val="20"/>
          <w:color w:val="auto"/>
        </w:rPr>
      </w:pPr>
    </w:p>
    <w:p>
      <w:pPr>
        <w:ind w:left="1040" w:hanging="377"/>
        <w:spacing w:after="0"/>
        <w:tabs>
          <w:tab w:leader="none" w:pos="10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10"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exposure. The notional amount of the interest rate swaps do not represent actual amounts exchanged by the parties. The amounts exchanged are determined by reference to the notional amount and the other terms of the individual interest rate swap agreements.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a Cash Flow Hedge</w:t>
      </w:r>
    </w:p>
    <w:p>
      <w:pPr>
        <w:spacing w:after="0" w:line="159" w:lineRule="exact"/>
        <w:rPr>
          <w:sz w:val="20"/>
          <w:szCs w:val="20"/>
          <w:color w:val="auto"/>
        </w:rPr>
      </w:pPr>
    </w:p>
    <w:p>
      <w:pPr>
        <w:jc w:val="both"/>
        <w:ind w:left="660" w:right="679" w:firstLine="256"/>
        <w:spacing w:after="0" w:line="323" w:lineRule="auto"/>
        <w:rPr>
          <w:sz w:val="20"/>
          <w:szCs w:val="20"/>
          <w:color w:val="auto"/>
        </w:rPr>
      </w:pPr>
      <w:r>
        <w:rPr>
          <w:rFonts w:ascii="Arial" w:cs="Arial" w:eastAsia="Arial" w:hAnsi="Arial"/>
          <w:sz w:val="13"/>
          <w:szCs w:val="13"/>
          <w:color w:val="auto"/>
        </w:rPr>
        <w:t>As of June 30, 2023, the Company had 2 interest rate swap agreements with a notional aggregate amount of $50 million that were designated as cash flow hedges of certificates of deposit. The interest rate swap agreements have an average</w:t>
      </w:r>
    </w:p>
    <w:p>
      <w:pPr>
        <w:spacing w:after="0" w:line="35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59"/>
        <w:spacing w:after="0" w:line="267" w:lineRule="auto"/>
        <w:rPr>
          <w:sz w:val="20"/>
          <w:szCs w:val="20"/>
          <w:color w:val="auto"/>
        </w:rPr>
      </w:pPr>
      <w:r>
        <w:rPr>
          <w:rFonts w:ascii="Arial" w:cs="Arial" w:eastAsia="Arial" w:hAnsi="Arial"/>
          <w:sz w:val="14"/>
          <w:szCs w:val="14"/>
          <w:color w:val="auto"/>
        </w:rPr>
        <w:t>maturity of 2.88 years, the weighted average fixed rate paid is 3.59%, with the weighted average 3-month compound SOFR being received. The Company had no cash flow hedges at December 31, 2022.</w:t>
      </w:r>
    </w:p>
    <w:p>
      <w:pPr>
        <w:spacing w:after="0" w:line="133"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The changes in fair value on these interest rate swaps are recorded in other assets or other liabilities with a corresponding recognition in other comprehensive income and subsequently reclassified to earnings when gains or losses are realized.</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enters into interest rate swaps with its loan customers. The Company had 17 and 15 interest rate swaps with loan customers with an aggregate notional amount of $39.8 million and $33.9 million at June 30, 2023 and December 31, 2022, respectively. These interest rate swaps mature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interest rate swaps at the dates indicated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w w:val="96"/>
              </w:rPr>
              <w:t>Notional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Arial" w:cs="Arial" w:eastAsia="Arial" w:hAnsi="Arial"/>
                <w:sz w:val="13"/>
                <w:szCs w:val="13"/>
                <w:b w:val="1"/>
                <w:bCs w:val="1"/>
                <w:color w:val="auto"/>
              </w:rPr>
              <w:t>Balance Sheet Location</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Asset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Liability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Arial" w:cs="Arial" w:eastAsia="Arial" w:hAnsi="Arial"/>
                <w:sz w:val="13"/>
                <w:szCs w:val="13"/>
                <w:color w:val="auto"/>
              </w:rPr>
              <w:t>Derivatives designated as hedging instruments: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1,046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Derivatives not designated as hedging instruments: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ind w:left="18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39,818</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1,297</w:t>
            </w:r>
          </w:p>
        </w:tc>
        <w:tc>
          <w:tcPr>
            <w:tcW w:w="4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3"/>
                <w:szCs w:val="13"/>
                <w:color w:val="auto"/>
              </w:rPr>
              <w:t>Other assets/Other liabilities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ind w:left="200"/>
              <w:spacing w:after="0"/>
              <w:rPr>
                <w:sz w:val="20"/>
                <w:szCs w:val="20"/>
                <w:color w:val="auto"/>
              </w:rPr>
            </w:pPr>
            <w:r>
              <w:rPr>
                <w:rFonts w:ascii="Arial" w:cs="Arial" w:eastAsia="Arial" w:hAnsi="Arial"/>
                <w:sz w:val="13"/>
                <w:szCs w:val="13"/>
                <w:color w:val="auto"/>
                <w:w w:val="98"/>
              </w:rPr>
              <w:t>4,577</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4,577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Derivatives not designated as hedging instruments: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80" w:type="dxa"/>
            <w:vAlign w:val="bottom"/>
          </w:tcPr>
          <w:p>
            <w:pPr>
              <w:ind w:left="180"/>
              <w:spacing w:after="0"/>
              <w:rPr>
                <w:sz w:val="20"/>
                <w:szCs w:val="20"/>
                <w:color w:val="auto"/>
              </w:rPr>
            </w:pPr>
            <w:r>
              <w:rPr>
                <w:rFonts w:ascii="Arial" w:cs="Arial" w:eastAsia="Arial" w:hAnsi="Arial"/>
                <w:sz w:val="13"/>
                <w:szCs w:val="13"/>
                <w:color w:val="auto"/>
              </w:rPr>
              <w:t>Interest rate swaps related to customer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33,893</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1,278</w:t>
            </w:r>
          </w:p>
        </w:tc>
        <w:tc>
          <w:tcPr>
            <w:tcW w:w="40" w:type="dxa"/>
            <w:vAlign w:val="bottom"/>
          </w:tcPr>
          <w:p>
            <w:pPr>
              <w:spacing w:after="0"/>
              <w:rPr>
                <w:sz w:val="16"/>
                <w:szCs w:val="16"/>
                <w:color w:val="auto"/>
              </w:rPr>
            </w:pPr>
          </w:p>
        </w:tc>
        <w:tc>
          <w:tcPr>
            <w:tcW w:w="1680" w:type="dxa"/>
            <w:vAlign w:val="bottom"/>
            <w:gridSpan w:val="3"/>
          </w:tcPr>
          <w:p>
            <w:pPr>
              <w:ind w:left="20"/>
              <w:spacing w:after="0"/>
              <w:rPr>
                <w:sz w:val="20"/>
                <w:szCs w:val="20"/>
                <w:color w:val="auto"/>
              </w:rPr>
            </w:pPr>
            <w:r>
              <w:rPr>
                <w:rFonts w:ascii="Arial" w:cs="Arial" w:eastAsia="Arial" w:hAnsi="Arial"/>
                <w:sz w:val="13"/>
                <w:szCs w:val="13"/>
                <w:color w:val="auto"/>
              </w:rPr>
              <w:t>Other assets/Other liabilities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ind w:left="200"/>
              <w:spacing w:after="0"/>
              <w:rPr>
                <w:sz w:val="20"/>
                <w:szCs w:val="20"/>
                <w:color w:val="auto"/>
              </w:rPr>
            </w:pPr>
            <w:r>
              <w:rPr>
                <w:rFonts w:ascii="Arial" w:cs="Arial" w:eastAsia="Arial" w:hAnsi="Arial"/>
                <w:sz w:val="13"/>
                <w:szCs w:val="13"/>
                <w:color w:val="auto"/>
                <w:w w:val="98"/>
              </w:rPr>
              <w:t>5,011</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40" w:hanging="377"/>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7"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8"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36" w:lineRule="exact"/>
        <w:rPr>
          <w:sz w:val="20"/>
          <w:szCs w:val="20"/>
          <w:color w:val="auto"/>
        </w:rPr>
      </w:pPr>
    </w:p>
    <w:p>
      <w:pPr>
        <w:jc w:val="both"/>
        <w:ind w:left="1180" w:right="67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80" w:right="67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21" w:lineRule="exact"/>
        <w:rPr>
          <w:sz w:val="20"/>
          <w:szCs w:val="20"/>
          <w:color w:val="auto"/>
        </w:rPr>
      </w:pPr>
    </w:p>
    <w:p>
      <w:pPr>
        <w:jc w:val="both"/>
        <w:ind w:left="1180" w:right="699"/>
        <w:spacing w:after="0" w:line="262"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27" w:lineRule="exact"/>
        <w:rPr>
          <w:sz w:val="20"/>
          <w:szCs w:val="20"/>
          <w:color w:val="auto"/>
        </w:rPr>
      </w:pPr>
    </w:p>
    <w:p>
      <w:pPr>
        <w:jc w:val="both"/>
        <w:ind w:left="660" w:right="659" w:firstLine="256"/>
        <w:spacing w:after="0" w:line="28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23" w:lineRule="exact"/>
        <w:rPr>
          <w:sz w:val="20"/>
          <w:szCs w:val="20"/>
          <w:color w:val="auto"/>
        </w:rPr>
      </w:pPr>
    </w:p>
    <w:p>
      <w:pPr>
        <w:jc w:val="both"/>
        <w:ind w:left="660" w:right="699" w:firstLine="256"/>
        <w:spacing w:after="0" w:line="295"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June 30, 2023 and December 31, 2022 for each of the fair value hierarchy levels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2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7"/>
          </w:tcPr>
          <w:p>
            <w:pPr>
              <w:jc w:val="right"/>
              <w:ind w:right="16"/>
              <w:spacing w:after="0"/>
              <w:rPr>
                <w:sz w:val="20"/>
                <w:szCs w:val="20"/>
                <w:color w:val="auto"/>
              </w:rPr>
            </w:pPr>
            <w:r>
              <w:rPr>
                <w:rFonts w:ascii="Arial" w:cs="Arial" w:eastAsia="Arial" w:hAnsi="Arial"/>
                <w:sz w:val="13"/>
                <w:szCs w:val="13"/>
                <w:b w:val="1"/>
                <w:bCs w:val="1"/>
                <w:color w:val="auto"/>
              </w:rPr>
              <w:t>December 31, 2022</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6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Level 1</w:t>
            </w:r>
          </w:p>
        </w:tc>
        <w:tc>
          <w:tcPr>
            <w:tcW w:w="600" w:type="dxa"/>
            <w:vAlign w:val="bottom"/>
          </w:tcPr>
          <w:p>
            <w:pPr>
              <w:jc w:val="right"/>
              <w:ind w:right="5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8,334</w:t>
            </w:r>
          </w:p>
        </w:tc>
        <w:tc>
          <w:tcPr>
            <w:tcW w:w="460" w:type="dxa"/>
            <w:vAlign w:val="bottom"/>
            <w:gridSpan w:val="3"/>
          </w:tcPr>
          <w:p>
            <w:pPr>
              <w:jc w:val="right"/>
              <w:ind w:right="276"/>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580" w:type="dxa"/>
            <w:vAlign w:val="bottom"/>
          </w:tcPr>
          <w:p>
            <w:pPr>
              <w:jc w:val="right"/>
              <w:spacing w:after="0"/>
              <w:rPr>
                <w:sz w:val="20"/>
                <w:szCs w:val="20"/>
                <w:color w:val="auto"/>
              </w:rPr>
            </w:pPr>
            <w:r>
              <w:rPr>
                <w:rFonts w:ascii="Arial" w:cs="Arial" w:eastAsia="Arial" w:hAnsi="Arial"/>
                <w:sz w:val="13"/>
                <w:szCs w:val="13"/>
                <w:color w:val="auto"/>
              </w:rPr>
              <w:t>8,334</w:t>
            </w:r>
          </w:p>
        </w:tc>
        <w:tc>
          <w:tcPr>
            <w:tcW w:w="28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8,655</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8,655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83,883</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42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58,099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58,099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30,852</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420" w:type="dxa"/>
            <w:vAlign w:val="bottom"/>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19,091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19,091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14,468</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3,715</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218,442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218,442</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Derivative assets</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5,623</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5,623</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224,065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224,065</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3"/>
                <w:szCs w:val="13"/>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40" w:type="dxa"/>
            <w:vAlign w:val="bottom"/>
            <w:vMerge w:val="continue"/>
          </w:tcPr>
          <w:p>
            <w:pPr>
              <w:spacing w:after="0"/>
              <w:rPr>
                <w:sz w:val="10"/>
                <w:szCs w:val="10"/>
                <w:color w:val="auto"/>
              </w:rPr>
            </w:pPr>
          </w:p>
        </w:tc>
        <w:tc>
          <w:tcPr>
            <w:tcW w:w="100" w:type="dxa"/>
            <w:vAlign w:val="bottom"/>
          </w:tcPr>
          <w:p>
            <w:pPr>
              <w:jc w:val="right"/>
              <w:spacing w:after="0" w:line="121" w:lineRule="exact"/>
              <w:rPr>
                <w:sz w:val="20"/>
                <w:szCs w:val="20"/>
                <w:color w:val="auto"/>
              </w:rPr>
            </w:pPr>
            <w:r>
              <w:rPr>
                <w:rFonts w:ascii="Arial" w:cs="Arial" w:eastAsia="Arial" w:hAnsi="Arial"/>
                <w:sz w:val="13"/>
                <w:szCs w:val="13"/>
                <w:color w:val="auto"/>
                <w:w w:val="82"/>
              </w:rPr>
              <w:t>$</w:t>
            </w:r>
          </w:p>
        </w:tc>
        <w:tc>
          <w:tcPr>
            <w:tcW w:w="560" w:type="dxa"/>
            <w:vAlign w:val="bottom"/>
            <w:gridSpan w:val="4"/>
          </w:tcPr>
          <w:p>
            <w:pPr>
              <w:ind w:left="360"/>
              <w:spacing w:after="0" w:line="121" w:lineRule="exact"/>
              <w:rPr>
                <w:sz w:val="20"/>
                <w:szCs w:val="20"/>
                <w:color w:val="auto"/>
              </w:rPr>
            </w:pPr>
            <w:r>
              <w:rPr>
                <w:rFonts w:ascii="Arial" w:cs="Arial" w:eastAsia="Arial" w:hAnsi="Arial"/>
                <w:sz w:val="13"/>
                <w:szCs w:val="13"/>
                <w:color w:val="auto"/>
              </w:rPr>
              <w:t>- $</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4,577</w:t>
            </w:r>
          </w:p>
        </w:tc>
        <w:tc>
          <w:tcPr>
            <w:tcW w:w="460" w:type="dxa"/>
            <w:vAlign w:val="bottom"/>
            <w:gridSpan w:val="3"/>
          </w:tcPr>
          <w:p>
            <w:pPr>
              <w:jc w:val="right"/>
              <w:ind w:right="276"/>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ind w:left="20"/>
              <w:spacing w:after="0" w:line="121"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4,577</w:t>
            </w:r>
          </w:p>
        </w:tc>
        <w:tc>
          <w:tcPr>
            <w:tcW w:w="280" w:type="dxa"/>
            <w:vAlign w:val="bottom"/>
            <w:gridSpan w:val="2"/>
          </w:tcPr>
          <w:p>
            <w:pPr>
              <w:jc w:val="right"/>
              <w:ind w:right="116"/>
              <w:spacing w:after="0" w:line="121"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3"/>
          </w:tcPr>
          <w:p>
            <w:pPr>
              <w:jc w:val="right"/>
              <w:spacing w:after="0" w:line="12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5,011</w:t>
            </w:r>
          </w:p>
        </w:tc>
        <w:tc>
          <w:tcPr>
            <w:tcW w:w="120" w:type="dxa"/>
            <w:vAlign w:val="bottom"/>
            <w:gridSpan w:val="3"/>
          </w:tcPr>
          <w:p>
            <w:pPr>
              <w:jc w:val="right"/>
              <w:spacing w:after="0" w:line="121"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5,011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3"/>
                <w:szCs w:val="13"/>
                <w:color w:val="auto"/>
                <w:w w:val="91"/>
              </w:rPr>
              <w:t>-</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4,577</w:t>
            </w: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b w:val="1"/>
          <w:bCs w:val="1"/>
          <w:color w:val="auto"/>
        </w:rPr>
        <w:t xml:space="preserve">Individually Evaluated Loans and Impaired Loans: </w:t>
      </w:r>
      <w:r>
        <w:rPr>
          <w:rFonts w:ascii="Arial" w:cs="Arial" w:eastAsia="Arial" w:hAnsi="Arial"/>
          <w:sz w:val="14"/>
          <w:szCs w:val="14"/>
          <w:color w:val="auto"/>
        </w:rPr>
        <w:t>ASC 326 eliminates the current accounting model for impaired</w:t>
      </w:r>
      <w:r>
        <w:rPr>
          <w:rFonts w:ascii="Arial" w:cs="Arial" w:eastAsia="Arial" w:hAnsi="Arial"/>
          <w:sz w:val="14"/>
          <w:szCs w:val="14"/>
          <w:b w:val="1"/>
          <w:bCs w:val="1"/>
          <w:color w:val="auto"/>
        </w:rPr>
        <w:t xml:space="preserve"> </w:t>
      </w:r>
      <w:r>
        <w:rPr>
          <w:rFonts w:ascii="Arial" w:cs="Arial" w:eastAsia="Arial" w:hAnsi="Arial"/>
          <w:sz w:val="14"/>
          <w:szCs w:val="14"/>
          <w:color w:val="auto"/>
        </w:rPr>
        <w:t>loans effective as of January 1, 2023. At December 31, 2022, in accordance with provisions of the loan impairment guidance, individual loans with a carrying amount of approximately $ 3.9 million, were written down to their fair value of approximately $3.6 million, resulting in an impairment charge of $294 thousand, which was included in the allowance for credit losses at December 31, 2022. Loans subject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is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132" w:lineRule="exact"/>
        <w:rPr>
          <w:sz w:val="20"/>
          <w:szCs w:val="20"/>
          <w:color w:val="auto"/>
        </w:rPr>
      </w:pPr>
    </w:p>
    <w:p>
      <w:pPr>
        <w:jc w:val="both"/>
        <w:ind w:left="660" w:right="679" w:firstLine="256"/>
        <w:spacing w:after="0" w:line="283"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June 30, 2023 and December 31, 2022 for each of the fair value hierarchy levels (in thousands):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June 30, 2023:</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Individually evaluated loans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72"/>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80" w:type="dxa"/>
            <w:vAlign w:val="bottom"/>
            <w:gridSpan w:val="2"/>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2022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740" w:type="dxa"/>
            <w:vAlign w:val="bottom"/>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Fair Value</w:t>
            </w:r>
          </w:p>
        </w:tc>
        <w:tc>
          <w:tcPr>
            <w:tcW w:w="1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4"/>
                <w:szCs w:val="14"/>
                <w:color w:val="auto"/>
              </w:rPr>
            </w:pPr>
          </w:p>
        </w:tc>
        <w:tc>
          <w:tcPr>
            <w:tcW w:w="33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Unobservable Input(s)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comparison approach</w:t>
            </w: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Adj. for differences between comparable sales</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20"/>
                <w:szCs w:val="20"/>
                <w:color w:val="auto"/>
              </w:rPr>
            </w:pPr>
            <w:r>
              <w:rPr>
                <w:rFonts w:ascii="Arial" w:cs="Arial" w:eastAsia="Arial" w:hAnsi="Arial"/>
                <w:sz w:val="13"/>
                <w:szCs w:val="13"/>
                <w:color w:val="auto"/>
              </w:rPr>
              <w:t>Commercial and industrial</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ind w:left="20"/>
              <w:spacing w:after="0"/>
              <w:rPr>
                <w:sz w:val="20"/>
                <w:szCs w:val="20"/>
                <w:color w:val="auto"/>
              </w:rPr>
            </w:pPr>
            <w:r>
              <w:rPr>
                <w:rFonts w:ascii="Arial" w:cs="Arial" w:eastAsia="Arial" w:hAnsi="Arial"/>
                <w:sz w:val="13"/>
                <w:szCs w:val="13"/>
                <w:color w:val="auto"/>
              </w:rPr>
              <w:t>Discounted cash flow</w:t>
            </w:r>
          </w:p>
        </w:tc>
        <w:tc>
          <w:tcPr>
            <w:tcW w:w="6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Adj. for differences in net operating income expectations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Adj. for differences in net operating income expectations</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100"/>
              <w:spacing w:after="0"/>
              <w:rPr>
                <w:sz w:val="20"/>
                <w:szCs w:val="20"/>
                <w:color w:val="auto"/>
              </w:rPr>
            </w:pPr>
            <w:r>
              <w:rPr>
                <w:rFonts w:ascii="Arial" w:cs="Arial" w:eastAsia="Arial" w:hAnsi="Arial"/>
                <w:sz w:val="13"/>
                <w:szCs w:val="13"/>
                <w:color w:val="auto"/>
              </w:rPr>
              <w:t>Total impaired loans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3,639</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There were no financial liabilities measured at fair value on a non-recurring basis at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June 30, 2023 and December 31, 2022 (in thousands):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Hierarchy</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2023:</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Financial Assets: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Interest-bearing deposits in banks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79,407</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79,407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79,407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Investment securities held to maturity,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220,956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Loans held for investment, net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1,577,144</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1,519,939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1,519,939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interest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Demand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572,360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572,360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572,360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Money market and savings accounts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994,429</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994,429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994,429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Interest-bearing checking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59,501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59,501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Time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295,011</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292,428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292,428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advances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87,000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84,564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84,564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Accrued interest payable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1,183</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459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80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6,605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6,605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Interest-bearing deposits in banks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47,563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Investment securities held to maturity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188,699</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169,088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169,088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held for investment,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1,489,851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1,436,877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1,436,877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Accrued interest receivable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7,546</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6,363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7,546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Demand deposits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629,776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629,776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Money market and savings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Interest-bearing checking accounts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66,675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Time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216,977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211,406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211,406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80"/>
              <w:spacing w:after="0"/>
              <w:rPr>
                <w:sz w:val="20"/>
                <w:szCs w:val="20"/>
                <w:color w:val="auto"/>
              </w:rPr>
            </w:pPr>
            <w:r>
              <w:rPr>
                <w:rFonts w:ascii="Arial" w:cs="Arial" w:eastAsia="Arial" w:hAnsi="Arial"/>
                <w:sz w:val="13"/>
                <w:szCs w:val="13"/>
                <w:color w:val="auto"/>
              </w:rPr>
              <w:t>FHLB advances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46,000</w:t>
            </w:r>
          </w:p>
        </w:tc>
        <w:tc>
          <w:tcPr>
            <w:tcW w:w="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44,547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44,547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interest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040" w:hanging="377"/>
        <w:spacing w:after="0"/>
        <w:tabs>
          <w:tab w:leader="none" w:pos="10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July 2021, the Bank completed the initial public offering of its Class A common stock, in which it issued and sold 4,600,000 shares of Class A common stock at a price of $ 10.00 per share. The Bank received total net proceeds of $40.0 million after deducting underwriting discounts and expenses.</w:t>
      </w:r>
    </w:p>
    <w:p>
      <w:pPr>
        <w:spacing w:after="0" w:line="144"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December 2021, the Company acquired all the issued and outstanding shares of the Class A voting common stock of the Bank, which at the time were the only issued and outstanding shares of the Bank’s capital stock, in a share exchange (the “Reorganization”) effected under the Florida Business Corporation Act. Each outstanding share of the Bank’s Class A common stock, par value $ 1.00 per share, formerly held by its shareholders was converted into and exchanged for one newly issued share of the Company’s Class A common stock, par value $1.00 per share, and the Bank became the Company’s wholly owned subsidiary.</w:t>
      </w:r>
    </w:p>
    <w:p>
      <w:pPr>
        <w:spacing w:after="0" w:line="135"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w:t>
      </w:r>
    </w:p>
    <w:p>
      <w:pPr>
        <w:spacing w:after="0" w:line="39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99"/>
        <w:spacing w:after="0" w:line="267" w:lineRule="auto"/>
        <w:rPr>
          <w:sz w:val="20"/>
          <w:szCs w:val="20"/>
          <w:color w:val="auto"/>
        </w:rPr>
      </w:pPr>
      <w:r>
        <w:rPr>
          <w:rFonts w:ascii="Arial" w:cs="Arial" w:eastAsia="Arial" w:hAnsi="Arial"/>
          <w:sz w:val="14"/>
          <w:szCs w:val="14"/>
          <w:color w:val="auto"/>
        </w:rPr>
        <w:t>held in the Bank, and the Company’s then current shareholders owned the same percentages of the Company’s common stock as they previously owned of the Bank’s common stock.</w:t>
      </w:r>
    </w:p>
    <w:p>
      <w:pPr>
        <w:spacing w:after="0" w:line="13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In March 2023, the Company issued 121,627 shares of Class A common stock to employees and directors as restricted stock awards pursuant to the Company’s 2015 equity incentive plan. There were no stock awards issued during the quarter ended June 30, 2023 nor during the three and six months ended June 30, 2022.</w:t>
      </w:r>
    </w:p>
    <w:p>
      <w:pPr>
        <w:spacing w:after="0" w:line="12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During the second quarter of 2023, the Company repurchased 77,603 shares of Class A common stock at a weighted average price per share of $ 9.58. The aggregate purchase price for these transactions was approximately $ 747 thousand, including transaction costs. These repurchases were made through open market purchases pursuant to the Company’s publicly announced repurchase program. As of June 30, 2023, 172,397 shares remained authorized for repurchase under this program.</w:t>
      </w:r>
    </w:p>
    <w:p>
      <w:pPr>
        <w:spacing w:after="0" w:line="133" w:lineRule="exact"/>
        <w:rPr>
          <w:sz w:val="20"/>
          <w:szCs w:val="20"/>
          <w:color w:val="auto"/>
        </w:rPr>
      </w:pPr>
    </w:p>
    <w:p>
      <w:pPr>
        <w:jc w:val="both"/>
        <w:ind w:left="660" w:right="679" w:firstLine="256"/>
        <w:spacing w:after="0" w:line="283" w:lineRule="auto"/>
        <w:rPr>
          <w:sz w:val="20"/>
          <w:szCs w:val="20"/>
          <w:color w:val="auto"/>
        </w:rPr>
      </w:pPr>
      <w:r>
        <w:rPr>
          <w:rFonts w:ascii="Arial" w:cs="Arial" w:eastAsia="Arial" w:hAnsi="Arial"/>
          <w:sz w:val="14"/>
          <w:szCs w:val="14"/>
          <w:color w:val="auto"/>
        </w:rPr>
        <w:t>Shares of the Company’s Class A common stock issued and outstanding as of June 30, 2023 and December 31, 2022 were 19,544,777 and 20,000,753,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8"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Declaration of dividends by the Board is required before dividend payments are made. No dividends were approved by the Board for the common stock classes for the three months ended June 30, 2023 and 2022. Additionally, there were no dividends declared and unpaid as of June 30, 2023 and 2022.</w:t>
      </w:r>
    </w:p>
    <w:p>
      <w:pPr>
        <w:spacing w:after="0" w:line="128" w:lineRule="exact"/>
        <w:rPr>
          <w:sz w:val="20"/>
          <w:szCs w:val="20"/>
          <w:color w:val="auto"/>
        </w:rPr>
      </w:pPr>
    </w:p>
    <w:p>
      <w:pPr>
        <w:jc w:val="both"/>
        <w:ind w:left="660" w:right="639" w:firstLine="256"/>
        <w:spacing w:after="0" w:line="260"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June 30, 2023 and December 31, 2022. At June 30, 2023, the total risk-based capital ratios for the Company and the Bank were 13.42% and 13.37%, respectively.</w:t>
      </w:r>
    </w:p>
    <w:p>
      <w:pPr>
        <w:spacing w:after="0" w:line="130" w:lineRule="exact"/>
        <w:rPr>
          <w:sz w:val="20"/>
          <w:szCs w:val="20"/>
          <w:color w:val="auto"/>
        </w:rPr>
      </w:pPr>
    </w:p>
    <w:p>
      <w:pPr>
        <w:ind w:left="1040" w:hanging="377"/>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1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48"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following table reflects the calculation of net income available to common stockholders for the three and six months ended June 30, 2023 and 2022 (in thousands):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4"/>
                <w:szCs w:val="14"/>
                <w:color w:val="auto"/>
              </w:rPr>
            </w:pPr>
          </w:p>
        </w:tc>
      </w:tr>
      <w:tr>
        <w:trPr>
          <w:trHeight w:val="151"/>
        </w:trPr>
        <w:tc>
          <w:tcPr>
            <w:tcW w:w="33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51"/>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4,196</w:t>
            </w:r>
          </w:p>
        </w:tc>
        <w:tc>
          <w:tcPr>
            <w:tcW w:w="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10,149</w:t>
            </w:r>
          </w:p>
        </w:tc>
        <w:tc>
          <w:tcPr>
            <w:tcW w:w="20" w:type="dxa"/>
            <w:vAlign w:val="bottom"/>
            <w:shd w:val="clear" w:color="auto" w:fill="CCEEFF"/>
          </w:tcPr>
          <w:p>
            <w:pPr>
              <w:spacing w:after="0"/>
              <w:rPr>
                <w:sz w:val="13"/>
                <w:szCs w:val="13"/>
                <w:color w:val="auto"/>
              </w:rPr>
            </w:pPr>
          </w:p>
        </w:tc>
      </w:tr>
      <w:tr>
        <w:trPr>
          <w:trHeight w:val="161"/>
        </w:trPr>
        <w:tc>
          <w:tcPr>
            <w:tcW w:w="3380" w:type="dxa"/>
            <w:vAlign w:val="bottom"/>
          </w:tcPr>
          <w:p>
            <w:pPr>
              <w:ind w:left="100"/>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2"/>
              </w:rPr>
              <w:t>4,196</w:t>
            </w:r>
          </w:p>
        </w:tc>
        <w:tc>
          <w:tcPr>
            <w:tcW w:w="28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5,295</w:t>
            </w:r>
          </w:p>
        </w:tc>
        <w:tc>
          <w:tcPr>
            <w:tcW w:w="20" w:type="dxa"/>
            <w:vAlign w:val="bottom"/>
          </w:tcPr>
          <w:p>
            <w:pPr>
              <w:spacing w:after="0"/>
              <w:rPr>
                <w:sz w:val="14"/>
                <w:szCs w:val="14"/>
                <w:color w:val="auto"/>
              </w:rPr>
            </w:pPr>
          </w:p>
        </w:tc>
        <w:tc>
          <w:tcPr>
            <w:tcW w:w="2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10,005</w:t>
            </w: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10,149</w:t>
            </w:r>
          </w:p>
        </w:tc>
        <w:tc>
          <w:tcPr>
            <w:tcW w:w="2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and six months ended June 30, 2023 and 2022 (in thousands, except per share amounts):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5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right"/>
              <w:ind w:right="236"/>
              <w:spacing w:after="0"/>
              <w:rPr>
                <w:sz w:val="20"/>
                <w:szCs w:val="20"/>
                <w:color w:val="auto"/>
              </w:rPr>
            </w:pPr>
            <w:r>
              <w:rPr>
                <w:rFonts w:ascii="Arial" w:cs="Arial" w:eastAsia="Arial" w:hAnsi="Arial"/>
                <w:sz w:val="13"/>
                <w:szCs w:val="13"/>
                <w:b w:val="1"/>
                <w:bCs w:val="1"/>
                <w:color w:val="auto"/>
              </w:rPr>
              <w:t>Three Months Ended June 30,</w:t>
            </w:r>
          </w:p>
        </w:tc>
        <w:tc>
          <w:tcPr>
            <w:tcW w:w="20" w:type="dxa"/>
            <w:vAlign w:val="bottom"/>
          </w:tcPr>
          <w:p>
            <w:pPr>
              <w:spacing w:after="0"/>
              <w:rPr>
                <w:sz w:val="13"/>
                <w:szCs w:val="13"/>
                <w:color w:val="auto"/>
              </w:rPr>
            </w:pPr>
          </w:p>
        </w:tc>
      </w:tr>
      <w:tr>
        <w:trPr>
          <w:trHeight w:val="161"/>
        </w:trPr>
        <w:tc>
          <w:tcPr>
            <w:tcW w:w="5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r>
      <w:tr>
        <w:trPr>
          <w:trHeight w:val="151"/>
        </w:trPr>
        <w:tc>
          <w:tcPr>
            <w:tcW w:w="5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3"/>
                <w:szCs w:val="13"/>
                <w:color w:val="auto"/>
              </w:rPr>
            </w:pPr>
          </w:p>
        </w:tc>
      </w:tr>
      <w:tr>
        <w:trPr>
          <w:trHeight w:val="161"/>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 available to common shares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5,295</w:t>
            </w:r>
          </w:p>
        </w:tc>
        <w:tc>
          <w:tcPr>
            <w:tcW w:w="20" w:type="dxa"/>
            <w:vAlign w:val="bottom"/>
            <w:shd w:val="clear" w:color="auto" w:fill="CCEEFF"/>
          </w:tcPr>
          <w:p>
            <w:pPr>
              <w:spacing w:after="0"/>
              <w:rPr>
                <w:sz w:val="14"/>
                <w:szCs w:val="14"/>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19,590,359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20,000,753</w:t>
            </w:r>
          </w:p>
        </w:tc>
        <w:tc>
          <w:tcPr>
            <w:tcW w:w="20" w:type="dxa"/>
            <w:vAlign w:val="bottom"/>
            <w:shd w:val="clear" w:color="auto" w:fill="CCEEFF"/>
          </w:tcPr>
          <w:p>
            <w:pPr>
              <w:spacing w:after="0"/>
              <w:rPr>
                <w:sz w:val="14"/>
                <w:szCs w:val="14"/>
                <w:color w:val="auto"/>
              </w:rPr>
            </w:pPr>
          </w:p>
        </w:tc>
      </w:tr>
      <w:tr>
        <w:trPr>
          <w:trHeight w:val="212"/>
        </w:trPr>
        <w:tc>
          <w:tcPr>
            <w:tcW w:w="518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0.21</w:t>
            </w:r>
          </w:p>
        </w:tc>
        <w:tc>
          <w:tcPr>
            <w:tcW w:w="280" w:type="dxa"/>
            <w:vAlign w:val="bottom"/>
            <w:gridSpan w:val="4"/>
          </w:tcPr>
          <w:p>
            <w:pPr>
              <w:jc w:val="right"/>
              <w:ind w:right="9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0.26</w:t>
            </w:r>
          </w:p>
        </w:tc>
        <w:tc>
          <w:tcPr>
            <w:tcW w:w="20" w:type="dxa"/>
            <w:vAlign w:val="bottom"/>
          </w:tcPr>
          <w:p>
            <w:pPr>
              <w:spacing w:after="0"/>
              <w:rPr>
                <w:sz w:val="18"/>
                <w:szCs w:val="18"/>
                <w:color w:val="auto"/>
              </w:rPr>
            </w:pPr>
          </w:p>
        </w:tc>
      </w:tr>
      <w:tr>
        <w:trPr>
          <w:trHeight w:val="121"/>
        </w:trPr>
        <w:tc>
          <w:tcPr>
            <w:tcW w:w="5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518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180" w:type="dxa"/>
            <w:vAlign w:val="bottom"/>
          </w:tcPr>
          <w:p>
            <w:pPr>
              <w:ind w:left="100"/>
              <w:spacing w:after="0"/>
              <w:rPr>
                <w:sz w:val="20"/>
                <w:szCs w:val="20"/>
                <w:color w:val="auto"/>
              </w:rPr>
            </w:pPr>
            <w:r>
              <w:rPr>
                <w:rFonts w:ascii="Arial" w:cs="Arial" w:eastAsia="Arial" w:hAnsi="Arial"/>
                <w:sz w:val="13"/>
                <w:szCs w:val="13"/>
                <w:color w:val="auto"/>
              </w:rPr>
              <w:t>Net income available to common shares</w:t>
            </w:r>
          </w:p>
        </w:tc>
        <w:tc>
          <w:tcPr>
            <w:tcW w:w="20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4,196</w:t>
            </w:r>
          </w:p>
        </w:tc>
        <w:tc>
          <w:tcPr>
            <w:tcW w:w="280" w:type="dxa"/>
            <w:vAlign w:val="bottom"/>
            <w:gridSpan w:val="4"/>
          </w:tcPr>
          <w:p>
            <w:pPr>
              <w:jc w:val="right"/>
              <w:ind w:right="9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5,295</w:t>
            </w:r>
          </w:p>
        </w:tc>
        <w:tc>
          <w:tcPr>
            <w:tcW w:w="20" w:type="dxa"/>
            <w:vAlign w:val="bottom"/>
          </w:tcPr>
          <w:p>
            <w:pPr>
              <w:spacing w:after="0"/>
              <w:rPr>
                <w:sz w:val="14"/>
                <w:szCs w:val="14"/>
                <w:color w:val="auto"/>
              </w:rPr>
            </w:pPr>
          </w:p>
        </w:tc>
      </w:tr>
      <w:tr>
        <w:trPr>
          <w:trHeight w:val="171"/>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5180" w:type="dxa"/>
            <w:vAlign w:val="bottom"/>
          </w:tcPr>
          <w:p>
            <w:pPr>
              <w:ind w:left="100"/>
              <w:spacing w:after="0"/>
              <w:rPr>
                <w:sz w:val="20"/>
                <w:szCs w:val="20"/>
                <w:color w:val="auto"/>
              </w:rPr>
            </w:pPr>
            <w:r>
              <w:rPr>
                <w:rFonts w:ascii="Arial" w:cs="Arial" w:eastAsia="Arial" w:hAnsi="Arial"/>
                <w:sz w:val="13"/>
                <w:szCs w:val="13"/>
                <w:color w:val="auto"/>
              </w:rPr>
              <w:t>Weighted average shares outstanding for basic EPS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19,590,359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20,000,753</w:t>
            </w:r>
          </w:p>
        </w:tc>
        <w:tc>
          <w:tcPr>
            <w:tcW w:w="20" w:type="dxa"/>
            <w:vAlign w:val="bottom"/>
          </w:tcPr>
          <w:p>
            <w:pPr>
              <w:spacing w:after="0"/>
              <w:rPr>
                <w:sz w:val="14"/>
                <w:szCs w:val="14"/>
                <w:color w:val="auto"/>
              </w:rPr>
            </w:pPr>
          </w:p>
        </w:tc>
      </w:tr>
      <w:tr>
        <w:trPr>
          <w:trHeight w:val="160"/>
        </w:trPr>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49,323</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170,508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Weighted avg. shares including dilutive potential common shares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19,639,682</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20,171,261</w:t>
            </w:r>
          </w:p>
        </w:tc>
        <w:tc>
          <w:tcPr>
            <w:tcW w:w="20" w:type="dxa"/>
            <w:vAlign w:val="bottom"/>
          </w:tcPr>
          <w:p>
            <w:pPr>
              <w:spacing w:after="0"/>
              <w:rPr>
                <w:sz w:val="14"/>
                <w:szCs w:val="14"/>
                <w:color w:val="auto"/>
              </w:rPr>
            </w:pPr>
          </w:p>
        </w:tc>
      </w:tr>
      <w:tr>
        <w:trPr>
          <w:trHeight w:val="172"/>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5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730,500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r>
    </w:tbl>
    <w:p>
      <w:pPr>
        <w:spacing w:after="0" w:line="177" w:lineRule="exact"/>
        <w:rPr>
          <w:sz w:val="20"/>
          <w:szCs w:val="20"/>
          <w:color w:val="auto"/>
        </w:rPr>
      </w:pPr>
    </w:p>
    <w:p>
      <w:pPr>
        <w:jc w:val="both"/>
        <w:ind w:left="660" w:right="899"/>
        <w:spacing w:after="0" w:line="260" w:lineRule="auto"/>
        <w:rPr>
          <w:sz w:val="20"/>
          <w:szCs w:val="20"/>
          <w:color w:val="auto"/>
        </w:rPr>
      </w:pPr>
      <w:r>
        <w:rPr>
          <w:rFonts w:ascii="Arial" w:cs="Arial" w:eastAsia="Arial" w:hAnsi="Arial"/>
          <w:sz w:val="11"/>
          <w:szCs w:val="11"/>
          <w:color w:val="auto"/>
        </w:rPr>
        <w:t>Net income has not been allocated to unvested restrictedstock awards that are participating securities because the amounts that would be allocated are not material to net income per share of common stock. Unvested restricted stock awards that are participating securities represent less than one percent of all of the outstanding shares of common stock for each of the periods presented.</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2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Basic EPS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 (loss) available to common shares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10,005</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Weighted average shares outstanding</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19,722,152</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19,997,869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Earnings per share, basic</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0.51</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5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3"/>
                <w:szCs w:val="13"/>
                <w:color w:val="auto"/>
              </w:rPr>
              <w:t>Net income available to common shares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10,005</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10,149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3"/>
                <w:szCs w:val="13"/>
                <w:color w:val="auto"/>
              </w:rPr>
              <w:t>Weighted average shares outstanding for basic EPS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19,722,152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19,997,869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Add: Dilutive effects of assumed exercises of stock options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68,604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195,049</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20" w:type="dxa"/>
            <w:vAlign w:val="bottom"/>
          </w:tcPr>
          <w:p>
            <w:pPr>
              <w:ind w:left="80"/>
              <w:spacing w:after="0"/>
              <w:rPr>
                <w:sz w:val="20"/>
                <w:szCs w:val="20"/>
                <w:color w:val="auto"/>
              </w:rPr>
            </w:pPr>
            <w:r>
              <w:rPr>
                <w:rFonts w:ascii="Arial" w:cs="Arial" w:eastAsia="Arial" w:hAnsi="Arial"/>
                <w:sz w:val="13"/>
                <w:szCs w:val="13"/>
                <w:color w:val="auto"/>
              </w:rPr>
              <w:t>Weighted avg. shares including dilutive potential common shares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19,790,756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20,192,918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Earnings per share, diluted</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restart"/>
          </w:tcPr>
          <w:p>
            <w:pPr>
              <w:spacing w:after="0"/>
              <w:rPr>
                <w:sz w:val="10"/>
                <w:szCs w:val="10"/>
                <w:color w:val="auto"/>
              </w:rPr>
            </w:pPr>
          </w:p>
        </w:tc>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730,500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660" w:right="699"/>
        <w:spacing w:after="0" w:line="271"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securitiesbecause the amounts that would be allocated are not material to net income per share of common stock. Unvested restricted stock awards that are participatingsecurities represent less than one percent of all of the outstanding shares of common stock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0" w:lineRule="exact"/>
        <w:rPr>
          <w:sz w:val="20"/>
          <w:szCs w:val="20"/>
          <w:color w:val="auto"/>
        </w:rPr>
      </w:pPr>
    </w:p>
    <w:p>
      <w:pPr>
        <w:ind w:left="1060" w:hanging="397"/>
        <w:spacing w:after="0"/>
        <w:tabs>
          <w:tab w:leader="none" w:pos="10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10"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200" w:lineRule="exact"/>
        <w:rPr>
          <w:sz w:val="20"/>
          <w:szCs w:val="20"/>
          <w:color w:val="auto"/>
        </w:rPr>
      </w:pPr>
    </w:p>
    <w:p>
      <w:pPr>
        <w:spacing w:after="0" w:line="250" w:lineRule="exact"/>
        <w:rPr>
          <w:sz w:val="20"/>
          <w:szCs w:val="20"/>
          <w:color w:val="auto"/>
        </w:rPr>
      </w:pPr>
    </w:p>
    <w:p>
      <w:pPr>
        <w:ind w:left="1180" w:hanging="517"/>
        <w:spacing w:after="0"/>
        <w:tabs>
          <w:tab w:leader="none" w:pos="11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10"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Management has evaluated subsequent events from July 1, 2023 through August 11, 2023, which is the date this Form 10-Q was available to be issued.</w:t>
      </w:r>
    </w:p>
    <w:p>
      <w:pPr>
        <w:spacing w:after="0" w:line="133"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July 2023, three individual shareholders filed a complaint against six board members serving in July 2021, without naming the Bank as a party, alleging the named directors did not have the authority to approve the exchange of preferred stock in July 2021 as part of the Bank’s initial public offering and that further, such action breached their fiduciary duties. The Plaintiffs claim this exchange was not permitted by the Bank’s Articles of Incorporation. The Company believes that the allegations in the lawsuit are legally and factually without merit, and the Company intends to vigorously defend against the allegations in the lawsuit. Despite the Company’s belief the lawsuit lacks merit, if the plaintiffs were successful, the Court could award substantial compensatory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w:t>
      </w:r>
    </w:p>
    <w:p>
      <w:pPr>
        <w:spacing w:after="0" w:line="163"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for the quarter and six months ended June 30, 2023. This discussion and analysis is best read in conjunction with the unaudited consolidated financial statements and related footnotes included in this quarterly report on Form 10-Q and the audited consolidated financial statements and related footnotes included in the Annual Report on Form 10-K/A (“2022 Form 10-K/A”) filed with the Securities and Exchange Commission (“SEC”) for the year ended December 31, 2022.</w:t>
      </w:r>
    </w:p>
    <w:p>
      <w:pPr>
        <w:spacing w:after="0" w:line="142"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and in the 2022 Form 10-K/A filed with the SEC which is available at the SEC’s website www.sec.gov.</w:t>
      </w:r>
    </w:p>
    <w:p>
      <w:pPr>
        <w:spacing w:after="0" w:line="127" w:lineRule="exact"/>
        <w:rPr>
          <w:sz w:val="20"/>
          <w:szCs w:val="20"/>
          <w:color w:val="auto"/>
        </w:rPr>
      </w:pPr>
    </w:p>
    <w:p>
      <w:pPr>
        <w:ind w:left="660" w:right="719" w:firstLine="256"/>
        <w:spacing w:after="0" w:line="289"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This Quarterly Report on Form 10-Q (“Form 10-Q”) contains statements that are not historical in nature and are intended to be, and are hereby identified as, forward-looking statements for purposes of the safe harbor provided by Section 21E of the Securities Exchange Act of 1934, as amended (Exchange Act”). The words “may,” “will,” “anticipate,” “should,” “would,” “believe,” “contemplate,” “expect,” “aim,” “plan,” “estimate,” “continue,”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balance sheet restructuring.</w:t>
      </w:r>
    </w:p>
    <w:p>
      <w:pPr>
        <w:spacing w:after="0" w:line="135" w:lineRule="exact"/>
        <w:rPr>
          <w:sz w:val="20"/>
          <w:szCs w:val="20"/>
          <w:color w:val="auto"/>
        </w:rPr>
      </w:pPr>
    </w:p>
    <w:p>
      <w:pPr>
        <w:jc w:val="both"/>
        <w:ind w:left="660" w:right="679" w:firstLine="256"/>
        <w:spacing w:after="0" w:line="283"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2" w:lineRule="exact"/>
        <w:rPr>
          <w:sz w:val="20"/>
          <w:szCs w:val="20"/>
          <w:color w:val="auto"/>
        </w:rPr>
      </w:pPr>
    </w:p>
    <w:p>
      <w:pPr>
        <w:ind w:left="1180" w:right="699" w:hanging="261"/>
        <w:spacing w:after="0" w:line="246" w:lineRule="auto"/>
        <w:tabs>
          <w:tab w:leader="none" w:pos="117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 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procedures and processes;</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spacing w:after="0" w:line="1" w:lineRule="exact"/>
        <w:rPr>
          <w:rFonts w:ascii="Arial" w:cs="Arial" w:eastAsia="Arial" w:hAnsi="Arial"/>
          <w:sz w:val="14"/>
          <w:szCs w:val="14"/>
          <w:color w:val="auto"/>
        </w:rPr>
      </w:pPr>
    </w:p>
    <w:p>
      <w:pPr>
        <w:ind w:left="1180" w:right="69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adverse changes or conditions in capital and financial markets, including actual or potential stresses in the banking industry;</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ind w:left="1180" w:right="67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on-going effects of the implementation of the Current Expected Credit Losses (“CECL”) standard;</w:t>
      </w:r>
    </w:p>
    <w:p>
      <w:pPr>
        <w:jc w:val="both"/>
        <w:ind w:left="1180" w:right="699" w:hanging="261"/>
        <w:spacing w:after="0" w:line="243"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effects of climate change;</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46"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impacts of international hostilities and geopolitical events;</w:t>
      </w: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margin;</w:t>
      </w:r>
    </w:p>
    <w:p>
      <w:pPr>
        <w:spacing w:after="0" w:line="9" w:lineRule="exact"/>
        <w:rPr>
          <w:rFonts w:ascii="Arial" w:cs="Arial" w:eastAsia="Arial" w:hAnsi="Arial"/>
          <w:sz w:val="14"/>
          <w:szCs w:val="14"/>
          <w:color w:val="auto"/>
        </w:rPr>
      </w:pPr>
    </w:p>
    <w:p>
      <w:pPr>
        <w:ind w:left="1180" w:right="699" w:hanging="261"/>
        <w:spacing w:after="0" w:line="23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spacing w:after="0" w:line="1" w:lineRule="exact"/>
        <w:rPr>
          <w:rFonts w:ascii="Arial" w:cs="Arial" w:eastAsia="Arial" w:hAnsi="Arial"/>
          <w:sz w:val="14"/>
          <w:szCs w:val="14"/>
          <w:color w:val="auto"/>
        </w:rPr>
      </w:pPr>
    </w:p>
    <w:p>
      <w:pPr>
        <w:ind w:left="1180" w:right="699" w:hanging="261"/>
        <w:spacing w:after="0" w:line="268" w:lineRule="auto"/>
        <w:tabs>
          <w:tab w:leader="none" w:pos="11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risks described in this Form 10-Q, the 2022 Form 10-K/A and other filings we make with the Securities and Exchange Commission (“SEC”).</w:t>
      </w:r>
    </w:p>
    <w:p>
      <w:pPr>
        <w:spacing w:after="0" w:line="38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Form 10-Q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filed or will file with the SEC.</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67" w:lineRule="exact"/>
        <w:rPr>
          <w:sz w:val="20"/>
          <w:szCs w:val="20"/>
          <w:color w:val="auto"/>
        </w:rPr>
      </w:pPr>
    </w:p>
    <w:p>
      <w:pPr>
        <w:jc w:val="both"/>
        <w:ind w:left="660" w:right="679" w:firstLine="256"/>
        <w:spacing w:after="0" w:line="258" w:lineRule="auto"/>
        <w:rPr>
          <w:sz w:val="20"/>
          <w:szCs w:val="20"/>
          <w:color w:val="auto"/>
        </w:rPr>
      </w:pPr>
      <w:r>
        <w:rPr>
          <w:rFonts w:ascii="Arial" w:cs="Arial" w:eastAsia="Arial" w:hAnsi="Arial"/>
          <w:sz w:val="14"/>
          <w:szCs w:val="14"/>
          <w:color w:val="auto"/>
        </w:rPr>
        <w:t>The Company reported net income of $4.2 million or $0.21 per diluted share of common stock for the three months ended June 30, 2023 compared to $5.3 million or $0.26 per diluted share of common stock for the three months ended June 30, 2022. Net income for the six months ended June 30, 2023 was $10.0 million or $0.51 per diluted share of common stock compared to $10.1 million or $0.50 per diluted share of common stock for the same period in 2022.</w:t>
      </w:r>
    </w:p>
    <w:p>
      <w:pPr>
        <w:spacing w:after="0" w:line="129" w:lineRule="exact"/>
        <w:rPr>
          <w:sz w:val="20"/>
          <w:szCs w:val="20"/>
          <w:color w:val="auto"/>
        </w:rPr>
      </w:pPr>
    </w:p>
    <w:p>
      <w:pPr>
        <w:jc w:val="both"/>
        <w:ind w:left="660" w:right="659" w:firstLine="256"/>
        <w:spacing w:after="0" w:line="277" w:lineRule="auto"/>
        <w:rPr>
          <w:sz w:val="20"/>
          <w:szCs w:val="20"/>
          <w:color w:val="auto"/>
        </w:rPr>
      </w:pPr>
      <w:r>
        <w:rPr>
          <w:rFonts w:ascii="Arial" w:cs="Arial" w:eastAsia="Arial" w:hAnsi="Arial"/>
          <w:sz w:val="13"/>
          <w:szCs w:val="13"/>
          <w:color w:val="auto"/>
        </w:rPr>
        <w:t>During the second quarter of 2023, the Company repurchased 77,603 shares of Class A common stock at a weighted average price per share of $9.58. The aggregate purchase price for these transactions was approximately $747 thousand, including transaction costs. Year-to-date, the Company has repurchased 577,603 shares at a weighted average price per share of $11.41. These repurchases were made through open market purchase pursuant to the Company’s publicly announced repurchase program. As of June 30, 2023, 172,397 shares remain authorized for repurchase under this program.</w:t>
      </w:r>
    </w:p>
    <w:p>
      <w:pPr>
        <w:spacing w:after="0" w:line="119"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levels and composition of non-interest income and non-interest expense, performance ratios, asset quality ratios, regulatory capital ratios, and any significant event or transaction.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Unless otherwise stated, all period comparisons in the bullet points below are calculated for the quarter ended June 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2023 compared to the quarter ended June 30, 2022 and to December 31, 2022, comparison annualized where appropriate:</w:t>
      </w:r>
    </w:p>
    <w:p>
      <w:pPr>
        <w:spacing w:after="0" w:line="149" w:lineRule="exact"/>
        <w:rPr>
          <w:sz w:val="20"/>
          <w:szCs w:val="20"/>
          <w:color w:val="auto"/>
        </w:rPr>
      </w:pPr>
    </w:p>
    <w:p>
      <w:pPr>
        <w:jc w:val="both"/>
        <w:ind w:left="1180" w:right="699" w:hanging="261"/>
        <w:spacing w:after="0" w:line="260"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income for the three months ended June 30, 2023 decreased $1.5 million or 9.4% to $14.2 million from $15.6 million for the quarter ended June 30, 2022. Net interest income for the six months ended in June 30, 2023 increased $149 thousand or 0.5% compared to the same period ended June 30, 2022.</w:t>
      </w:r>
    </w:p>
    <w:p>
      <w:pPr>
        <w:spacing w:after="0" w:line="138" w:lineRule="exact"/>
        <w:rPr>
          <w:rFonts w:ascii="Arial" w:cs="Arial" w:eastAsia="Arial" w:hAnsi="Arial"/>
          <w:sz w:val="14"/>
          <w:szCs w:val="14"/>
          <w:color w:val="auto"/>
        </w:rPr>
      </w:pPr>
    </w:p>
    <w:p>
      <w:pPr>
        <w:jc w:val="both"/>
        <w:ind w:left="1180" w:right="679" w:hanging="261"/>
        <w:spacing w:after="0" w:line="252"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Net interest margin (“NIM”) was 2.73% for the three months ended June 30, 2023 compared to 3.37% for the three months ended June 30, 2022. NIM was 2.97% for the six months ended in June 30, 2023 compared to 3.30% for the same period in 2022.</w:t>
      </w:r>
    </w:p>
    <w:p>
      <w:pPr>
        <w:spacing w:after="0" w:line="143" w:lineRule="exact"/>
        <w:rPr>
          <w:rFonts w:ascii="Arial" w:cs="Arial" w:eastAsia="Arial" w:hAnsi="Arial"/>
          <w:sz w:val="14"/>
          <w:szCs w:val="14"/>
          <w:color w:val="auto"/>
        </w:rPr>
      </w:pPr>
    </w:p>
    <w:p>
      <w:pPr>
        <w:ind w:left="1180" w:right="699" w:hanging="261"/>
        <w:spacing w:after="0" w:line="283"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assets were $2.2 billion at June 30, 2023, representing an increase of $209.8 million or 10.4% from June 30, 2022 and an increase of $140.1 million or 13.5% annualized from December 31, 2022.</w:t>
      </w:r>
    </w:p>
    <w:p>
      <w:pPr>
        <w:spacing w:after="0" w:line="111" w:lineRule="exact"/>
        <w:rPr>
          <w:rFonts w:ascii="Arial" w:cs="Arial" w:eastAsia="Arial" w:hAnsi="Arial"/>
          <w:sz w:val="14"/>
          <w:szCs w:val="14"/>
          <w:color w:val="auto"/>
        </w:rPr>
      </w:pPr>
    </w:p>
    <w:p>
      <w:pPr>
        <w:ind w:left="1180" w:right="699" w:hanging="261"/>
        <w:spacing w:after="0" w:line="267"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loans were $1.6 billion at June 30, 2023, representing an increase of $223.2 million or 16.3% from June 30, 2022 and an increase of $88.6 million or 11.9% annualized from December 31, 2022.</w:t>
      </w:r>
    </w:p>
    <w:p>
      <w:pPr>
        <w:spacing w:after="0" w:line="132" w:lineRule="exact"/>
        <w:rPr>
          <w:rFonts w:ascii="Arial" w:cs="Arial" w:eastAsia="Arial" w:hAnsi="Arial"/>
          <w:sz w:val="14"/>
          <w:szCs w:val="14"/>
          <w:color w:val="auto"/>
        </w:rPr>
      </w:pPr>
    </w:p>
    <w:p>
      <w:pPr>
        <w:ind w:left="1180" w:right="699" w:hanging="261"/>
        <w:spacing w:after="0" w:line="283"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Total deposits were $1.9 billion at June 30, 2023, representing an increase of $182.6 million or 10.5% from June 30, 2022 and an increase of $92.0 million or 10.1% annualized from December 31, 2022.</w:t>
      </w:r>
    </w:p>
    <w:p>
      <w:pPr>
        <w:spacing w:after="0" w:line="111" w:lineRule="exact"/>
        <w:rPr>
          <w:rFonts w:ascii="Arial" w:cs="Arial" w:eastAsia="Arial" w:hAnsi="Arial"/>
          <w:sz w:val="14"/>
          <w:szCs w:val="14"/>
          <w:color w:val="auto"/>
        </w:rPr>
      </w:pPr>
    </w:p>
    <w:p>
      <w:pPr>
        <w:jc w:val="both"/>
        <w:ind w:left="1180" w:right="659" w:hanging="261"/>
        <w:spacing w:after="0" w:line="260"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assets for the quarter ended June 30, 2023 was 0.77% compared to 1.08% for the quarter ended June 30, 2022. Annualized return on average assets was 0.94% for the six months ended June 30, 2023 compared to 1.05% for the same period in 2022.</w:t>
      </w:r>
    </w:p>
    <w:p>
      <w:pPr>
        <w:spacing w:after="0" w:line="138" w:lineRule="exact"/>
        <w:rPr>
          <w:rFonts w:ascii="Arial" w:cs="Arial" w:eastAsia="Arial" w:hAnsi="Arial"/>
          <w:sz w:val="14"/>
          <w:szCs w:val="14"/>
          <w:color w:val="auto"/>
        </w:rPr>
      </w:pPr>
    </w:p>
    <w:p>
      <w:pPr>
        <w:jc w:val="both"/>
        <w:ind w:left="1180" w:right="679" w:hanging="261"/>
        <w:spacing w:after="0" w:line="252"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 return on average stockholders’ equity for the quarter ended June 30, 2023 was 9.13% compared to 11.38% for quarter ended June 30, 2022. Annualized return on average equity was 10.98% for the six months ended June 30, 2023 compared to 10.54% for the same period in 2022.</w:t>
      </w:r>
    </w:p>
    <w:p>
      <w:pPr>
        <w:spacing w:after="0" w:line="143" w:lineRule="exact"/>
        <w:rPr>
          <w:rFonts w:ascii="Arial" w:cs="Arial" w:eastAsia="Arial" w:hAnsi="Arial"/>
          <w:sz w:val="14"/>
          <w:szCs w:val="14"/>
          <w:color w:val="auto"/>
        </w:rPr>
      </w:pPr>
    </w:p>
    <w:p>
      <w:pPr>
        <w:jc w:val="both"/>
        <w:ind w:left="1180" w:right="679" w:hanging="261"/>
        <w:spacing w:after="0" w:line="260" w:lineRule="auto"/>
        <w:tabs>
          <w:tab w:leader="none" w:pos="117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ACL to total loans was 1.18% at June 30, 2023 and 1.16% at December 31, 2022. ACL was calculated under the CECL methodology for three and six months ended June 30, 2023 and the incurred loss methodology for all periods in 2022.</w:t>
      </w:r>
    </w:p>
    <w:p>
      <w:pPr>
        <w:spacing w:after="0" w:line="127"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Non-performing loans to total loans was 0.03% at June 30, 2023 compared to 0.0% at December 31, 2022.</w:t>
      </w:r>
    </w:p>
    <w:p>
      <w:pPr>
        <w:spacing w:after="0" w:line="200" w:lineRule="exact"/>
        <w:rPr>
          <w:sz w:val="20"/>
          <w:szCs w:val="20"/>
          <w:color w:val="auto"/>
        </w:rPr>
      </w:pPr>
    </w:p>
    <w:p>
      <w:pPr>
        <w:spacing w:after="0" w:line="39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1180" w:right="699" w:hanging="261"/>
        <w:spacing w:after="0" w:line="267"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At June 30, 2023, the total risk-based capital ratios for the Company and the Bank were 13.42% and 13.37%, respectively.</w:t>
      </w:r>
    </w:p>
    <w:p>
      <w:pPr>
        <w:spacing w:after="0" w:line="132" w:lineRule="exact"/>
        <w:rPr>
          <w:rFonts w:ascii="Arial" w:cs="Arial" w:eastAsia="Arial" w:hAnsi="Arial"/>
          <w:sz w:val="14"/>
          <w:szCs w:val="14"/>
          <w:color w:val="auto"/>
        </w:rPr>
      </w:pPr>
    </w:p>
    <w:p>
      <w:pPr>
        <w:ind w:left="1180" w:right="659" w:hanging="261"/>
        <w:spacing w:after="0" w:line="249" w:lineRule="auto"/>
        <w:tabs>
          <w:tab w:leader="none" w:pos="1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Tangible book value per common share (non-GAAP financial measurement) of $9.40 as of June 30, 2023 was negatively affected by $2.41 due to after tax unrealized security losses on securities of $47.1 million at June 30, 2023. At June 30, 2022, tangible book value of $9.00 per common share was negatively affected by $1.84 due to $36.9 million after tax unrealized security losses. See “Reconciliation and Management Explanation for Non-GAAP Financial Measures” for a reconciliation of this non-GAAP financial measure.</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78" w:lineRule="exact"/>
        <w:rPr>
          <w:sz w:val="20"/>
          <w:szCs w:val="20"/>
          <w:color w:val="auto"/>
        </w:rPr>
      </w:pPr>
    </w:p>
    <w:p>
      <w:pPr>
        <w:jc w:val="both"/>
        <w:ind w:left="660" w:right="679" w:firstLine="256"/>
        <w:spacing w:after="0" w:line="269" w:lineRule="auto"/>
        <w:rPr>
          <w:sz w:val="20"/>
          <w:szCs w:val="20"/>
          <w:color w:val="auto"/>
        </w:rPr>
      </w:pPr>
      <w:r>
        <w:rPr>
          <w:rFonts w:ascii="Arial" w:cs="Arial" w:eastAsia="Arial" w:hAnsi="Arial"/>
          <w:sz w:val="13"/>
          <w:szCs w:val="13"/>
          <w:color w:val="auto"/>
        </w:rPr>
        <w:t>The consolidated financial statements are prepared based on the application of U.S. GAAP, the most significant of which are described in Note 1 “Summary of Significant Accounting Policies” in the Company’s 2022 Form 10-K/A. To prepare financial statements in conformity with US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and Risk Committee of our Board.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6"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On January 1, 2023, the Company adopted ASU 2016-13 Financial Instruments - Credit Losses (Topic 326): Measurement of Credit Losses on Financial Instruments, as amended, which replaces the incurred loss methodology with an expected loss methodology that is referred to as the current expected credit loss (CECL) methodology. See Note 1 “Summary of Significant Accounting Policies” Item 1 of Part I of this Form 10-Q for more information on the adoption ASC 326 and the allowance of credit losses.</w:t>
      </w:r>
    </w:p>
    <w:p>
      <w:pPr>
        <w:spacing w:after="0" w:line="146" w:lineRule="exact"/>
        <w:rPr>
          <w:sz w:val="20"/>
          <w:szCs w:val="20"/>
          <w:color w:val="auto"/>
        </w:rPr>
      </w:pPr>
    </w:p>
    <w:p>
      <w:pPr>
        <w:jc w:val="both"/>
        <w:ind w:left="660" w:right="699" w:firstLine="256"/>
        <w:spacing w:after="0" w:line="247"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June 30, 2023, for every 100 basis points increase in the HPI index, the forecast reduces reserves by approximately $240 thousand and about 2 basis points to the reserve coverage ratio, everything else being constant. This sensitivity analysis provides a hypothetical result to assess the sensitivity of the ACL and does not represent a change in management’s judgement.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Income Taxes</w:t>
      </w:r>
    </w:p>
    <w:p>
      <w:pPr>
        <w:spacing w:after="0" w:line="17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3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assets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4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This Form 10-Q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w:t>
      </w:r>
    </w:p>
    <w:p>
      <w:pPr>
        <w:spacing w:after="0" w:line="23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spacing w:after="0" w:line="247" w:lineRule="auto"/>
        <w:rPr>
          <w:sz w:val="20"/>
          <w:szCs w:val="20"/>
          <w:color w:val="auto"/>
        </w:rPr>
      </w:pPr>
      <w:r>
        <w:rPr>
          <w:rFonts w:ascii="Arial" w:cs="Arial" w:eastAsia="Arial" w:hAnsi="Arial"/>
          <w:sz w:val="14"/>
          <w:szCs w:val="14"/>
          <w:color w:val="auto"/>
        </w:rPr>
        <w:t>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76"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indicated (in thousands, except ratios):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196"/>
              <w:spacing w:after="0"/>
              <w:rPr>
                <w:sz w:val="20"/>
                <w:szCs w:val="20"/>
                <w:color w:val="auto"/>
              </w:rPr>
            </w:pPr>
            <w:r>
              <w:rPr>
                <w:rFonts w:ascii="Arial" w:cs="Arial" w:eastAsia="Arial" w:hAnsi="Arial"/>
                <w:sz w:val="13"/>
                <w:szCs w:val="13"/>
                <w:b w:val="1"/>
                <w:bCs w:val="1"/>
                <w:color w:val="auto"/>
              </w:rPr>
              <w:t>June 30, 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41"/>
        </w:trPr>
        <w:tc>
          <w:tcPr>
            <w:tcW w:w="49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Balance Sheets:</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2,225,914</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2,085,834</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1,595,959</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shd w:val="clear" w:color="auto" w:fill="CCEEFF"/>
          </w:tcPr>
          <w:p>
            <w:pPr>
              <w:spacing w:after="0"/>
              <w:rPr>
                <w:sz w:val="14"/>
                <w:szCs w:val="14"/>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1,921,301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1,829,281</w:t>
            </w:r>
          </w:p>
        </w:tc>
        <w:tc>
          <w:tcPr>
            <w:tcW w:w="2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183,685</w:t>
            </w:r>
          </w:p>
        </w:tc>
        <w:tc>
          <w:tcPr>
            <w:tcW w:w="6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4"/>
                <w:szCs w:val="14"/>
                <w:color w:val="auto"/>
              </w:rPr>
            </w:pPr>
          </w:p>
        </w:tc>
      </w:tr>
    </w:tbl>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156"/>
        </w:trPr>
        <w:tc>
          <w:tcPr>
            <w:tcW w:w="316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6"/>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24"/>
                <w:szCs w:val="24"/>
                <w:color w:val="auto"/>
              </w:rPr>
            </w:pPr>
          </w:p>
        </w:tc>
      </w:tr>
      <w:tr>
        <w:trPr>
          <w:trHeight w:val="151"/>
        </w:trPr>
        <w:tc>
          <w:tcPr>
            <w:tcW w:w="3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3"/>
                <w:szCs w:val="13"/>
                <w:color w:val="auto"/>
              </w:rPr>
            </w:pPr>
          </w:p>
        </w:tc>
      </w:tr>
      <w:tr>
        <w:trPr>
          <w:trHeight w:val="151"/>
        </w:trPr>
        <w:tc>
          <w:tcPr>
            <w:tcW w:w="31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16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14,173</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15,642</w:t>
            </w:r>
          </w:p>
        </w:tc>
        <w:tc>
          <w:tcPr>
            <w:tcW w:w="24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30,170</w:t>
            </w:r>
          </w:p>
        </w:tc>
        <w:tc>
          <w:tcPr>
            <w:tcW w:w="300" w:type="dxa"/>
            <w:vAlign w:val="bottom"/>
            <w:gridSpan w:val="2"/>
          </w:tcPr>
          <w:p>
            <w:pPr>
              <w:jc w:val="right"/>
              <w:ind w:right="13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30,021</w:t>
            </w:r>
          </w:p>
        </w:tc>
        <w:tc>
          <w:tcPr>
            <w:tcW w:w="20" w:type="dxa"/>
            <w:vAlign w:val="bottom"/>
          </w:tcPr>
          <w:p>
            <w:pPr>
              <w:spacing w:after="0"/>
              <w:rPr>
                <w:sz w:val="14"/>
                <w:szCs w:val="14"/>
                <w:color w:val="auto"/>
              </w:rPr>
            </w:pP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3,562</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10,452</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9,551</w:t>
            </w:r>
          </w:p>
        </w:tc>
        <w:tc>
          <w:tcPr>
            <w:tcW w:w="240" w:type="dxa"/>
            <w:vAlign w:val="bottom"/>
            <w:gridSpan w:val="2"/>
          </w:tcPr>
          <w:p>
            <w:pPr>
              <w:jc w:val="right"/>
              <w:ind w:right="56"/>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20,628</w:t>
            </w:r>
          </w:p>
        </w:tc>
        <w:tc>
          <w:tcPr>
            <w:tcW w:w="300" w:type="dxa"/>
            <w:vAlign w:val="bottom"/>
            <w:gridSpan w:val="2"/>
          </w:tcPr>
          <w:p>
            <w:pPr>
              <w:jc w:val="right"/>
              <w:ind w:right="13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19,163</w:t>
            </w:r>
          </w:p>
        </w:tc>
        <w:tc>
          <w:tcPr>
            <w:tcW w:w="20" w:type="dxa"/>
            <w:vAlign w:val="bottom"/>
          </w:tcPr>
          <w:p>
            <w:pPr>
              <w:spacing w:after="0"/>
              <w:rPr>
                <w:sz w:val="14"/>
                <w:szCs w:val="14"/>
                <w:color w:val="auto"/>
              </w:rPr>
            </w:pP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5,295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10,149</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65.25%</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55.34%</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57.06%</w:t>
            </w:r>
          </w:p>
        </w:tc>
        <w:tc>
          <w:tcPr>
            <w:tcW w:w="20" w:type="dxa"/>
            <w:vAlign w:val="bottom"/>
            <w:shd w:val="clear" w:color="auto" w:fill="CCEEFF"/>
          </w:tcPr>
          <w:p>
            <w:pPr>
              <w:spacing w:after="0"/>
              <w:rPr>
                <w:sz w:val="14"/>
                <w:szCs w:val="14"/>
                <w:color w:val="auto"/>
              </w:rPr>
            </w:pPr>
          </w:p>
        </w:tc>
      </w:tr>
      <w:tr>
        <w:trPr>
          <w:trHeight w:val="177"/>
        </w:trPr>
        <w:tc>
          <w:tcPr>
            <w:tcW w:w="3160" w:type="dxa"/>
            <w:vAlign w:val="bottom"/>
          </w:tcPr>
          <w:p>
            <w:pPr>
              <w:ind w:left="100"/>
              <w:spacing w:after="0"/>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2.73%</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3.37%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2.97%</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3.30%</w:t>
            </w:r>
          </w:p>
        </w:tc>
        <w:tc>
          <w:tcPr>
            <w:tcW w:w="20" w:type="dxa"/>
            <w:vAlign w:val="bottom"/>
          </w:tcPr>
          <w:p>
            <w:pPr>
              <w:spacing w:after="0"/>
              <w:rPr>
                <w:sz w:val="15"/>
                <w:szCs w:val="15"/>
                <w:color w:val="auto"/>
              </w:rPr>
            </w:pPr>
          </w:p>
        </w:tc>
      </w:tr>
    </w:tbl>
    <w:p>
      <w:pPr>
        <w:spacing w:after="0" w:line="144"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Company’s results of operations depend substantially on net interest income and non-interest income. Other factors contributing to the results of operations include our provision for credit losses, non-interest expenses, and the provision for income taxes.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2023 compared to the three months ended June 30, 2022</w:t>
      </w:r>
    </w:p>
    <w:p>
      <w:pPr>
        <w:spacing w:after="0" w:line="174"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Net income decreased to $4.2 million for the three months ended June 30, 2023 from $5.3 million for the same period in 2022 mainly due to higher weighted average deposit costs.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2023 compared to six months ended June 30, 2022</w:t>
      </w:r>
    </w:p>
    <w:p>
      <w:pPr>
        <w:spacing w:after="0" w:line="174"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Net income slightly decreased to $10.0 million for the six months ended June 30, 2023 from $10.1 million for the same period in 2022. The main drivers of the slight decrease of net income were a $14.6 million increase in interest income generated from higher loan yields and a bigger loan portfolio, offset by a $14.5 million increase in interest expense mainly due to increases in deposit cost, combined with a $1.5 million increase in non-interest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5"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incurred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144"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non-interest-bearing sources of funds, such as non-interest-bearing deposits and stockholders’ equity, also fund interest-earning assets, net interest margin includes the indirect benefit of these non-interest-bearing funding sources.</w:t>
      </w:r>
    </w:p>
    <w:p>
      <w:pPr>
        <w:spacing w:after="0" w:line="14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Changes in the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67" w:lineRule="auto"/>
        <w:rPr>
          <w:sz w:val="20"/>
          <w:szCs w:val="20"/>
          <w:color w:val="auto"/>
        </w:rPr>
      </w:pPr>
      <w:r>
        <w:rPr>
          <w:rFonts w:ascii="Arial" w:cs="Arial" w:eastAsia="Arial" w:hAnsi="Arial"/>
          <w:sz w:val="14"/>
          <w:szCs w:val="14"/>
          <w:color w:val="auto"/>
        </w:rPr>
        <w:t>The following table contains information related to average balances, average yields earned on assets, and average costs of liabilities for the periods indicated (dollars in thousands):</w:t>
      </w:r>
    </w:p>
    <w:p>
      <w:pPr>
        <w:spacing w:after="0" w:line="345"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1"/>
                <w:szCs w:val="11"/>
                <w:b w:val="1"/>
                <w:bCs w:val="1"/>
                <w:color w:val="auto"/>
              </w:rPr>
              <w:t>Three Months Ended June 30,</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2023</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83"/>
              <w:spacing w:after="0" w:line="108" w:lineRule="exact"/>
              <w:rPr>
                <w:sz w:val="20"/>
                <w:szCs w:val="20"/>
                <w:color w:val="auto"/>
              </w:rPr>
            </w:pPr>
            <w:r>
              <w:rPr>
                <w:rFonts w:ascii="Arial" w:cs="Arial" w:eastAsia="Arial" w:hAnsi="Arial"/>
                <w:sz w:val="10"/>
                <w:szCs w:val="10"/>
                <w:b w:val="1"/>
                <w:bCs w:val="1"/>
                <w:color w:val="auto"/>
              </w:rPr>
              <w:t xml:space="preserve">Average </w:t>
            </w:r>
            <w:r>
              <w:rPr>
                <w:rFonts w:ascii="Arial" w:cs="Arial" w:eastAsia="Arial" w:hAnsi="Arial"/>
                <w:sz w:val="12"/>
                <w:szCs w:val="12"/>
                <w:b w:val="1"/>
                <w:bCs w:val="1"/>
                <w:color w:val="auto"/>
                <w:vertAlign w:val="superscript"/>
              </w:rPr>
              <w:t>(1)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83"/>
              <w:spacing w:after="0" w:line="108" w:lineRule="exact"/>
              <w:rPr>
                <w:sz w:val="20"/>
                <w:szCs w:val="20"/>
                <w:color w:val="auto"/>
              </w:rPr>
            </w:pPr>
            <w:r>
              <w:rPr>
                <w:rFonts w:ascii="Arial" w:cs="Arial" w:eastAsia="Arial" w:hAnsi="Arial"/>
                <w:sz w:val="10"/>
                <w:szCs w:val="10"/>
                <w:b w:val="1"/>
                <w:bCs w:val="1"/>
                <w:color w:val="auto"/>
              </w:rPr>
              <w:t xml:space="preserve">Average </w:t>
            </w:r>
            <w:r>
              <w:rPr>
                <w:rFonts w:ascii="Arial" w:cs="Arial" w:eastAsia="Arial" w:hAnsi="Arial"/>
                <w:sz w:val="12"/>
                <w:szCs w:val="12"/>
                <w:b w:val="1"/>
                <w:bCs w:val="1"/>
                <w:color w:val="auto"/>
                <w:vertAlign w:val="superscript"/>
              </w:rPr>
              <w:t>(1)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9"/>
        </w:trPr>
        <w:tc>
          <w:tcPr>
            <w:tcW w:w="26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ind w:left="20"/>
              <w:spacing w:after="0" w:line="139" w:lineRule="exact"/>
              <w:rPr>
                <w:sz w:val="20"/>
                <w:szCs w:val="20"/>
                <w:color w:val="auto"/>
              </w:rPr>
            </w:pPr>
            <w:r>
              <w:rPr>
                <w:rFonts w:ascii="Arial" w:cs="Arial" w:eastAsia="Arial" w:hAnsi="Arial"/>
                <w:sz w:val="11"/>
                <w:szCs w:val="11"/>
                <w:b w:val="1"/>
                <w:bCs w:val="1"/>
                <w:color w:val="auto"/>
                <w:w w:val="97"/>
              </w:rPr>
              <w:t xml:space="preserve">Yield/Rate </w:t>
            </w:r>
            <w:r>
              <w:rPr>
                <w:rFonts w:ascii="Arial" w:cs="Arial" w:eastAsia="Arial" w:hAnsi="Arial"/>
                <w:sz w:val="14"/>
                <w:szCs w:val="14"/>
                <w:color w:val="auto"/>
                <w:w w:val="97"/>
                <w:vertAlign w:val="superscript"/>
              </w:rPr>
              <w:t>(2)</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r>
      <w:tr>
        <w:trPr>
          <w:trHeight w:val="151"/>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1,569,266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20,847</w:t>
            </w:r>
          </w:p>
        </w:tc>
        <w:tc>
          <w:tcPr>
            <w:tcW w:w="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5.33%</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1,296,476</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422,544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2,382</w:t>
            </w:r>
          </w:p>
        </w:tc>
        <w:tc>
          <w:tcPr>
            <w:tcW w:w="780" w:type="dxa"/>
            <w:vAlign w:val="bottom"/>
            <w:gridSpan w:val="4"/>
          </w:tcPr>
          <w:p>
            <w:pPr>
              <w:ind w:left="420"/>
              <w:spacing w:after="0"/>
              <w:rPr>
                <w:sz w:val="20"/>
                <w:szCs w:val="20"/>
                <w:color w:val="auto"/>
              </w:rPr>
            </w:pPr>
            <w:r>
              <w:rPr>
                <w:rFonts w:ascii="Arial" w:cs="Arial" w:eastAsia="Arial" w:hAnsi="Arial"/>
                <w:sz w:val="11"/>
                <w:szCs w:val="11"/>
                <w:color w:val="auto"/>
              </w:rPr>
              <w:t>2.26%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493,352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2,510</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2.04%</w:t>
            </w: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87,536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1,051</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4.82%</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69,503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0.70%</w:t>
            </w: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2,079,346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24,280</w:t>
            </w:r>
          </w:p>
        </w:tc>
        <w:tc>
          <w:tcPr>
            <w:tcW w:w="780" w:type="dxa"/>
            <w:vAlign w:val="bottom"/>
            <w:gridSpan w:val="4"/>
          </w:tcPr>
          <w:p>
            <w:pPr>
              <w:ind w:left="420"/>
              <w:spacing w:after="0"/>
              <w:rPr>
                <w:sz w:val="20"/>
                <w:szCs w:val="20"/>
                <w:color w:val="auto"/>
              </w:rPr>
            </w:pPr>
            <w:r>
              <w:rPr>
                <w:rFonts w:ascii="Arial" w:cs="Arial" w:eastAsia="Arial" w:hAnsi="Arial"/>
                <w:sz w:val="11"/>
                <w:szCs w:val="11"/>
                <w:color w:val="auto"/>
              </w:rPr>
              <w:t>4.68%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1,859,331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16,684</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3.60%</w:t>
            </w:r>
          </w:p>
        </w:tc>
        <w:tc>
          <w:tcPr>
            <w:tcW w:w="20" w:type="dxa"/>
            <w:vAlign w:val="bottom"/>
          </w:tcPr>
          <w:p>
            <w:pPr>
              <w:spacing w:after="0"/>
              <w:rPr>
                <w:sz w:val="13"/>
                <w:szCs w:val="13"/>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104,196</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109,050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91"/>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1"/>
        </w:trPr>
        <w:tc>
          <w:tcPr>
            <w:tcW w:w="262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53,561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1.50%</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20" w:type="dxa"/>
            <w:vAlign w:val="bottom"/>
            <w:shd w:val="clear" w:color="auto" w:fill="CCEEFF"/>
          </w:tcPr>
          <w:p>
            <w:pPr>
              <w:spacing w:after="0"/>
              <w:rPr>
                <w:sz w:val="13"/>
                <w:szCs w:val="13"/>
                <w:color w:val="auto"/>
              </w:rPr>
            </w:pPr>
          </w:p>
        </w:tc>
      </w:tr>
      <w:tr>
        <w:trPr>
          <w:trHeight w:val="171"/>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940,095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6,968</w:t>
            </w:r>
          </w:p>
        </w:tc>
        <w:tc>
          <w:tcPr>
            <w:tcW w:w="780" w:type="dxa"/>
            <w:vAlign w:val="bottom"/>
            <w:gridSpan w:val="4"/>
          </w:tcPr>
          <w:p>
            <w:pPr>
              <w:ind w:left="420"/>
              <w:spacing w:after="0"/>
              <w:rPr>
                <w:sz w:val="20"/>
                <w:szCs w:val="20"/>
                <w:color w:val="auto"/>
              </w:rPr>
            </w:pPr>
            <w:r>
              <w:rPr>
                <w:rFonts w:ascii="Arial" w:cs="Arial" w:eastAsia="Arial" w:hAnsi="Arial"/>
                <w:sz w:val="11"/>
                <w:szCs w:val="11"/>
                <w:color w:val="auto"/>
              </w:rPr>
              <w:t>2.97%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781,076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615</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0.32%</w:t>
            </w:r>
          </w:p>
        </w:tc>
        <w:tc>
          <w:tcPr>
            <w:tcW w:w="20" w:type="dxa"/>
            <w:vAlign w:val="bottom"/>
          </w:tcPr>
          <w:p>
            <w:pPr>
              <w:spacing w:after="0"/>
              <w:rPr>
                <w:sz w:val="14"/>
                <w:szCs w:val="14"/>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277,001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2,145</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3.11%</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224,284</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1,270,657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9,313</w:t>
            </w:r>
          </w:p>
        </w:tc>
        <w:tc>
          <w:tcPr>
            <w:tcW w:w="780" w:type="dxa"/>
            <w:vAlign w:val="bottom"/>
            <w:gridSpan w:val="4"/>
          </w:tcPr>
          <w:p>
            <w:pPr>
              <w:ind w:left="420"/>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1,071,709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903</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0.34%</w:t>
            </w: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FHLB advances and other borrowings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93,075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3.42%</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1,363,732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10,107</w:t>
            </w:r>
          </w:p>
        </w:tc>
        <w:tc>
          <w:tcPr>
            <w:tcW w:w="780" w:type="dxa"/>
            <w:vAlign w:val="bottom"/>
            <w:gridSpan w:val="4"/>
          </w:tcPr>
          <w:p>
            <w:pPr>
              <w:ind w:left="420"/>
              <w:spacing w:after="0"/>
              <w:rPr>
                <w:sz w:val="20"/>
                <w:szCs w:val="20"/>
                <w:color w:val="auto"/>
              </w:rPr>
            </w:pPr>
            <w:r>
              <w:rPr>
                <w:rFonts w:ascii="Arial" w:cs="Arial" w:eastAsia="Arial" w:hAnsi="Arial"/>
                <w:sz w:val="11"/>
                <w:szCs w:val="11"/>
                <w:color w:val="auto"/>
              </w:rPr>
              <w:t>2.97%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1,108,039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1,042</w:t>
            </w: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0.38%</w:t>
            </w: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601,778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644,975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28,770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1,999,304</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1,781,784</w:t>
            </w:r>
          </w:p>
        </w:tc>
        <w:tc>
          <w:tcPr>
            <w:tcW w:w="20" w:type="dxa"/>
            <w:vAlign w:val="bottom"/>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80"/>
        </w:trPr>
        <w:tc>
          <w:tcPr>
            <w:tcW w:w="2620" w:type="dxa"/>
            <w:vAlign w:val="bottom"/>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184,238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186,597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2,183,542</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gridSpan w:val="3"/>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14,173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gridSpan w:val="4"/>
          </w:tcPr>
          <w:p>
            <w:pPr>
              <w:jc w:val="right"/>
              <w:ind w:right="7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15,642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3"/>
        </w:trPr>
        <w:tc>
          <w:tcPr>
            <w:tcW w:w="262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gridSpan w:val="2"/>
            <w:shd w:val="clear" w:color="auto" w:fill="CCEEFF"/>
          </w:tcPr>
          <w:p>
            <w:pPr>
              <w:spacing w:after="0"/>
              <w:rPr>
                <w:sz w:val="10"/>
                <w:szCs w:val="10"/>
                <w:color w:val="auto"/>
              </w:rPr>
            </w:pPr>
          </w:p>
        </w:tc>
        <w:tc>
          <w:tcPr>
            <w:tcW w:w="720" w:type="dxa"/>
            <w:vAlign w:val="bottom"/>
            <w:tcBorders>
              <w:top w:val="single" w:sz="8" w:color="CCEEFF"/>
            </w:tcBorders>
            <w:gridSpan w:val="2"/>
            <w:shd w:val="clear" w:color="auto" w:fill="CCEEFF"/>
          </w:tcPr>
          <w:p>
            <w:pPr>
              <w:ind w:left="360"/>
              <w:spacing w:after="0" w:line="123" w:lineRule="exact"/>
              <w:rPr>
                <w:sz w:val="20"/>
                <w:szCs w:val="20"/>
                <w:color w:val="auto"/>
              </w:rPr>
            </w:pPr>
            <w:r>
              <w:rPr>
                <w:rFonts w:ascii="Arial" w:cs="Arial" w:eastAsia="Arial" w:hAnsi="Arial"/>
                <w:sz w:val="11"/>
                <w:szCs w:val="11"/>
                <w:color w:val="auto"/>
              </w:rPr>
              <w:t>1.71%</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gridSpan w:val="2"/>
            <w:shd w:val="clear" w:color="auto" w:fill="CCEEFF"/>
          </w:tcPr>
          <w:p>
            <w:pPr>
              <w:jc w:val="right"/>
              <w:spacing w:after="0" w:line="123" w:lineRule="exact"/>
              <w:rPr>
                <w:sz w:val="20"/>
                <w:szCs w:val="20"/>
                <w:color w:val="auto"/>
              </w:rPr>
            </w:pPr>
            <w:r>
              <w:rPr>
                <w:rFonts w:ascii="Arial" w:cs="Arial" w:eastAsia="Arial" w:hAnsi="Arial"/>
                <w:sz w:val="11"/>
                <w:szCs w:val="11"/>
                <w:color w:val="auto"/>
              </w:rPr>
              <w:t>3.22%</w:t>
            </w:r>
          </w:p>
        </w:tc>
        <w:tc>
          <w:tcPr>
            <w:tcW w:w="20" w:type="dxa"/>
            <w:vAlign w:val="bottom"/>
            <w:tcBorders>
              <w:top w:val="single" w:sz="8" w:color="CCEEFF"/>
            </w:tcBorders>
            <w:shd w:val="clear" w:color="auto" w:fill="CCEEFF"/>
          </w:tcPr>
          <w:p>
            <w:pPr>
              <w:spacing w:after="0"/>
              <w:rPr>
                <w:sz w:val="10"/>
                <w:szCs w:val="10"/>
                <w:color w:val="auto"/>
              </w:rPr>
            </w:pPr>
          </w:p>
        </w:tc>
      </w:tr>
      <w:tr>
        <w:trPr>
          <w:trHeight w:val="203"/>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gridSpan w:val="4"/>
          </w:tcPr>
          <w:p>
            <w:pPr>
              <w:ind w:left="420"/>
              <w:spacing w:after="0"/>
              <w:rPr>
                <w:sz w:val="20"/>
                <w:szCs w:val="20"/>
                <w:color w:val="auto"/>
              </w:rPr>
            </w:pPr>
            <w:r>
              <w:rPr>
                <w:rFonts w:ascii="Arial" w:cs="Arial" w:eastAsia="Arial" w:hAnsi="Arial"/>
                <w:sz w:val="11"/>
                <w:szCs w:val="11"/>
                <w:color w:val="auto"/>
              </w:rPr>
              <w:t>2.73%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1"/>
                <w:szCs w:val="11"/>
                <w:color w:val="auto"/>
              </w:rPr>
              <w:t>3.37%</w:t>
            </w:r>
          </w:p>
        </w:tc>
        <w:tc>
          <w:tcPr>
            <w:tcW w:w="20" w:type="dxa"/>
            <w:vAlign w:val="bottom"/>
          </w:tcPr>
          <w:p>
            <w:pPr>
              <w:spacing w:after="0"/>
              <w:rPr>
                <w:sz w:val="17"/>
                <w:szCs w:val="17"/>
                <w:color w:val="auto"/>
              </w:rPr>
            </w:pPr>
          </w:p>
        </w:tc>
      </w:tr>
    </w:tbl>
    <w:p>
      <w:pPr>
        <w:spacing w:after="0" w:line="123" w:lineRule="exact"/>
        <w:rPr>
          <w:sz w:val="20"/>
          <w:szCs w:val="20"/>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 average rate on total interest-bearing liabilities.</w:t>
      </w:r>
    </w:p>
    <w:p>
      <w:pPr>
        <w:spacing w:after="0" w:line="54" w:lineRule="exact"/>
        <w:rPr>
          <w:rFonts w:ascii="Arial" w:cs="Arial" w:eastAsia="Arial" w:hAnsi="Arial"/>
          <w:sz w:val="11"/>
          <w:szCs w:val="11"/>
          <w:color w:val="auto"/>
        </w:rPr>
      </w:pPr>
    </w:p>
    <w:p>
      <w:pPr>
        <w:ind w:left="860" w:hanging="197"/>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75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7"/>
          </w:tcPr>
          <w:p>
            <w:pPr>
              <w:jc w:val="right"/>
              <w:ind w:right="83"/>
              <w:spacing w:after="0"/>
              <w:rPr>
                <w:sz w:val="20"/>
                <w:szCs w:val="20"/>
                <w:color w:val="auto"/>
              </w:rPr>
            </w:pPr>
            <w:r>
              <w:rPr>
                <w:rFonts w:ascii="Arial" w:cs="Arial" w:eastAsia="Arial" w:hAnsi="Arial"/>
                <w:sz w:val="11"/>
                <w:szCs w:val="11"/>
                <w:b w:val="1"/>
                <w:bCs w:val="1"/>
                <w:color w:val="auto"/>
              </w:rPr>
              <w:t>Six Months Ended June 30,</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5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50" w:type="dxa"/>
            <w:vAlign w:val="bottom"/>
          </w:tcPr>
          <w:p>
            <w:pPr>
              <w:jc w:val="right"/>
              <w:ind w:right="143"/>
              <w:spacing w:after="0"/>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43"/>
              <w:spacing w:after="0"/>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750" w:type="dxa"/>
            <w:vAlign w:val="bottom"/>
            <w:tcBorders>
              <w:bottom w:val="single" w:sz="8" w:color="auto"/>
            </w:tcBorders>
          </w:tcPr>
          <w:p>
            <w:pPr>
              <w:jc w:val="right"/>
              <w:ind w:right="103"/>
              <w:spacing w:after="0" w:line="139" w:lineRule="exact"/>
              <w:rPr>
                <w:sz w:val="20"/>
                <w:szCs w:val="20"/>
                <w:color w:val="auto"/>
              </w:rPr>
            </w:pPr>
            <w:r>
              <w:rPr>
                <w:rFonts w:ascii="Arial" w:cs="Arial" w:eastAsia="Arial" w:hAnsi="Arial"/>
                <w:sz w:val="11"/>
                <w:szCs w:val="11"/>
                <w:b w:val="1"/>
                <w:bCs w:val="1"/>
                <w:color w:val="auto"/>
                <w:w w:val="98"/>
              </w:rPr>
              <w:t xml:space="preserve">Balance </w:t>
            </w:r>
            <w:r>
              <w:rPr>
                <w:rFonts w:ascii="Arial" w:cs="Arial" w:eastAsia="Arial" w:hAnsi="Arial"/>
                <w:sz w:val="14"/>
                <w:szCs w:val="14"/>
                <w:b w:val="1"/>
                <w:bCs w:val="1"/>
                <w:color w:val="auto"/>
                <w:w w:val="98"/>
                <w:vertAlign w:val="superscript"/>
              </w:rPr>
              <w:t>(1)</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Interest</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3"/>
          </w:tcPr>
          <w:p>
            <w:pPr>
              <w:jc w:val="right"/>
              <w:ind w:right="23"/>
              <w:spacing w:after="0" w:line="139"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3"/>
              <w:spacing w:after="0" w:line="139" w:lineRule="exact"/>
              <w:rPr>
                <w:sz w:val="20"/>
                <w:szCs w:val="20"/>
                <w:color w:val="auto"/>
              </w:rPr>
            </w:pPr>
            <w:r>
              <w:rPr>
                <w:rFonts w:ascii="Arial" w:cs="Arial" w:eastAsia="Arial" w:hAnsi="Arial"/>
                <w:sz w:val="11"/>
                <w:szCs w:val="11"/>
                <w:b w:val="1"/>
                <w:bCs w:val="1"/>
                <w:color w:val="auto"/>
              </w:rPr>
              <w:t xml:space="preserve">Balance </w:t>
            </w:r>
            <w:r>
              <w:rPr>
                <w:rFonts w:ascii="Arial" w:cs="Arial" w:eastAsia="Arial" w:hAnsi="Arial"/>
                <w:sz w:val="14"/>
                <w:szCs w:val="14"/>
                <w:b w:val="1"/>
                <w:bCs w:val="1"/>
                <w:color w:val="auto"/>
                <w:vertAlign w:val="superscript"/>
              </w:rPr>
              <w:t>(1)</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Interest</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3"/>
          </w:tcPr>
          <w:p>
            <w:pPr>
              <w:ind w:left="80"/>
              <w:spacing w:after="0" w:line="139"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1,558,390</w:t>
            </w:r>
          </w:p>
        </w:tc>
        <w:tc>
          <w:tcPr>
            <w:tcW w:w="6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40,558</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5.25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1,254,189</w:t>
            </w:r>
          </w:p>
        </w:tc>
        <w:tc>
          <w:tcPr>
            <w:tcW w:w="60" w:type="dxa"/>
            <w:vAlign w:val="bottom"/>
            <w:gridSpan w:val="3"/>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27,035</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4.35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422,132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4,668</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2.23</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501,758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4,839</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65,433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1,433</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4.42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79,763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152</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0.38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2,045,955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46,659</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4.60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1,835,710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32,026</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3.52</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Non-interest earning assets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106,100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105,374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assets</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2,152,055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1,941,084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20" w:type="dxa"/>
            <w:vAlign w:val="bottom"/>
            <w:tcBorders>
              <w:top w:val="single" w:sz="8" w:color="CCEEFF"/>
            </w:tcBorders>
            <w:gridSpan w:val="2"/>
            <w:shd w:val="clear" w:color="auto" w:fill="CCEEFF"/>
          </w:tcPr>
          <w:p>
            <w:pPr>
              <w:ind w:left="40"/>
              <w:spacing w:after="0" w:line="111"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spacing w:after="0"/>
              <w:rPr>
                <w:sz w:val="10"/>
                <w:szCs w:val="10"/>
                <w:color w:val="auto"/>
              </w:rPr>
            </w:pPr>
          </w:p>
        </w:tc>
        <w:tc>
          <w:tcPr>
            <w:tcW w:w="75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Interest-bearing checking</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55,812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243</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0.88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65,398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0.10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918,697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11,753</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2.58</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758,729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1,166</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0.31</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251,009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3,202</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2.57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223,781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530</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0.48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1,225,518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15,198</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2.50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1,047,908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1,729</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0.33</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Borrowings and repurchase agreements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77,425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1,291</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3.36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36,171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276</w:t>
            </w:r>
          </w:p>
        </w:tc>
        <w:tc>
          <w:tcPr>
            <w:tcW w:w="40" w:type="dxa"/>
            <w:vAlign w:val="bottom"/>
            <w:gridSpan w:val="2"/>
            <w:shd w:val="clear" w:color="auto" w:fill="CCEEFF"/>
          </w:tcPr>
          <w:p>
            <w:pPr>
              <w:spacing w:after="0"/>
              <w:rPr>
                <w:sz w:val="14"/>
                <w:szCs w:val="14"/>
                <w:color w:val="auto"/>
              </w:rPr>
            </w:pPr>
          </w:p>
        </w:tc>
        <w:tc>
          <w:tcPr>
            <w:tcW w:w="620" w:type="dxa"/>
            <w:vAlign w:val="bottom"/>
            <w:shd w:val="clear" w:color="auto" w:fill="CCEEFF"/>
          </w:tcPr>
          <w:p>
            <w:pPr>
              <w:ind w:left="400"/>
              <w:spacing w:after="0"/>
              <w:rPr>
                <w:sz w:val="20"/>
                <w:szCs w:val="20"/>
                <w:color w:val="auto"/>
              </w:rPr>
            </w:pPr>
            <w:r>
              <w:rPr>
                <w:rFonts w:ascii="Arial" w:cs="Arial" w:eastAsia="Arial" w:hAnsi="Arial"/>
                <w:sz w:val="11"/>
                <w:szCs w:val="11"/>
                <w:color w:val="auto"/>
                <w:w w:val="93"/>
              </w:rPr>
              <w:t>1.54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1,302,943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16,489</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2.55</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1,084,079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2,005</w:t>
            </w: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0.37</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Non-interest bearing demand deposits</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632,901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635,740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5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32,404</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27,079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1,968,248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1,746,898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5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183,807</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194,186</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2,152,055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1,941,084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ind w:left="40"/>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5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50" w:type="dxa"/>
            <w:vAlign w:val="bottom"/>
          </w:tcPr>
          <w:p>
            <w:pPr>
              <w:spacing w:after="0"/>
              <w:rPr>
                <w:sz w:val="16"/>
                <w:szCs w:val="16"/>
                <w:color w:val="auto"/>
              </w:rPr>
            </w:pP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30,170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520" w:type="dxa"/>
            <w:vAlign w:val="bottom"/>
            <w:tcBorders>
              <w:top w:val="single" w:sz="8" w:color="CCEEFF"/>
            </w:tcBorders>
            <w:gridSpan w:val="2"/>
            <w:shd w:val="clear" w:color="auto" w:fill="CCEEFF"/>
          </w:tcPr>
          <w:p>
            <w:pPr>
              <w:ind w:left="40"/>
              <w:spacing w:after="0" w:line="91" w:lineRule="exact"/>
              <w:rPr>
                <w:sz w:val="20"/>
                <w:szCs w:val="20"/>
                <w:color w:val="auto"/>
              </w:rPr>
            </w:pPr>
            <w:r>
              <w:rPr>
                <w:rFonts w:ascii="Arial" w:cs="Arial" w:eastAsia="Arial" w:hAnsi="Arial"/>
                <w:sz w:val="8"/>
                <w:szCs w:val="8"/>
                <w:color w:val="auto"/>
              </w:rPr>
              <w:t xml:space="preserve">Net interest spread </w:t>
            </w:r>
            <w:r>
              <w:rPr>
                <w:rFonts w:ascii="Arial" w:cs="Arial" w:eastAsia="Arial" w:hAnsi="Arial"/>
                <w:sz w:val="10"/>
                <w:szCs w:val="10"/>
                <w:color w:val="auto"/>
                <w:vertAlign w:val="superscript"/>
              </w:rPr>
              <w:t>(5)</w:t>
            </w:r>
          </w:p>
        </w:tc>
        <w:tc>
          <w:tcPr>
            <w:tcW w:w="20" w:type="dxa"/>
            <w:vAlign w:val="bottom"/>
            <w:tcBorders>
              <w:top w:val="single" w:sz="8" w:color="CCEEFF"/>
            </w:tcBorders>
            <w:shd w:val="clear" w:color="auto" w:fill="CCEEFF"/>
          </w:tcPr>
          <w:p>
            <w:pPr>
              <w:spacing w:after="0"/>
              <w:rPr>
                <w:sz w:val="8"/>
                <w:szCs w:val="8"/>
                <w:color w:val="auto"/>
              </w:rPr>
            </w:pPr>
          </w:p>
        </w:tc>
        <w:tc>
          <w:tcPr>
            <w:tcW w:w="110" w:type="dxa"/>
            <w:vAlign w:val="bottom"/>
            <w:tcBorders>
              <w:top w:val="single" w:sz="8" w:color="CCEEFF"/>
            </w:tcBorders>
            <w:shd w:val="clear" w:color="auto" w:fill="CCEEFF"/>
          </w:tcPr>
          <w:p>
            <w:pPr>
              <w:spacing w:after="0"/>
              <w:rPr>
                <w:sz w:val="8"/>
                <w:szCs w:val="8"/>
                <w:color w:val="auto"/>
              </w:rPr>
            </w:pPr>
          </w:p>
        </w:tc>
        <w:tc>
          <w:tcPr>
            <w:tcW w:w="75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ind w:left="400"/>
              <w:spacing w:after="0" w:line="91" w:lineRule="exact"/>
              <w:rPr>
                <w:sz w:val="20"/>
                <w:szCs w:val="20"/>
                <w:color w:val="auto"/>
              </w:rPr>
            </w:pPr>
            <w:r>
              <w:rPr>
                <w:rFonts w:ascii="Arial" w:cs="Arial" w:eastAsia="Arial" w:hAnsi="Arial"/>
                <w:sz w:val="10"/>
                <w:szCs w:val="10"/>
                <w:color w:val="auto"/>
              </w:rPr>
              <w:t>2.05</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jc w:val="right"/>
              <w:spacing w:after="0" w:line="91" w:lineRule="exact"/>
              <w:rPr>
                <w:sz w:val="20"/>
                <w:szCs w:val="20"/>
                <w:color w:val="auto"/>
              </w:rPr>
            </w:pPr>
            <w:r>
              <w:rPr>
                <w:rFonts w:ascii="Arial" w:cs="Arial" w:eastAsia="Arial" w:hAnsi="Arial"/>
                <w:sz w:val="10"/>
                <w:szCs w:val="10"/>
                <w:color w:val="auto"/>
                <w:w w:val="89"/>
                <w:shd w:val="clear" w:color="auto" w:fill="CCEEFF"/>
              </w:rPr>
              <w:t>%</w:t>
            </w: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ind w:left="400"/>
              <w:spacing w:after="0" w:line="91" w:lineRule="exact"/>
              <w:rPr>
                <w:sz w:val="20"/>
                <w:szCs w:val="20"/>
                <w:color w:val="auto"/>
              </w:rPr>
            </w:pPr>
            <w:r>
              <w:rPr>
                <w:rFonts w:ascii="Arial" w:cs="Arial" w:eastAsia="Arial" w:hAnsi="Arial"/>
                <w:sz w:val="10"/>
                <w:szCs w:val="10"/>
                <w:color w:val="auto"/>
              </w:rPr>
              <w:t>3.15</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line="91" w:lineRule="exact"/>
              <w:rPr>
                <w:sz w:val="20"/>
                <w:szCs w:val="20"/>
                <w:color w:val="auto"/>
              </w:rPr>
            </w:pPr>
            <w:r>
              <w:rPr>
                <w:rFonts w:ascii="Arial" w:cs="Arial" w:eastAsia="Arial" w:hAnsi="Arial"/>
                <w:sz w:val="10"/>
                <w:szCs w:val="10"/>
                <w:color w:val="auto"/>
                <w:shd w:val="clear" w:color="auto" w:fill="CCEEFF"/>
              </w:rPr>
              <w:t>%</w:t>
            </w: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ind w:left="40"/>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2.97</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Arial" w:cs="Arial" w:eastAsia="Arial" w:hAnsi="Arial"/>
                <w:sz w:val="11"/>
                <w:szCs w:val="11"/>
                <w:color w:val="auto"/>
              </w:rPr>
              <w:t>3.30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incomeon loans includes accretion of deferred loan fees, net of deferred loan costs.</w:t>
      </w:r>
    </w:p>
    <w:p>
      <w:pPr>
        <w:spacing w:after="0" w:line="44" w:lineRule="exact"/>
        <w:rPr>
          <w:rFonts w:ascii="Arial" w:cs="Arial" w:eastAsia="Arial" w:hAnsi="Arial"/>
          <w:sz w:val="11"/>
          <w:szCs w:val="11"/>
          <w:color w:val="auto"/>
        </w:rPr>
      </w:pP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Includes FHLB stock.</w:t>
      </w:r>
    </w:p>
    <w:p>
      <w:pPr>
        <w:spacing w:after="0" w:line="44" w:lineRule="exact"/>
        <w:rPr>
          <w:rFonts w:ascii="Arial" w:cs="Arial" w:eastAsia="Arial" w:hAnsi="Arial"/>
          <w:sz w:val="11"/>
          <w:szCs w:val="11"/>
          <w:color w:val="auto"/>
        </w:rPr>
      </w:pPr>
    </w:p>
    <w:p>
      <w:pPr>
        <w:ind w:left="700" w:right="1139" w:hanging="5"/>
        <w:spacing w:after="0" w:line="260" w:lineRule="auto"/>
        <w:tabs>
          <w:tab w:leader="none" w:pos="904"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 average rate on total interest-bearing liabilities.</w:t>
      </w:r>
    </w:p>
    <w:p>
      <w:pPr>
        <w:ind w:left="900" w:hanging="205"/>
        <w:spacing w:after="0"/>
        <w:tabs>
          <w:tab w:leader="none" w:pos="9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2023 compared to the three months ended June 30, 2022</w:t>
      </w:r>
    </w:p>
    <w:p>
      <w:pPr>
        <w:spacing w:after="0" w:line="174"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Net interest income before the provision for credit losses was $14.2 million for the three months ended June 30, 2023, a decrease of $1.5 million or 9.4%, from $15.6 million for the same period in 2022. The decrease can be attributed to the impact of higher deposit costs, which was a result to the prevailing market interest rate conditions.</w:t>
      </w:r>
    </w:p>
    <w:p>
      <w:pPr>
        <w:spacing w:after="0" w:line="144" w:lineRule="exact"/>
        <w:rPr>
          <w:sz w:val="20"/>
          <w:szCs w:val="20"/>
          <w:color w:val="auto"/>
        </w:rPr>
      </w:pPr>
    </w:p>
    <w:p>
      <w:pPr>
        <w:jc w:val="both"/>
        <w:ind w:left="660" w:right="659" w:firstLine="256"/>
        <w:spacing w:after="0" w:line="267" w:lineRule="auto"/>
        <w:rPr>
          <w:sz w:val="20"/>
          <w:szCs w:val="20"/>
          <w:color w:val="auto"/>
        </w:rPr>
      </w:pPr>
      <w:r>
        <w:rPr>
          <w:rFonts w:ascii="Arial" w:cs="Arial" w:eastAsia="Arial" w:hAnsi="Arial"/>
          <w:sz w:val="14"/>
          <w:szCs w:val="14"/>
          <w:color w:val="auto"/>
        </w:rPr>
        <w:t>Net interest margin was at 2.73% for the quarter ended June 30, 2023 and 3.37% for the same period in 2022. The increase in loan yields as well as yields on other interest-earning assets was offset by higher deposit and borrowing costs.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2023 compared to six months ended June 30, 2022</w:t>
      </w:r>
    </w:p>
    <w:p>
      <w:pPr>
        <w:spacing w:after="0" w:line="163" w:lineRule="exact"/>
        <w:rPr>
          <w:sz w:val="20"/>
          <w:szCs w:val="20"/>
          <w:color w:val="auto"/>
        </w:rPr>
      </w:pPr>
    </w:p>
    <w:p>
      <w:pPr>
        <w:jc w:val="both"/>
        <w:ind w:left="660" w:right="679" w:firstLine="256"/>
        <w:spacing w:after="0" w:line="283" w:lineRule="auto"/>
        <w:rPr>
          <w:sz w:val="20"/>
          <w:szCs w:val="20"/>
          <w:color w:val="auto"/>
        </w:rPr>
      </w:pPr>
      <w:r>
        <w:rPr>
          <w:rFonts w:ascii="Arial" w:cs="Arial" w:eastAsia="Arial" w:hAnsi="Arial"/>
          <w:sz w:val="14"/>
          <w:szCs w:val="14"/>
          <w:color w:val="auto"/>
        </w:rPr>
        <w:t>Net interest income before the provision for credit losses was $30.2 million for the six months ended June 30, 2023, an increase of $149 thousand or 0.5%, from $30.0 million for the same period in 2022.</w:t>
      </w:r>
    </w:p>
    <w:p>
      <w:pPr>
        <w:spacing w:after="0" w:line="122" w:lineRule="exact"/>
        <w:rPr>
          <w:sz w:val="20"/>
          <w:szCs w:val="20"/>
          <w:color w:val="auto"/>
        </w:rPr>
      </w:pPr>
    </w:p>
    <w:p>
      <w:pPr>
        <w:ind w:left="660" w:right="719" w:firstLine="256"/>
        <w:spacing w:after="0" w:line="267" w:lineRule="auto"/>
        <w:rPr>
          <w:sz w:val="20"/>
          <w:szCs w:val="20"/>
          <w:color w:val="auto"/>
        </w:rPr>
      </w:pPr>
      <w:r>
        <w:rPr>
          <w:rFonts w:ascii="Arial" w:cs="Arial" w:eastAsia="Arial" w:hAnsi="Arial"/>
          <w:sz w:val="14"/>
          <w:szCs w:val="14"/>
          <w:color w:val="auto"/>
        </w:rPr>
        <w:t>Net interest margin decreased to 2.97% for the six months ended June 30, 2023 from 3.30% in the same period in 2022. Overall interest-bearing asset yields grew but were outpaced by the increase in cost of funds.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76"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provision for credit losses represents a charge to earnings necessary to maintain an allowance for credit losses that, in management's evaluation, is adequate to provide coverage for all expected credit losses. The provision for credit losses is impacted by variations in our loan and debt securities portfolio, recent historical and projected future economic</w:t>
      </w:r>
    </w:p>
    <w:p>
      <w:pPr>
        <w:spacing w:after="0" w:line="33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660" w:right="1039"/>
        <w:spacing w:after="0" w:line="485" w:lineRule="auto"/>
        <w:rPr>
          <w:sz w:val="20"/>
          <w:szCs w:val="20"/>
          <w:color w:val="auto"/>
        </w:rPr>
      </w:pPr>
      <w:r>
        <w:rPr>
          <w:rFonts w:ascii="Arial" w:cs="Arial" w:eastAsia="Arial" w:hAnsi="Arial"/>
          <w:sz w:val="14"/>
          <w:szCs w:val="14"/>
          <w:color w:val="auto"/>
        </w:rPr>
        <w:t xml:space="preserve">conditions, our internal assessment of the credit quality of the loan and debt securities portfolios and net charge-offs. </w:t>
      </w:r>
      <w:r>
        <w:rPr>
          <w:rFonts w:ascii="Arial" w:cs="Arial" w:eastAsia="Arial" w:hAnsi="Arial"/>
          <w:sz w:val="14"/>
          <w:szCs w:val="14"/>
          <w:i w:val="1"/>
          <w:iCs w:val="1"/>
          <w:color w:val="auto"/>
        </w:rPr>
        <w:t>Three months ended June 30, 2023 compared to the three months ended June 30, 2022</w:t>
      </w:r>
    </w:p>
    <w:p>
      <w:pPr>
        <w:jc w:val="both"/>
        <w:ind w:left="660" w:right="699" w:firstLine="256"/>
        <w:spacing w:after="0" w:line="253" w:lineRule="auto"/>
        <w:rPr>
          <w:sz w:val="20"/>
          <w:szCs w:val="20"/>
          <w:color w:val="auto"/>
        </w:rPr>
      </w:pPr>
      <w:r>
        <w:rPr>
          <w:rFonts w:ascii="Arial" w:cs="Arial" w:eastAsia="Arial" w:hAnsi="Arial"/>
          <w:sz w:val="14"/>
          <w:szCs w:val="14"/>
          <w:color w:val="auto"/>
        </w:rPr>
        <w:t>The provision for credit loss was $38 thousand for the three months ended June 30, 2023 compared to $705 thousand for the same period in 2022. Growth in unfunded commitments was the primary driver of the provision expense during the three months ended June 30, 2023 period. The decrease in provision for credit losses in the 2023 period compared to the June 30, 2022 quarter was due to greater loan growth in second quarter 2022.</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2023 compared to six months ended June 30, 2022</w:t>
      </w:r>
    </w:p>
    <w:p>
      <w:pPr>
        <w:spacing w:after="0" w:line="163"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The provision for credit loss was $239 thousand for the six months ended June 30, 2023 compared to $705 thousand for the same period in 2022. Decrease of $466 thousand due to higher loan growth in the six months ended June 30, 2022. The ACL as a percentage of total loans increased to 1.18% at June 30, 2023 compared to 1.15% at June 30, 2022.</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ACL for the three and six months ended June 30 2023, was estimated under the CECL methodology, and for all periods in 2022, it was estimated under the incurred loss model. See “Allowance for Credit Losses” below for further discussion on how the ACL is calculated.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7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our swap and SBA programs. In addition, we own and are beneficiaries of the life insurance policies on some of our employees and generate income on the increase in the cash surrender value of these policies.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76" w:lineRule="exact"/>
        <w:rPr>
          <w:sz w:val="20"/>
          <w:szCs w:val="20"/>
          <w:color w:val="auto"/>
        </w:rPr>
      </w:pPr>
    </w:p>
    <w:tbl>
      <w:tblPr>
        <w:tblLayout w:type="fixed"/>
        <w:tblInd w:w="3820" w:type="dxa"/>
        <w:tblCellMar>
          <w:top w:w="0" w:type="dxa"/>
          <w:left w:w="0" w:type="dxa"/>
          <w:bottom w:w="0" w:type="dxa"/>
          <w:right w:w="0" w:type="dxa"/>
        </w:tblCellMar>
      </w:tblPr>
      <w:tr>
        <w:trPr>
          <w:trHeight w:val="164"/>
        </w:trPr>
        <w:tc>
          <w:tcPr>
            <w:tcW w:w="22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4"/>
                <w:szCs w:val="14"/>
                <w:color w:val="auto"/>
              </w:rPr>
            </w:pPr>
          </w:p>
        </w:tc>
        <w:tc>
          <w:tcPr>
            <w:tcW w:w="224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r>
      <w:tr>
        <w:trPr>
          <w:trHeight w:val="151"/>
        </w:trPr>
        <w:tc>
          <w:tcPr>
            <w:tcW w:w="1140" w:type="dxa"/>
            <w:vAlign w:val="bottom"/>
          </w:tcPr>
          <w:p>
            <w:pPr>
              <w:jc w:val="right"/>
              <w:ind w:right="376"/>
              <w:spacing w:after="0"/>
              <w:rPr>
                <w:sz w:val="20"/>
                <w:szCs w:val="20"/>
                <w:color w:val="auto"/>
              </w:rPr>
            </w:pPr>
            <w:r>
              <w:rPr>
                <w:rFonts w:ascii="Arial" w:cs="Arial" w:eastAsia="Arial" w:hAnsi="Arial"/>
                <w:sz w:val="13"/>
                <w:szCs w:val="13"/>
                <w:b w:val="1"/>
                <w:bCs w:val="1"/>
                <w:color w:val="auto"/>
              </w:rPr>
              <w:t>2023</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3"/>
                <w:szCs w:val="13"/>
                <w:color w:val="auto"/>
              </w:rPr>
            </w:pPr>
          </w:p>
        </w:tc>
        <w:tc>
          <w:tcPr>
            <w:tcW w:w="1140" w:type="dxa"/>
            <w:vAlign w:val="bottom"/>
          </w:tcPr>
          <w:p>
            <w:pPr>
              <w:jc w:val="right"/>
              <w:ind w:right="376"/>
              <w:spacing w:after="0"/>
              <w:rPr>
                <w:sz w:val="20"/>
                <w:szCs w:val="20"/>
                <w:color w:val="auto"/>
              </w:rPr>
            </w:pPr>
            <w:r>
              <w:rPr>
                <w:rFonts w:ascii="Arial" w:cs="Arial" w:eastAsia="Arial" w:hAnsi="Arial"/>
                <w:sz w:val="13"/>
                <w:szCs w:val="13"/>
                <w:b w:val="1"/>
                <w:bCs w:val="1"/>
                <w:color w:val="auto"/>
              </w:rPr>
              <w:t>2023</w:t>
            </w:r>
          </w:p>
        </w:tc>
        <w:tc>
          <w:tcPr>
            <w:tcW w:w="1100" w:type="dxa"/>
            <w:vAlign w:val="bottom"/>
          </w:tcPr>
          <w:p>
            <w:pPr>
              <w:jc w:val="right"/>
              <w:ind w:right="336"/>
              <w:spacing w:after="0"/>
              <w:rPr>
                <w:sz w:val="20"/>
                <w:szCs w:val="20"/>
                <w:color w:val="auto"/>
              </w:rPr>
            </w:pPr>
            <w:r>
              <w:rPr>
                <w:rFonts w:ascii="Arial" w:cs="Arial" w:eastAsia="Arial" w:hAnsi="Arial"/>
                <w:sz w:val="13"/>
                <w:szCs w:val="13"/>
                <w:b w:val="1"/>
                <w:bCs w:val="1"/>
                <w:color w:val="auto"/>
              </w:rPr>
              <w:t>2022</w:t>
            </w:r>
          </w:p>
        </w:tc>
      </w:tr>
    </w:tbl>
    <w:p>
      <w:pPr>
        <w:spacing w:after="0" w:line="1" w:lineRule="exact"/>
        <w:rPr>
          <w:sz w:val="20"/>
          <w:szCs w:val="20"/>
          <w:color w:val="auto"/>
        </w:rPr>
      </w:pPr>
    </w:p>
    <w:p>
      <w:pPr>
        <w:sectPr>
          <w:pgSz w:w="11900" w:h="16838" w:orient="portrait"/>
          <w:cols w:equalWidth="0" w:num="1">
            <w:col w:w="9019"/>
          </w:cols>
          <w:pgMar w:left="1440" w:top="481" w:right="1440" w:bottom="1440" w:gutter="0" w:footer="0" w:header="0"/>
        </w:sectPr>
      </w:pP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3100" w:type="dxa"/>
            <w:vAlign w:val="bottom"/>
            <w:shd w:val="clear" w:color="auto" w:fill="CCEEFF"/>
          </w:tcPr>
          <w:p>
            <w:pPr>
              <w:spacing w:after="0"/>
              <w:rPr>
                <w:sz w:val="20"/>
                <w:szCs w:val="20"/>
                <w:color w:val="auto"/>
              </w:rPr>
            </w:pPr>
            <w:r>
              <w:rPr>
                <w:rFonts w:ascii="Arial" w:cs="Arial" w:eastAsia="Arial" w:hAnsi="Arial"/>
                <w:sz w:val="13"/>
                <w:szCs w:val="13"/>
                <w:color w:val="auto"/>
              </w:rPr>
              <w:t>Service fees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3"/>
                <w:szCs w:val="13"/>
                <w:color w:val="auto"/>
              </w:rPr>
              <w:t>Gain (loss) on sale of securities available for sale, 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100" w:type="dxa"/>
            <w:vAlign w:val="bottom"/>
            <w:vMerge w:val="restart"/>
          </w:tcPr>
          <w:p>
            <w:pPr>
              <w:spacing w:after="0"/>
              <w:rPr>
                <w:sz w:val="20"/>
                <w:szCs w:val="20"/>
                <w:color w:val="auto"/>
              </w:rPr>
            </w:pPr>
            <w:r>
              <w:rPr>
                <w:rFonts w:ascii="Arial" w:cs="Arial" w:eastAsia="Arial" w:hAnsi="Arial"/>
                <w:sz w:val="13"/>
                <w:szCs w:val="13"/>
                <w:color w:val="auto"/>
              </w:rPr>
              <w:t>Gain on sale of loans held for sale, net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20"/>
                <w:szCs w:val="20"/>
                <w:color w:val="auto"/>
              </w:rPr>
            </w:pPr>
            <w:r>
              <w:rPr>
                <w:rFonts w:ascii="Arial" w:cs="Arial" w:eastAsia="Arial" w:hAnsi="Arial"/>
                <w:sz w:val="13"/>
                <w:szCs w:val="13"/>
                <w:color w:val="auto"/>
              </w:rPr>
              <w:t>Loan settlement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100" w:type="dxa"/>
            <w:vAlign w:val="bottom"/>
            <w:vMerge w:val="restart"/>
          </w:tcPr>
          <w:p>
            <w:pPr>
              <w:spacing w:after="0"/>
              <w:rPr>
                <w:sz w:val="20"/>
                <w:szCs w:val="20"/>
                <w:color w:val="auto"/>
              </w:rPr>
            </w:pPr>
            <w:r>
              <w:rPr>
                <w:rFonts w:ascii="Arial" w:cs="Arial" w:eastAsia="Arial" w:hAnsi="Arial"/>
                <w:sz w:val="13"/>
                <w:szCs w:val="13"/>
                <w:color w:val="auto"/>
              </w:rPr>
              <w:t>Other non-interest income</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100"/>
              <w:spacing w:after="0"/>
              <w:rPr>
                <w:sz w:val="20"/>
                <w:szCs w:val="20"/>
                <w:color w:val="auto"/>
              </w:rPr>
            </w:pPr>
            <w:r>
              <w:rPr>
                <w:rFonts w:ascii="Arial" w:cs="Arial" w:eastAsia="Arial" w:hAnsi="Arial"/>
                <w:sz w:val="13"/>
                <w:szCs w:val="13"/>
                <w:color w:val="auto"/>
              </w:rPr>
              <w:t>Total non-interest income</w:t>
            </w:r>
          </w:p>
        </w:tc>
        <w:tc>
          <w:tcPr>
            <w:tcW w:w="20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w w:val="92"/>
              </w:rPr>
              <w:t>1,173</w:t>
            </w:r>
          </w:p>
        </w:tc>
        <w:tc>
          <w:tcPr>
            <w:tcW w:w="400" w:type="dxa"/>
            <w:vAlign w:val="bottom"/>
            <w:tcBorders>
              <w:top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right w:val="single" w:sz="8" w:color="CCEEFF"/>
            </w:tcBorders>
          </w:tcPr>
          <w:p>
            <w:pPr>
              <w:jc w:val="right"/>
              <w:ind w:right="36"/>
              <w:spacing w:after="0"/>
              <w:rPr>
                <w:sz w:val="20"/>
                <w:szCs w:val="20"/>
                <w:color w:val="auto"/>
              </w:rPr>
            </w:pPr>
            <w:r>
              <w:rPr>
                <w:rFonts w:ascii="Arial" w:cs="Arial" w:eastAsia="Arial" w:hAnsi="Arial"/>
                <w:sz w:val="13"/>
                <w:szCs w:val="13"/>
                <w:color w:val="auto"/>
              </w:rPr>
              <w:t>1,083</w:t>
            </w:r>
          </w:p>
        </w:tc>
        <w:tc>
          <w:tcPr>
            <w:tcW w:w="400" w:type="dxa"/>
            <w:vAlign w:val="bottom"/>
            <w:tcBorders>
              <w:top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right w:val="single" w:sz="8" w:color="CCEEFF"/>
            </w:tcBorders>
          </w:tcPr>
          <w:p>
            <w:pPr>
              <w:jc w:val="right"/>
              <w:ind w:right="56"/>
              <w:spacing w:after="0"/>
              <w:rPr>
                <w:sz w:val="20"/>
                <w:szCs w:val="20"/>
                <w:color w:val="auto"/>
              </w:rPr>
            </w:pPr>
            <w:r>
              <w:rPr>
                <w:rFonts w:ascii="Arial" w:cs="Arial" w:eastAsia="Arial" w:hAnsi="Arial"/>
                <w:sz w:val="13"/>
                <w:szCs w:val="13"/>
                <w:color w:val="auto"/>
              </w:rPr>
              <w:t>2,378</w:t>
            </w:r>
          </w:p>
        </w:tc>
        <w:tc>
          <w:tcPr>
            <w:tcW w:w="380" w:type="dxa"/>
            <w:vAlign w:val="bottom"/>
            <w:tcBorders>
              <w:top w:val="single" w:sz="8" w:color="auto"/>
            </w:tcBorders>
          </w:tcPr>
          <w:p>
            <w:pPr>
              <w:jc w:val="right"/>
              <w:ind w:right="313"/>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1,983</w:t>
            </w:r>
          </w:p>
        </w:tc>
        <w:tc>
          <w:tcPr>
            <w:tcW w:w="20" w:type="dxa"/>
            <w:vAlign w:val="bottom"/>
          </w:tcPr>
          <w:p>
            <w:pPr>
              <w:spacing w:after="0"/>
              <w:rPr>
                <w:sz w:val="13"/>
                <w:szCs w:val="13"/>
                <w:color w:val="auto"/>
              </w:rPr>
            </w:pPr>
          </w:p>
        </w:tc>
      </w:tr>
      <w:tr>
        <w:trPr>
          <w:trHeight w:val="177"/>
        </w:trPr>
        <w:tc>
          <w:tcPr>
            <w:tcW w:w="4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5"/>
                <w:szCs w:val="15"/>
                <w:color w:val="auto"/>
              </w:rPr>
            </w:pP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(21)</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5"/>
                <w:szCs w:val="15"/>
                <w:color w:val="auto"/>
              </w:rPr>
            </w:pPr>
          </w:p>
        </w:tc>
      </w:tr>
      <w:tr>
        <w:trPr>
          <w:trHeight w:val="165"/>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94</w:t>
            </w:r>
          </w:p>
        </w:tc>
        <w:tc>
          <w:tcPr>
            <w:tcW w:w="400" w:type="dxa"/>
            <w:vAlign w:val="bottom"/>
          </w:tcPr>
          <w:p>
            <w:pPr>
              <w:spacing w:after="0"/>
              <w:rPr>
                <w:sz w:val="14"/>
                <w:szCs w:val="14"/>
                <w:color w:val="auto"/>
              </w:rPr>
            </w:pPr>
          </w:p>
        </w:tc>
        <w:tc>
          <w:tcPr>
            <w:tcW w:w="74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14"/>
                <w:szCs w:val="14"/>
                <w:color w:val="auto"/>
              </w:rPr>
            </w:pPr>
          </w:p>
        </w:tc>
        <w:tc>
          <w:tcPr>
            <w:tcW w:w="760" w:type="dxa"/>
            <w:vAlign w:val="bottom"/>
            <w:tcBorders>
              <w:right w:val="single" w:sz="8" w:color="CCEEFF"/>
            </w:tcBorders>
          </w:tcPr>
          <w:p>
            <w:pPr>
              <w:jc w:val="right"/>
              <w:ind w:right="56"/>
              <w:spacing w:after="0"/>
              <w:rPr>
                <w:sz w:val="20"/>
                <w:szCs w:val="20"/>
                <w:color w:val="auto"/>
              </w:rPr>
            </w:pPr>
            <w:r>
              <w:rPr>
                <w:rFonts w:ascii="Arial" w:cs="Arial" w:eastAsia="Arial" w:hAnsi="Arial"/>
                <w:sz w:val="13"/>
                <w:szCs w:val="13"/>
                <w:color w:val="auto"/>
              </w:rPr>
              <w:t>441</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356</w:t>
            </w:r>
          </w:p>
        </w:tc>
        <w:tc>
          <w:tcPr>
            <w:tcW w:w="20" w:type="dxa"/>
            <w:vAlign w:val="bottom"/>
          </w:tcPr>
          <w:p>
            <w:pPr>
              <w:spacing w:after="0"/>
              <w:rPr>
                <w:sz w:val="14"/>
                <w:szCs w:val="14"/>
                <w:color w:val="auto"/>
              </w:rPr>
            </w:pPr>
          </w:p>
        </w:tc>
      </w:tr>
      <w:tr>
        <w:trPr>
          <w:trHeight w:val="177"/>
        </w:trPr>
        <w:tc>
          <w:tcPr>
            <w:tcW w:w="4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5"/>
                <w:szCs w:val="15"/>
                <w:color w:val="auto"/>
              </w:rPr>
            </w:pPr>
          </w:p>
        </w:tc>
      </w:tr>
      <w:tr>
        <w:trPr>
          <w:trHeight w:val="165"/>
        </w:trPr>
        <w:tc>
          <w:tcPr>
            <w:tcW w:w="42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579</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CCEEFF"/>
            </w:tcBorders>
          </w:tcPr>
          <w:p>
            <w:pPr>
              <w:jc w:val="right"/>
              <w:ind w:right="36"/>
              <w:spacing w:after="0"/>
              <w:rPr>
                <w:sz w:val="20"/>
                <w:szCs w:val="20"/>
                <w:color w:val="auto"/>
              </w:rPr>
            </w:pPr>
            <w:r>
              <w:rPr>
                <w:rFonts w:ascii="Arial" w:cs="Arial" w:eastAsia="Arial" w:hAnsi="Arial"/>
                <w:sz w:val="13"/>
                <w:szCs w:val="13"/>
                <w:color w:val="auto"/>
              </w:rPr>
              <w:t>515</w:t>
            </w: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CCEEFF"/>
            </w:tcBorders>
          </w:tcPr>
          <w:p>
            <w:pPr>
              <w:jc w:val="right"/>
              <w:ind w:right="56"/>
              <w:spacing w:after="0"/>
              <w:rPr>
                <w:sz w:val="20"/>
                <w:szCs w:val="20"/>
                <w:color w:val="auto"/>
              </w:rPr>
            </w:pPr>
            <w:r>
              <w:rPr>
                <w:rFonts w:ascii="Arial" w:cs="Arial" w:eastAsia="Arial" w:hAnsi="Arial"/>
                <w:sz w:val="13"/>
                <w:szCs w:val="13"/>
                <w:color w:val="auto"/>
              </w:rPr>
              <w:t>1,118</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w:t>
            </w:r>
          </w:p>
        </w:tc>
        <w:tc>
          <w:tcPr>
            <w:tcW w:w="20" w:type="dxa"/>
            <w:vAlign w:val="bottom"/>
          </w:tcPr>
          <w:p>
            <w:pPr>
              <w:spacing w:after="0"/>
              <w:rPr>
                <w:sz w:val="14"/>
                <w:szCs w:val="14"/>
                <w:color w:val="auto"/>
              </w:rPr>
            </w:pPr>
          </w:p>
        </w:tc>
      </w:tr>
      <w:tr>
        <w:trPr>
          <w:trHeight w:val="140"/>
        </w:trPr>
        <w:tc>
          <w:tcPr>
            <w:tcW w:w="420" w:type="dxa"/>
            <w:vAlign w:val="bottom"/>
          </w:tcPr>
          <w:p>
            <w:pPr>
              <w:jc w:val="right"/>
              <w:ind w:right="36"/>
              <w:spacing w:after="0" w:line="140" w:lineRule="exact"/>
              <w:rPr>
                <w:sz w:val="20"/>
                <w:szCs w:val="20"/>
                <w:color w:val="auto"/>
              </w:rPr>
            </w:pPr>
            <w:r>
              <w:rPr>
                <w:rFonts w:ascii="Arial" w:cs="Arial" w:eastAsia="Arial" w:hAnsi="Arial"/>
                <w:sz w:val="13"/>
                <w:szCs w:val="13"/>
                <w:color w:val="auto"/>
                <w:w w:val="92"/>
              </w:rPr>
              <w:t>1,846</w:t>
            </w: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36"/>
              <w:spacing w:after="0" w:line="140" w:lineRule="exact"/>
              <w:rPr>
                <w:sz w:val="20"/>
                <w:szCs w:val="20"/>
                <w:color w:val="auto"/>
              </w:rPr>
            </w:pPr>
            <w:r>
              <w:rPr>
                <w:rFonts w:ascii="Arial" w:cs="Arial" w:eastAsia="Arial" w:hAnsi="Arial"/>
                <w:sz w:val="13"/>
                <w:szCs w:val="13"/>
                <w:color w:val="auto"/>
              </w:rPr>
              <w:t>1,617</w:t>
            </w: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6"/>
              <w:spacing w:after="0" w:line="140" w:lineRule="exact"/>
              <w:rPr>
                <w:sz w:val="20"/>
                <w:szCs w:val="20"/>
                <w:color w:val="auto"/>
              </w:rPr>
            </w:pPr>
            <w:r>
              <w:rPr>
                <w:rFonts w:ascii="Arial" w:cs="Arial" w:eastAsia="Arial" w:hAnsi="Arial"/>
                <w:sz w:val="13"/>
                <w:szCs w:val="13"/>
                <w:color w:val="auto"/>
              </w:rPr>
              <w:t>3,916</w:t>
            </w:r>
          </w:p>
        </w:tc>
        <w:tc>
          <w:tcPr>
            <w:tcW w:w="380" w:type="dxa"/>
            <w:vAlign w:val="bottom"/>
            <w:tcBorders>
              <w:bottom w:val="single" w:sz="8" w:color="auto"/>
            </w:tcBorders>
          </w:tcPr>
          <w:p>
            <w:pPr>
              <w:jc w:val="right"/>
              <w:ind w:right="313"/>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color w:val="auto"/>
              </w:rPr>
              <w:t>3,562</w:t>
            </w:r>
          </w:p>
        </w:tc>
        <w:tc>
          <w:tcPr>
            <w:tcW w:w="20" w:type="dxa"/>
            <w:vAlign w:val="bottom"/>
            <w:tcBorders>
              <w:bottom w:val="single" w:sz="8" w:color="auto"/>
            </w:tcBorders>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3960" w:space="600"/>
            <w:col w:w="4459"/>
          </w:cols>
          <w:pgMar w:left="1440" w:top="481" w:right="1440" w:bottom="1440" w:gutter="0" w:footer="0" w:header="0"/>
          <w:type w:val="continuous"/>
        </w:sectPr>
      </w:pPr>
    </w:p>
    <w:p>
      <w:pPr>
        <w:ind w:left="660"/>
        <w:spacing w:after="0"/>
        <w:rPr>
          <w:sz w:val="20"/>
          <w:szCs w:val="20"/>
          <w:color w:val="auto"/>
        </w:rPr>
      </w:pPr>
      <w:r>
        <w:rPr>
          <w:rFonts w:ascii="Arial" w:cs="Arial" w:eastAsia="Arial" w:hAnsi="Arial"/>
          <w:sz w:val="14"/>
          <w:szCs w:val="14"/>
          <w:i w:val="1"/>
          <w:iCs w:val="1"/>
          <w:color w:val="auto"/>
        </w:rPr>
        <w:t>Three months ended June 30, 2023 compared to the three months ended June 30, 2022</w:t>
      </w:r>
    </w:p>
    <w:p>
      <w:pPr>
        <w:spacing w:after="0" w:line="174"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Non-interest income for the three months ended June 30, 2023 increased $229 thousand or 14.2%, compared to the same period in 2022. This increase was primarily driven by an increase in service fees from a larger deposit portfolio and $72 increase in gain on sale of loans due to higher sales of SBA 7a loans.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2023 compared to the six months ended June 30, 2022</w:t>
      </w:r>
    </w:p>
    <w:p>
      <w:pPr>
        <w:spacing w:after="0" w:line="17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income for the six months ended June 30, 2023 increased $354 thousand or 9.9%, compared to the same period in 2022. This increase was primarily driven by an increase in service fees from a larger deposit portfolio. For the period ended June 30, 2022, the Company recognized $161 thousand interest recovery from a prior lending customer of the Bank. This payment reflected the final payment and settlement of lien judgements against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type w:val="continuous"/>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auto"/>
              </w:rPr>
              <w:t>Three Months Ended June 30,</w:t>
            </w: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3"/>
                <w:szCs w:val="13"/>
                <w:b w:val="1"/>
                <w:bCs w:val="1"/>
                <w:color w:val="auto"/>
              </w:rPr>
              <w:t>Six Months Ended June 30,</w:t>
            </w:r>
          </w:p>
        </w:tc>
        <w:tc>
          <w:tcPr>
            <w:tcW w:w="20" w:type="dxa"/>
            <w:vAlign w:val="bottom"/>
          </w:tcPr>
          <w:p>
            <w:pPr>
              <w:spacing w:after="0"/>
              <w:rPr>
                <w:sz w:val="14"/>
                <w:szCs w:val="14"/>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r>
      <w:tr>
        <w:trPr>
          <w:trHeight w:val="15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5,882</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12,259</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11,788</w:t>
            </w:r>
          </w:p>
        </w:tc>
        <w:tc>
          <w:tcPr>
            <w:tcW w:w="20" w:type="dxa"/>
            <w:vAlign w:val="bottom"/>
            <w:shd w:val="clear" w:color="auto" w:fill="CCEEFF"/>
          </w:tcPr>
          <w:p>
            <w:pPr>
              <w:spacing w:after="0"/>
              <w:rPr>
                <w:sz w:val="13"/>
                <w:szCs w:val="13"/>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1,319</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1,251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2,618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2,521</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915</w:t>
            </w:r>
          </w:p>
        </w:tc>
        <w:tc>
          <w:tcPr>
            <w:tcW w:w="20" w:type="dxa"/>
            <w:vAlign w:val="bottom"/>
          </w:tcPr>
          <w:p>
            <w:pPr>
              <w:spacing w:after="0"/>
              <w:rPr>
                <w:sz w:val="14"/>
                <w:szCs w:val="14"/>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20" w:type="dxa"/>
            <w:vAlign w:val="bottom"/>
            <w:shd w:val="clear" w:color="auto" w:fill="CCEEFF"/>
          </w:tcPr>
          <w:p>
            <w:pPr>
              <w:spacing w:after="0"/>
              <w:rPr>
                <w:sz w:val="14"/>
                <w:szCs w:val="14"/>
                <w:color w:val="auto"/>
              </w:rPr>
            </w:pPr>
          </w:p>
        </w:tc>
      </w:tr>
      <w:tr>
        <w:trPr>
          <w:trHeight w:val="171"/>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1,908</w:t>
            </w: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3,348</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10,452</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9,551</w:t>
            </w: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20,628</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19,163</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2023 compared to the three months ended June 30, 2022</w:t>
      </w:r>
    </w:p>
    <w:p>
      <w:pPr>
        <w:spacing w:after="0" w:line="17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Non-interest expense for the three months ended June 30, 2023 increased $901 thousand or 9.4%, compared to the same period in 2022. The increase was primarily driven by an increase in the FDIC deposit insurance assessment rate and audit and tax services expenses and was partially offset by a decrease in the incentive compensation accrual which is included in salary and employee benefits expense.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2023 compared to the six months ended June 30, 2022</w:t>
      </w:r>
    </w:p>
    <w:p>
      <w:pPr>
        <w:spacing w:after="0" w:line="174"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Non-interest expense for the six months ended June 30, 2023 increased $1.5 million or 7.6%, compared to the same period in 2022. The increase was primarily driven by higher salaries and employee benefits expense due to new hires, increased salary compensation and seasonal payroll taxes as well as increases in the FDIC deposit insurance assessment rate, and audit and tax services expense.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76"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June 30, 2023 compared to the three months ended June 30, 2022</w:t>
      </w:r>
    </w:p>
    <w:p>
      <w:pPr>
        <w:spacing w:after="0" w:line="174" w:lineRule="exact"/>
        <w:rPr>
          <w:sz w:val="20"/>
          <w:szCs w:val="20"/>
          <w:color w:val="auto"/>
        </w:rPr>
      </w:pPr>
    </w:p>
    <w:p>
      <w:pPr>
        <w:jc w:val="both"/>
        <w:ind w:left="660" w:right="699" w:firstLine="299"/>
        <w:spacing w:after="0" w:line="260" w:lineRule="auto"/>
        <w:rPr>
          <w:sz w:val="20"/>
          <w:szCs w:val="20"/>
          <w:color w:val="auto"/>
        </w:rPr>
      </w:pPr>
      <w:r>
        <w:rPr>
          <w:rFonts w:ascii="Arial" w:cs="Arial" w:eastAsia="Arial" w:hAnsi="Arial"/>
          <w:sz w:val="14"/>
          <w:szCs w:val="14"/>
          <w:color w:val="auto"/>
        </w:rPr>
        <w:t>Income tax expense for the quarter ended June 30, 2023 was $1.3 million as compared to $1.7 million for the same period in 2022. The effective tax rate for the three months ended June 30, 2023 was 24.1% compared to 24.4% for the same period in 2022.</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Six months ended June 30, 2023 compared to the six months ended June 30, 2022</w:t>
      </w:r>
    </w:p>
    <w:p>
      <w:pPr>
        <w:spacing w:after="0" w:line="174"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Income tax expense for the six months ended June 30, 2023 decreased to $3.2 million from $3.6 million for the same period in 2022. The Company’s effective tax rate was 24.3% for the 2023 period compared to 26.0% for the same period in 2022. The Company’s effective tax rate in the period ended June 30, 2022 was higher primarily because the Company recorded a one-time adjustment of $300 thousand to deferred tax assets which increased the income tax provision.</w:t>
      </w:r>
    </w:p>
    <w:p>
      <w:pPr>
        <w:spacing w:after="0" w:line="143" w:lineRule="exact"/>
        <w:rPr>
          <w:sz w:val="20"/>
          <w:szCs w:val="20"/>
          <w:color w:val="auto"/>
        </w:rPr>
      </w:pPr>
    </w:p>
    <w:p>
      <w:pPr>
        <w:ind w:left="660" w:right="719" w:firstLine="256"/>
        <w:spacing w:after="0" w:line="267"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Item 1 of Part I of this Form 10-Q.</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8"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Total assets at June 30, 2023 were $2.2 billion, an increase of $140.1 million, or 13.5% annualized, over total assets of $2.1 billion at December 31, 2022. Total loans, net of unearned fees/cost, increased $88.6 million, or 11.9 % annualized, to $1.6 billion at June 30, 2023 compared to $1.5 billion at December 31, 2022. Total deposits increased by $92.0 million, or 10.1% annualized, to $1.9 billion at June 30, 2023 compared to December 31,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65"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the asset composition and diversification, and maintain adequate risk-based capital ratios.</w:t>
      </w:r>
    </w:p>
    <w:p>
      <w:pPr>
        <w:spacing w:after="0" w:line="144"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The investment portfolio is managed in accordance with the Asset and Liability Management (“ALM”) policy, which includes investment guidelines, approved by the Board.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37"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Our investment portfolio consists primarily of securities issued by U.S. government-sponsored agencies, U.S. agency mortgage-backed securities, collateralized mortgage obligation securities, municipal securities, and other debt securities, all with varying contractual maturities and coupons. Due to the optionality embedded in these securities, the final maturities do not necessarily represent the expected life of the portfolio. Some of these securities will be called or paid down depending on capital market conditions and expectations. The investment portfolio is regularly reviewed by the Chief Financial Officer, Treasurer, and the ALCO of the Company to ensure an appropriate risk and return profile as well as for adherence to the investment policy.</w:t>
      </w:r>
    </w:p>
    <w:p>
      <w:pPr>
        <w:spacing w:after="0" w:line="148" w:lineRule="exact"/>
        <w:rPr>
          <w:sz w:val="20"/>
          <w:szCs w:val="20"/>
          <w:color w:val="auto"/>
        </w:rPr>
      </w:pPr>
    </w:p>
    <w:p>
      <w:pPr>
        <w:jc w:val="both"/>
        <w:ind w:left="660" w:right="639" w:firstLine="256"/>
        <w:spacing w:after="0" w:line="247" w:lineRule="auto"/>
        <w:rPr>
          <w:sz w:val="20"/>
          <w:szCs w:val="20"/>
          <w:color w:val="auto"/>
        </w:rPr>
      </w:pPr>
      <w:r>
        <w:rPr>
          <w:rFonts w:ascii="Arial" w:cs="Arial" w:eastAsia="Arial" w:hAnsi="Arial"/>
          <w:sz w:val="14"/>
          <w:szCs w:val="14"/>
          <w:color w:val="auto"/>
        </w:rPr>
        <w:t>ASC Topic 326 amended the existing other-than-temporary-impairment guidance for AFS securities, requiring credit losses to be recorded as an allowance rather than through a permanent write-down. When evaluating AFS debt securities under ASC Topic 326, the Company has evaluated whether the decline in fair value is attributed to credit losses or other factors like interest rate risk, using both quantitative and qualitative analyses, including company performance analysis, review of credit ratings, remaining payment terms, prepayment speeds and analysis of macro-economic conditions. Each investment is expected to recover its price depreciations over its holding period as it moves to maturity and the Company has the intent and ability to hold these securities to maturity if necessary. As a result of this evaluation, the Company concluded that no allowance was required on AFS securities.</w:t>
      </w:r>
    </w:p>
    <w:p>
      <w:pPr>
        <w:spacing w:after="0" w:line="147"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AFS and HTM investment securities increased $20.6 million, or 9.9% annualized, to $439.4 million at June 30, 2023 from $418.8 million at December 31, 2022. Investment securities increased due to reinvestment of payments received and investment of excess in cash balances into high credit quality investments to increase the Company’s profitability and modify the Company’s balance sheet duration according to the ALM policy. As of June 30, 2023, investment securities with a market value of $223.2 million were pledged to secure public deposits and BTFP. The investment portfolio does not have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3"/>
                <w:szCs w:val="13"/>
                <w:b w:val="1"/>
                <w:bCs w:val="1"/>
                <w:color w:val="auto"/>
              </w:rPr>
              <w:t>June 30, 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r>
      <w:tr>
        <w:trPr>
          <w:trHeight w:val="200"/>
        </w:trPr>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w w:val="97"/>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4"/>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9"/>
              </w:rPr>
              <w:t>Fair Value</w:t>
            </w:r>
          </w:p>
        </w:tc>
        <w:tc>
          <w:tcPr>
            <w:tcW w:w="20" w:type="dxa"/>
            <w:vAlign w:val="bottom"/>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4"/>
                <w:szCs w:val="14"/>
                <w:color w:val="auto"/>
              </w:rPr>
            </w:pPr>
          </w:p>
        </w:tc>
      </w:tr>
      <w:tr>
        <w:trPr>
          <w:trHeight w:val="15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8,655</w:t>
            </w:r>
          </w:p>
        </w:tc>
        <w:tc>
          <w:tcPr>
            <w:tcW w:w="20" w:type="dxa"/>
            <w:vAlign w:val="bottom"/>
            <w:shd w:val="clear" w:color="auto" w:fill="CCEEFF"/>
          </w:tcPr>
          <w:p>
            <w:pPr>
              <w:spacing w:after="0"/>
              <w:rPr>
                <w:sz w:val="13"/>
                <w:szCs w:val="13"/>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107,991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83,883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118,951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95,541</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71,279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36,775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30,852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32,244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27,954</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19,091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16,836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14,468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15,964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14,919</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4,033</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20" w:type="dxa"/>
            <w:vAlign w:val="bottom"/>
            <w:shd w:val="clear" w:color="auto" w:fill="CCEEFF"/>
          </w:tcPr>
          <w:p>
            <w:pPr>
              <w:spacing w:after="0"/>
              <w:rPr>
                <w:sz w:val="14"/>
                <w:szCs w:val="14"/>
                <w:color w:val="auto"/>
              </w:rPr>
            </w:pP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271,864</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218,442</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280,295</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230,140</w:t>
            </w:r>
          </w:p>
        </w:tc>
        <w:tc>
          <w:tcPr>
            <w:tcW w:w="20" w:type="dxa"/>
            <w:vAlign w:val="bottom"/>
          </w:tcPr>
          <w:p>
            <w:pPr>
              <w:spacing w:after="0"/>
              <w:rPr>
                <w:sz w:val="17"/>
                <w:szCs w:val="17"/>
                <w:color w:val="auto"/>
              </w:rPr>
            </w:pPr>
          </w:p>
        </w:tc>
      </w:tr>
      <w:tr>
        <w:trPr>
          <w:trHeight w:val="153"/>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44,404</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38,230</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44,914</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39,062</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Treasury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39,414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65,844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57,030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68,727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60,925</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40,213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14,409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11,442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10,777</w:t>
            </w:r>
          </w:p>
        </w:tc>
        <w:tc>
          <w:tcPr>
            <w:tcW w:w="20" w:type="dxa"/>
            <w:vAlign w:val="bottom"/>
          </w:tcPr>
          <w:p>
            <w:pPr>
              <w:spacing w:after="0"/>
              <w:rPr>
                <w:sz w:val="14"/>
                <w:szCs w:val="14"/>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20" w:type="dxa"/>
            <w:vAlign w:val="bottom"/>
            <w:shd w:val="clear" w:color="auto" w:fill="CCEEFF"/>
          </w:tcPr>
          <w:p>
            <w:pPr>
              <w:spacing w:after="0"/>
              <w:rPr>
                <w:sz w:val="14"/>
                <w:szCs w:val="14"/>
                <w:color w:val="auto"/>
              </w:rPr>
            </w:pP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220,975</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199,329</w:t>
            </w:r>
          </w:p>
        </w:tc>
        <w:tc>
          <w:tcPr>
            <w:tcW w:w="180" w:type="dxa"/>
            <w:vAlign w:val="bottom"/>
            <w:gridSpan w:val="4"/>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188,699</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169,088</w:t>
            </w:r>
          </w:p>
        </w:tc>
        <w:tc>
          <w:tcPr>
            <w:tcW w:w="20" w:type="dxa"/>
            <w:vAlign w:val="bottom"/>
          </w:tcPr>
          <w:p>
            <w:pPr>
              <w:spacing w:after="0"/>
              <w:rPr>
                <w:sz w:val="17"/>
                <w:szCs w:val="17"/>
                <w:color w:val="auto"/>
              </w:rPr>
            </w:pPr>
          </w:p>
        </w:tc>
      </w:tr>
      <w:tr>
        <w:trPr>
          <w:trHeight w:val="121"/>
        </w:trPr>
        <w:tc>
          <w:tcPr>
            <w:tcW w:w="380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(19)</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220,956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61"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June 30, 2023 (in thousands, except ratios):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80" w:type="dxa"/>
            <w:vAlign w:val="bottom"/>
            <w:gridSpan w:val="8"/>
          </w:tcPr>
          <w:p>
            <w:pPr>
              <w:jc w:val="right"/>
              <w:ind w:right="87"/>
              <w:spacing w:after="0"/>
              <w:rPr>
                <w:sz w:val="20"/>
                <w:szCs w:val="20"/>
                <w:color w:val="auto"/>
              </w:rPr>
            </w:pPr>
            <w:r>
              <w:rPr>
                <w:rFonts w:ascii="Arial" w:cs="Arial" w:eastAsia="Arial" w:hAnsi="Arial"/>
                <w:sz w:val="11"/>
                <w:szCs w:val="11"/>
                <w:b w:val="1"/>
                <w:bCs w:val="1"/>
                <w:color w:val="auto"/>
              </w:rPr>
              <w:t>After 1 year through  After 5 years through</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ind w:right="326"/>
              <w:spacing w:after="0"/>
              <w:rPr>
                <w:sz w:val="20"/>
                <w:szCs w:val="20"/>
                <w:color w:val="auto"/>
              </w:rPr>
            </w:pPr>
            <w:r>
              <w:rPr>
                <w:rFonts w:ascii="Arial" w:cs="Arial" w:eastAsia="Arial" w:hAnsi="Arial"/>
                <w:sz w:val="11"/>
                <w:szCs w:val="11"/>
                <w:b w:val="1"/>
                <w:bCs w:val="1"/>
                <w:color w:val="auto"/>
              </w:rPr>
              <w:t>Within 1 year</w:t>
            </w:r>
          </w:p>
        </w:tc>
        <w:tc>
          <w:tcPr>
            <w:tcW w:w="640" w:type="dxa"/>
            <w:vAlign w:val="bottom"/>
            <w:gridSpan w:val="2"/>
          </w:tcPr>
          <w:p>
            <w:pPr>
              <w:ind w:left="240"/>
              <w:spacing w:after="0"/>
              <w:rPr>
                <w:sz w:val="20"/>
                <w:szCs w:val="20"/>
                <w:color w:val="auto"/>
              </w:rPr>
            </w:pPr>
            <w:r>
              <w:rPr>
                <w:rFonts w:ascii="Arial" w:cs="Arial" w:eastAsia="Arial" w:hAnsi="Arial"/>
                <w:sz w:val="11"/>
                <w:szCs w:val="11"/>
                <w:b w:val="1"/>
                <w:bCs w:val="1"/>
                <w:color w:val="auto"/>
              </w:rPr>
              <w:t>5 years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jc w:val="right"/>
              <w:ind w:right="447"/>
              <w:spacing w:after="0"/>
              <w:rPr>
                <w:sz w:val="20"/>
                <w:szCs w:val="20"/>
                <w:color w:val="auto"/>
              </w:rPr>
            </w:pPr>
            <w:r>
              <w:rPr>
                <w:rFonts w:ascii="Arial" w:cs="Arial" w:eastAsia="Arial" w:hAnsi="Arial"/>
                <w:sz w:val="11"/>
                <w:szCs w:val="11"/>
                <w:b w:val="1"/>
                <w:bCs w:val="1"/>
                <w:color w:val="auto"/>
              </w:rPr>
              <w:t>10 years</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After 10 years</w:t>
            </w:r>
          </w:p>
        </w:tc>
        <w:tc>
          <w:tcPr>
            <w:tcW w:w="600" w:type="dxa"/>
            <w:vAlign w:val="bottom"/>
            <w:gridSpan w:val="2"/>
          </w:tcPr>
          <w:p>
            <w:pPr>
              <w:ind w:left="300"/>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66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5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Amortized</w:t>
            </w:r>
          </w:p>
        </w:tc>
        <w:tc>
          <w:tcPr>
            <w:tcW w:w="5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5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rPr>
              <w:t>Amortized</w:t>
            </w: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63"/>
              <w:spacing w:after="0"/>
              <w:rPr>
                <w:sz w:val="20"/>
                <w:szCs w:val="20"/>
                <w:color w:val="auto"/>
              </w:rPr>
            </w:pPr>
            <w:r>
              <w:rPr>
                <w:rFonts w:ascii="Arial" w:cs="Arial" w:eastAsia="Arial" w:hAnsi="Arial"/>
                <w:sz w:val="11"/>
                <w:szCs w:val="11"/>
                <w:b w:val="1"/>
                <w:bCs w:val="1"/>
                <w:color w:val="auto"/>
              </w:rPr>
              <w:t>Cost</w:t>
            </w:r>
          </w:p>
        </w:tc>
        <w:tc>
          <w:tcPr>
            <w:tcW w:w="64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Yield</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Cost</w:t>
            </w:r>
          </w:p>
        </w:tc>
        <w:tc>
          <w:tcPr>
            <w:tcW w:w="440" w:type="dxa"/>
            <w:vAlign w:val="bottom"/>
            <w:gridSpan w:val="2"/>
          </w:tcPr>
          <w:p>
            <w:pPr>
              <w:jc w:val="right"/>
              <w:ind w:right="157"/>
              <w:spacing w:after="0"/>
              <w:rPr>
                <w:sz w:val="20"/>
                <w:szCs w:val="20"/>
                <w:color w:val="auto"/>
              </w:rPr>
            </w:pPr>
            <w:r>
              <w:rPr>
                <w:rFonts w:ascii="Arial" w:cs="Arial" w:eastAsia="Arial" w:hAnsi="Arial"/>
                <w:sz w:val="11"/>
                <w:szCs w:val="11"/>
                <w:b w:val="1"/>
                <w:bCs w:val="1"/>
                <w:color w:val="auto"/>
                <w:w w:val="91"/>
              </w:rPr>
              <w:t>Yield</w:t>
            </w:r>
          </w:p>
        </w:tc>
        <w:tc>
          <w:tcPr>
            <w:tcW w:w="640" w:type="dxa"/>
            <w:vAlign w:val="bottom"/>
          </w:tcPr>
          <w:p>
            <w:pPr>
              <w:jc w:val="right"/>
              <w:ind w:right="163"/>
              <w:spacing w:after="0"/>
              <w:rPr>
                <w:sz w:val="20"/>
                <w:szCs w:val="20"/>
                <w:color w:val="auto"/>
              </w:rPr>
            </w:pPr>
            <w:r>
              <w:rPr>
                <w:rFonts w:ascii="Arial" w:cs="Arial" w:eastAsia="Arial" w:hAnsi="Arial"/>
                <w:sz w:val="11"/>
                <w:szCs w:val="11"/>
                <w:b w:val="1"/>
                <w:bCs w:val="1"/>
                <w:color w:val="auto"/>
              </w:rPr>
              <w:t>Cost</w:t>
            </w:r>
          </w:p>
        </w:tc>
        <w:tc>
          <w:tcPr>
            <w:tcW w:w="62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Yield</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Cost</w:t>
            </w:r>
          </w:p>
        </w:tc>
        <w:tc>
          <w:tcPr>
            <w:tcW w:w="640" w:type="dxa"/>
            <w:vAlign w:val="bottom"/>
            <w:gridSpan w:val="2"/>
          </w:tcPr>
          <w:p>
            <w:pPr>
              <w:jc w:val="right"/>
              <w:ind w:right="207"/>
              <w:spacing w:after="0"/>
              <w:rPr>
                <w:sz w:val="20"/>
                <w:szCs w:val="20"/>
                <w:color w:val="auto"/>
              </w:rPr>
            </w:pPr>
            <w:r>
              <w:rPr>
                <w:rFonts w:ascii="Arial" w:cs="Arial" w:eastAsia="Arial" w:hAnsi="Arial"/>
                <w:sz w:val="11"/>
                <w:szCs w:val="11"/>
                <w:b w:val="1"/>
                <w:bCs w:val="1"/>
                <w:color w:val="auto"/>
              </w:rPr>
              <w:t>Yield</w:t>
            </w:r>
          </w:p>
        </w:tc>
        <w:tc>
          <w:tcPr>
            <w:tcW w:w="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Cost</w:t>
            </w:r>
          </w:p>
        </w:tc>
        <w:tc>
          <w:tcPr>
            <w:tcW w:w="4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Yield</w:t>
            </w:r>
          </w:p>
        </w:tc>
        <w:tc>
          <w:tcPr>
            <w:tcW w:w="0" w:type="dxa"/>
            <w:vAlign w:val="bottom"/>
          </w:tcPr>
          <w:p>
            <w:pPr>
              <w:spacing w:after="0"/>
              <w:rPr>
                <w:sz w:val="1"/>
                <w:szCs w:val="1"/>
                <w:color w:val="auto"/>
              </w:rPr>
            </w:pPr>
          </w:p>
        </w:tc>
      </w:tr>
      <w:tr>
        <w:trPr>
          <w:trHeight w:val="14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Available-for-sale:</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right w:val="single" w:sz="8" w:color="CCEEFF"/>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500" w:type="dxa"/>
            <w:vAlign w:val="bottom"/>
            <w:tcBorders>
              <w:top w:val="single" w:sz="8" w:color="auto"/>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6"/>
              <w:spacing w:after="0"/>
              <w:rPr>
                <w:sz w:val="20"/>
                <w:szCs w:val="20"/>
                <w:color w:val="auto"/>
              </w:rPr>
            </w:pPr>
            <w:r>
              <w:rPr>
                <w:rFonts w:ascii="Arial" w:cs="Arial" w:eastAsia="Arial" w:hAnsi="Arial"/>
                <w:sz w:val="11"/>
                <w:szCs w:val="11"/>
                <w:color w:val="auto"/>
              </w:rPr>
              <w:t>0.00% $</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0.00% $</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2,356</w:t>
            </w:r>
          </w:p>
        </w:tc>
        <w:tc>
          <w:tcPr>
            <w:tcW w:w="620" w:type="dxa"/>
            <w:vAlign w:val="bottom"/>
            <w:gridSpan w:val="2"/>
          </w:tcPr>
          <w:p>
            <w:pPr>
              <w:jc w:val="right"/>
              <w:ind w:right="7"/>
              <w:spacing w:after="0"/>
              <w:rPr>
                <w:sz w:val="20"/>
                <w:szCs w:val="20"/>
                <w:color w:val="auto"/>
              </w:rPr>
            </w:pPr>
            <w:r>
              <w:rPr>
                <w:rFonts w:ascii="Arial" w:cs="Arial" w:eastAsia="Arial" w:hAnsi="Arial"/>
                <w:sz w:val="11"/>
                <w:szCs w:val="11"/>
                <w:color w:val="auto"/>
              </w:rPr>
              <w:t>3.17% $</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7,550</w:t>
            </w:r>
          </w:p>
        </w:tc>
        <w:tc>
          <w:tcPr>
            <w:tcW w:w="640" w:type="dxa"/>
            <w:vAlign w:val="bottom"/>
            <w:gridSpan w:val="2"/>
          </w:tcPr>
          <w:p>
            <w:pPr>
              <w:jc w:val="right"/>
              <w:ind w:right="27"/>
              <w:spacing w:after="0"/>
              <w:rPr>
                <w:sz w:val="20"/>
                <w:szCs w:val="20"/>
                <w:color w:val="auto"/>
              </w:rPr>
            </w:pPr>
            <w:r>
              <w:rPr>
                <w:rFonts w:ascii="Arial" w:cs="Arial" w:eastAsia="Arial" w:hAnsi="Arial"/>
                <w:sz w:val="11"/>
                <w:szCs w:val="11"/>
                <w:color w:val="auto"/>
              </w:rPr>
              <w:t>2.29% $</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9,906</w:t>
            </w: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107,991</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107,991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0.00%</w:t>
            </w:r>
          </w:p>
        </w:tc>
        <w:tc>
          <w:tcPr>
            <w:tcW w:w="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71,279</w:t>
            </w:r>
          </w:p>
        </w:tc>
        <w:tc>
          <w:tcPr>
            <w:tcW w:w="500" w:type="dxa"/>
            <w:vAlign w:val="bottom"/>
          </w:tcPr>
          <w:p>
            <w:pPr>
              <w:jc w:val="right"/>
              <w:spacing w:after="0"/>
              <w:rPr>
                <w:sz w:val="20"/>
                <w:szCs w:val="20"/>
                <w:color w:val="auto"/>
              </w:rPr>
            </w:pPr>
            <w:r>
              <w:rPr>
                <w:rFonts w:ascii="Arial" w:cs="Arial" w:eastAsia="Arial" w:hAnsi="Arial"/>
                <w:sz w:val="11"/>
                <w:szCs w:val="11"/>
                <w:color w:val="auto"/>
              </w:rPr>
              <w:t>1.62%</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71,279</w:t>
            </w: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1.62%</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36,775</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2.17%</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36,775</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2.17%</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Municipal securities</w:t>
            </w:r>
          </w:p>
        </w:tc>
        <w:tc>
          <w:tcPr>
            <w:tcW w:w="1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0.00%</w:t>
            </w:r>
          </w:p>
        </w:tc>
        <w:tc>
          <w:tcPr>
            <w:tcW w:w="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1,000</w:t>
            </w:r>
          </w:p>
        </w:tc>
        <w:tc>
          <w:tcPr>
            <w:tcW w:w="500" w:type="dxa"/>
            <w:vAlign w:val="bottom"/>
          </w:tcPr>
          <w:p>
            <w:pPr>
              <w:jc w:val="right"/>
              <w:spacing w:after="0"/>
              <w:rPr>
                <w:sz w:val="20"/>
                <w:szCs w:val="20"/>
                <w:color w:val="auto"/>
              </w:rPr>
            </w:pPr>
            <w:r>
              <w:rPr>
                <w:rFonts w:ascii="Arial" w:cs="Arial" w:eastAsia="Arial" w:hAnsi="Arial"/>
                <w:sz w:val="11"/>
                <w:szCs w:val="11"/>
                <w:color w:val="auto"/>
              </w:rPr>
              <w:t>2.05%</w:t>
            </w: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24,044</w:t>
            </w:r>
          </w:p>
        </w:tc>
        <w:tc>
          <w:tcPr>
            <w:tcW w:w="500" w:type="dxa"/>
            <w:vAlign w:val="bottom"/>
          </w:tcPr>
          <w:p>
            <w:pPr>
              <w:jc w:val="right"/>
              <w:spacing w:after="0"/>
              <w:rPr>
                <w:sz w:val="20"/>
                <w:szCs w:val="20"/>
                <w:color w:val="auto"/>
              </w:rPr>
            </w:pPr>
            <w:r>
              <w:rPr>
                <w:rFonts w:ascii="Arial" w:cs="Arial" w:eastAsia="Arial" w:hAnsi="Arial"/>
                <w:sz w:val="11"/>
                <w:szCs w:val="11"/>
                <w:color w:val="auto"/>
              </w:rPr>
              <w:t>1.73%</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25,044</w:t>
            </w: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Bank subordinated debt securities</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16,836</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4.83%</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16,836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4.83%</w:t>
            </w:r>
          </w:p>
        </w:tc>
        <w:tc>
          <w:tcPr>
            <w:tcW w:w="0" w:type="dxa"/>
            <w:vAlign w:val="bottom"/>
          </w:tcPr>
          <w:p>
            <w:pPr>
              <w:spacing w:after="0"/>
              <w:rPr>
                <w:sz w:val="1"/>
                <w:szCs w:val="1"/>
                <w:color w:val="auto"/>
              </w:rPr>
            </w:pPr>
          </w:p>
        </w:tc>
      </w:tr>
      <w:tr>
        <w:trPr>
          <w:trHeight w:val="160"/>
        </w:trPr>
        <w:tc>
          <w:tcPr>
            <w:tcW w:w="18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4,033</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2.50%</w:t>
            </w: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4,033</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6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4,033</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20,192</w:t>
            </w:r>
          </w:p>
        </w:tc>
        <w:tc>
          <w:tcPr>
            <w:tcW w:w="50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247,639</w:t>
            </w:r>
          </w:p>
        </w:tc>
        <w:tc>
          <w:tcPr>
            <w:tcW w:w="5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271,864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1.86%</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Held-to-maturity:</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U.S. Government Agency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0.00% $</w:t>
            </w: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7,915</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1.03% $</w:t>
            </w: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20,358</w:t>
            </w: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1.46% $</w:t>
            </w: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16,131</w:t>
            </w: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1"/>
                <w:szCs w:val="11"/>
                <w:color w:val="auto"/>
              </w:rPr>
              <w:t>1.85% $</w:t>
            </w: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44,404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U.S. Treasury</w:t>
            </w:r>
          </w:p>
        </w:tc>
        <w:tc>
          <w:tcPr>
            <w:tcW w:w="1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39,414</w:t>
            </w:r>
          </w:p>
        </w:tc>
        <w:tc>
          <w:tcPr>
            <w:tcW w:w="500" w:type="dxa"/>
            <w:vAlign w:val="bottom"/>
          </w:tcPr>
          <w:p>
            <w:pPr>
              <w:jc w:val="right"/>
              <w:spacing w:after="0"/>
              <w:rPr>
                <w:sz w:val="20"/>
                <w:szCs w:val="20"/>
                <w:color w:val="auto"/>
              </w:rPr>
            </w:pPr>
            <w:r>
              <w:rPr>
                <w:rFonts w:ascii="Arial" w:cs="Arial" w:eastAsia="Arial" w:hAnsi="Arial"/>
                <w:sz w:val="11"/>
                <w:szCs w:val="11"/>
                <w:color w:val="auto"/>
              </w:rPr>
              <w:t>5.25%</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0.00%</w:t>
            </w:r>
          </w:p>
        </w:tc>
        <w:tc>
          <w:tcPr>
            <w:tcW w:w="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39,414</w:t>
            </w: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5.25%</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Collateralized mortgage obligations</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65,844</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65,844</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1.66%</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4,497</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1.85%</w:t>
            </w:r>
          </w:p>
        </w:tc>
        <w:tc>
          <w:tcPr>
            <w:tcW w:w="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5,933</w:t>
            </w:r>
          </w:p>
        </w:tc>
        <w:tc>
          <w:tcPr>
            <w:tcW w:w="500" w:type="dxa"/>
            <w:vAlign w:val="bottom"/>
          </w:tcPr>
          <w:p>
            <w:pPr>
              <w:jc w:val="right"/>
              <w:spacing w:after="0"/>
              <w:rPr>
                <w:sz w:val="20"/>
                <w:szCs w:val="20"/>
                <w:color w:val="auto"/>
              </w:rPr>
            </w:pPr>
            <w:r>
              <w:rPr>
                <w:rFonts w:ascii="Arial" w:cs="Arial" w:eastAsia="Arial" w:hAnsi="Arial"/>
                <w:sz w:val="11"/>
                <w:szCs w:val="11"/>
                <w:color w:val="auto"/>
              </w:rPr>
              <w:t>1.75%</w:t>
            </w: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34,404</w:t>
            </w:r>
          </w:p>
        </w:tc>
        <w:tc>
          <w:tcPr>
            <w:tcW w:w="500" w:type="dxa"/>
            <w:vAlign w:val="bottom"/>
          </w:tcPr>
          <w:p>
            <w:pPr>
              <w:jc w:val="right"/>
              <w:spacing w:after="0"/>
              <w:rPr>
                <w:sz w:val="20"/>
                <w:szCs w:val="20"/>
                <w:color w:val="auto"/>
              </w:rPr>
            </w:pPr>
            <w:r>
              <w:rPr>
                <w:rFonts w:ascii="Arial" w:cs="Arial" w:eastAsia="Arial" w:hAnsi="Arial"/>
                <w:sz w:val="11"/>
                <w:szCs w:val="11"/>
                <w:color w:val="auto"/>
              </w:rPr>
              <w:t>2.40%</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44,834</w:t>
            </w: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60"/>
        </w:trPr>
        <w:tc>
          <w:tcPr>
            <w:tcW w:w="1860" w:type="dxa"/>
            <w:vAlign w:val="bottom"/>
            <w:shd w:val="clear" w:color="auto" w:fill="CCEEFF"/>
          </w:tcPr>
          <w:p>
            <w:pPr>
              <w:spacing w:after="0"/>
              <w:rPr>
                <w:sz w:val="20"/>
                <w:szCs w:val="20"/>
                <w:color w:val="auto"/>
              </w:rPr>
            </w:pPr>
            <w:r>
              <w:rPr>
                <w:rFonts w:ascii="Arial" w:cs="Arial" w:eastAsia="Arial" w:hAnsi="Arial"/>
                <w:sz w:val="11"/>
                <w:szCs w:val="11"/>
                <w:color w:val="auto"/>
              </w:rPr>
              <w:t>MBS - commercial</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3,080</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12,411</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2.12%</w:t>
            </w:r>
          </w:p>
        </w:tc>
        <w:tc>
          <w:tcPr>
            <w:tcW w:w="1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15,491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1"/>
                <w:szCs w:val="11"/>
                <w:color w:val="auto"/>
              </w:rPr>
              <w:t>Corporate bonds</w:t>
            </w:r>
          </w:p>
        </w:tc>
        <w:tc>
          <w:tcPr>
            <w:tcW w:w="1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1,502</w:t>
            </w:r>
          </w:p>
        </w:tc>
        <w:tc>
          <w:tcPr>
            <w:tcW w:w="500" w:type="dxa"/>
            <w:vAlign w:val="bottom"/>
          </w:tcPr>
          <w:p>
            <w:pPr>
              <w:jc w:val="right"/>
              <w:spacing w:after="0"/>
              <w:rPr>
                <w:sz w:val="20"/>
                <w:szCs w:val="20"/>
                <w:color w:val="auto"/>
              </w:rPr>
            </w:pPr>
            <w:r>
              <w:rPr>
                <w:rFonts w:ascii="Arial" w:cs="Arial" w:eastAsia="Arial" w:hAnsi="Arial"/>
                <w:sz w:val="11"/>
                <w:szCs w:val="11"/>
                <w:color w:val="auto"/>
              </w:rPr>
              <w:t>2.25%</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9,486</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2.79%</w:t>
            </w:r>
          </w:p>
        </w:tc>
        <w:tc>
          <w:tcPr>
            <w:tcW w:w="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10,988</w:t>
            </w:r>
          </w:p>
        </w:tc>
        <w:tc>
          <w:tcPr>
            <w:tcW w:w="8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40,916</w:t>
            </w:r>
          </w:p>
        </w:tc>
        <w:tc>
          <w:tcPr>
            <w:tcW w:w="5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21,898</w:t>
            </w:r>
          </w:p>
        </w:tc>
        <w:tc>
          <w:tcPr>
            <w:tcW w:w="120" w:type="dxa"/>
            <w:vAlign w:val="bottom"/>
            <w:shd w:val="clear" w:color="auto" w:fill="CCEEFF"/>
          </w:tcPr>
          <w:p>
            <w:pPr>
              <w:spacing w:after="0"/>
              <w:rPr>
                <w:sz w:val="13"/>
                <w:szCs w:val="13"/>
                <w:color w:val="auto"/>
              </w:rPr>
            </w:pPr>
          </w:p>
        </w:tc>
        <w:tc>
          <w:tcPr>
            <w:tcW w:w="4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29,371</w:t>
            </w:r>
          </w:p>
        </w:tc>
        <w:tc>
          <w:tcPr>
            <w:tcW w:w="5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128,790</w:t>
            </w:r>
          </w:p>
        </w:tc>
        <w:tc>
          <w:tcPr>
            <w:tcW w:w="5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220,975</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76"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56"/>
              <w:spacing w:after="0"/>
              <w:rPr>
                <w:sz w:val="20"/>
                <w:szCs w:val="20"/>
                <w:color w:val="auto"/>
              </w:rPr>
            </w:pPr>
            <w:r>
              <w:rPr>
                <w:rFonts w:ascii="Arial" w:cs="Arial" w:eastAsia="Arial" w:hAnsi="Arial"/>
                <w:sz w:val="13"/>
                <w:szCs w:val="13"/>
                <w:b w:val="1"/>
                <w:bCs w:val="1"/>
                <w:color w:val="auto"/>
              </w:rPr>
              <w:t>June 30, 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4"/>
                <w:szCs w:val="14"/>
                <w:color w:val="auto"/>
              </w:rPr>
            </w:pPr>
          </w:p>
        </w:tc>
      </w:tr>
      <w:tr>
        <w:trPr>
          <w:trHeight w:val="179"/>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21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5"/>
                <w:szCs w:val="15"/>
                <w:color w:val="auto"/>
              </w:rPr>
            </w:pPr>
          </w:p>
        </w:tc>
      </w:tr>
      <w:tr>
        <w:trPr>
          <w:trHeight w:val="164"/>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61"/>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183,093</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12.3 %</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989,401</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62.0 %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4"/>
                <w:szCs w:val="14"/>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169,401</w:t>
            </w:r>
          </w:p>
        </w:tc>
        <w:tc>
          <w:tcPr>
            <w:tcW w:w="60" w:type="dxa"/>
            <w:vAlign w:val="bottom"/>
            <w:gridSpan w:val="2"/>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8.4 %</w:t>
            </w:r>
          </w:p>
        </w:tc>
        <w:tc>
          <w:tcPr>
            <w:tcW w:w="20" w:type="dxa"/>
            <w:vAlign w:val="bottom"/>
            <w:shd w:val="clear" w:color="auto" w:fill="CCEEFF"/>
          </w:tcPr>
          <w:p>
            <w:pPr>
              <w:spacing w:after="0"/>
              <w:rPr>
                <w:sz w:val="14"/>
                <w:szCs w:val="14"/>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85,409</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5.4 %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1,595,149</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8"/>
                <w:szCs w:val="18"/>
                <w:color w:val="auto"/>
              </w:rPr>
            </w:pPr>
          </w:p>
        </w:tc>
      </w:tr>
      <w:tr>
        <w:trPr>
          <w:trHeight w:val="111"/>
        </w:trPr>
        <w:tc>
          <w:tcPr>
            <w:tcW w:w="3340" w:type="dxa"/>
            <w:vAlign w:val="bottom"/>
            <w:tcBorders>
              <w:top w:val="single" w:sz="8" w:color="CCEEFF"/>
              <w:bottom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Less: Deferred fees (cost)</w:t>
            </w:r>
          </w:p>
        </w:tc>
        <w:tc>
          <w:tcPr>
            <w:tcW w:w="140" w:type="dxa"/>
            <w:vAlign w:val="bottom"/>
            <w:tcBorders>
              <w:top w:val="single" w:sz="8" w:color="CCEEFF"/>
              <w:bottom w:val="single" w:sz="8" w:color="auto"/>
            </w:tcBorders>
            <w:shd w:val="clear" w:color="auto" w:fill="CCEEFF"/>
          </w:tcPr>
          <w:p>
            <w:pPr>
              <w:spacing w:after="0"/>
              <w:rPr>
                <w:sz w:val="9"/>
                <w:szCs w:val="9"/>
                <w:color w:val="auto"/>
              </w:rPr>
            </w:pPr>
          </w:p>
        </w:tc>
        <w:tc>
          <w:tcPr>
            <w:tcW w:w="9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(810)</w:t>
            </w: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(110)</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4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loans net of deferred fees (cost)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1,595,959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1,507,338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18,815</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1,577,144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1,489,851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Total loans, net of unearned fees/cost, increased by $88.6 million, or 11.9% annualized, at June 30, 2023 compared to December 31, 2022. The commercial and industrial, and to a lesser extent, consumer and other and commercial real estate segments had the most significant growth partially offset by modest declines in the residential real estate and correspondent bank loan segments.</w:t>
      </w:r>
    </w:p>
    <w:p>
      <w:pPr>
        <w:spacing w:after="0" w:line="143" w:lineRule="exact"/>
        <w:rPr>
          <w:sz w:val="20"/>
          <w:szCs w:val="20"/>
          <w:color w:val="auto"/>
        </w:rPr>
      </w:pPr>
    </w:p>
    <w:p>
      <w:pPr>
        <w:jc w:val="both"/>
        <w:ind w:left="660" w:right="659" w:firstLine="256"/>
        <w:spacing w:after="0" w:line="260"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62.0% of the total gross loan portfolio as of June 30, 2023. Our loan growth strategy since inception has been reflective of the market in which we operate and of our strategic plan as approved by the Board.</w:t>
      </w:r>
    </w:p>
    <w:p>
      <w:pPr>
        <w:spacing w:after="0" w:line="128"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Most of the commercial real estate exposure represents loans to commercial businesses secured by owner-occupied real estate. 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33"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for the loan portfolio at June 30,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2023 (in thousands):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9,924</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15,866</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83,937</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73,366</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79,586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167,334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732,553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87,463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169,401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85,409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3,037</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1,888</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11,612</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151,308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183,260</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221,263</w:t>
            </w:r>
          </w:p>
        </w:tc>
        <w:tc>
          <w:tcPr>
            <w:tcW w:w="18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915,565</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275,061</w:t>
            </w:r>
          </w:p>
        </w:tc>
        <w:tc>
          <w:tcPr>
            <w:tcW w:w="200" w:type="dxa"/>
            <w:vAlign w:val="bottom"/>
            <w:gridSpan w:val="4"/>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1,595,149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161,350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122,412</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162,484</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164,385</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610,631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98,851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753,081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110,676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984,518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Total gross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183,260</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221,263</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915,565</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275,061</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1,595,149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right="659" w:firstLine="256"/>
        <w:spacing w:after="0" w:line="249"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 rate modifications are discussed as well.</w:t>
      </w:r>
    </w:p>
    <w:p>
      <w:pPr>
        <w:spacing w:after="0" w:line="146"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As of June 30, 2023, approximately 61.7% of the loans have adjustable/variable rates and 38.3% of the loans have fixed rates. The adjustable/variable rate loans re-price to different benchmarks and tenors in different periods of time. By contractual characteristics, there are no material concentrations on anniversary repricing. Additionally, it is important to note</w:t>
      </w:r>
    </w:p>
    <w:p>
      <w:pPr>
        <w:spacing w:after="0" w:line="35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67" w:lineRule="auto"/>
        <w:rPr>
          <w:sz w:val="20"/>
          <w:szCs w:val="20"/>
          <w:color w:val="auto"/>
        </w:rPr>
      </w:pPr>
      <w:r>
        <w:rPr>
          <w:rFonts w:ascii="Arial" w:cs="Arial" w:eastAsia="Arial" w:hAnsi="Arial"/>
          <w:sz w:val="14"/>
          <w:szCs w:val="14"/>
          <w:color w:val="auto"/>
        </w:rPr>
        <w:t>that most of our loans have interest rate floors. This embedded option protects the Company from a decrease in interest rates below the floor and positions us to gain in the scenario of higher interest rates.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6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79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80" w:right="81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80" w:right="719"/>
        <w:spacing w:after="0" w:line="266"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9"/>
              </w:rPr>
              <w:t>June 30, 2023</w:t>
            </w: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183,093</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986,874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989,401</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168,565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169,401</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85,409</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167,845</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1,591,786</w:t>
            </w:r>
          </w:p>
        </w:tc>
        <w:tc>
          <w:tcPr>
            <w:tcW w:w="20" w:type="dxa"/>
            <w:vAlign w:val="bottom"/>
          </w:tcPr>
          <w:p>
            <w:pPr>
              <w:spacing w:after="0"/>
              <w:rPr>
                <w:sz w:val="14"/>
                <w:szCs w:val="14"/>
                <w:color w:val="auto"/>
              </w:rPr>
            </w:pPr>
          </w:p>
        </w:tc>
        <w:tc>
          <w:tcPr>
            <w:tcW w:w="560" w:type="dxa"/>
            <w:vAlign w:val="bottom"/>
            <w:gridSpan w:val="2"/>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3,363</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1,595,149</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right="776"/>
              <w:spacing w:after="0"/>
              <w:rPr>
                <w:sz w:val="20"/>
                <w:szCs w:val="20"/>
                <w:color w:val="auto"/>
              </w:rPr>
            </w:pPr>
            <w:r>
              <w:rPr>
                <w:rFonts w:ascii="Arial" w:cs="Arial" w:eastAsia="Arial" w:hAnsi="Arial"/>
                <w:sz w:val="13"/>
                <w:szCs w:val="13"/>
                <w:b w:val="1"/>
                <w:bCs w:val="1"/>
                <w:color w:val="auto"/>
                <w:w w:val="99"/>
              </w:rPr>
              <w:t>December 31, 2022</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1"/>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967,465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20" w:type="dxa"/>
            <w:vAlign w:val="bottom"/>
            <w:shd w:val="clear" w:color="auto" w:fill="CCEEFF"/>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Foreign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1,503,280</w:t>
            </w:r>
          </w:p>
        </w:tc>
        <w:tc>
          <w:tcPr>
            <w:tcW w:w="20" w:type="dxa"/>
            <w:vAlign w:val="bottom"/>
          </w:tcPr>
          <w:p>
            <w:pPr>
              <w:spacing w:after="0"/>
              <w:rPr>
                <w:sz w:val="14"/>
                <w:szCs w:val="14"/>
                <w:color w:val="auto"/>
              </w:rPr>
            </w:pPr>
          </w:p>
        </w:tc>
        <w:tc>
          <w:tcPr>
            <w:tcW w:w="560" w:type="dxa"/>
            <w:vAlign w:val="bottom"/>
            <w:gridSpan w:val="2"/>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3,948</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3"/>
                <w:szCs w:val="13"/>
                <w:b w:val="1"/>
                <w:bCs w:val="1"/>
                <w:color w:val="auto"/>
                <w:w w:val="96"/>
              </w:rPr>
              <w:t>June 30, 2023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51"/>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non-performing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486</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real estate owned</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200" w:type="dxa"/>
            <w:vAlign w:val="bottom"/>
            <w:shd w:val="clear" w:color="auto" w:fill="CCEEFF"/>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Total non-performing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486</w:t>
            </w:r>
          </w:p>
        </w:tc>
        <w:tc>
          <w:tcPr>
            <w:tcW w:w="6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81" w:right="1440" w:bottom="1440" w:gutter="0" w:footer="0" w:header="0"/>
        </w:sectPr>
      </w:pPr>
    </w:p>
    <w:p>
      <w:pPr>
        <w:ind w:left="660"/>
        <w:spacing w:after="0" w:line="224" w:lineRule="auto"/>
        <w:rPr>
          <w:sz w:val="20"/>
          <w:szCs w:val="20"/>
          <w:color w:val="auto"/>
        </w:rPr>
      </w:pPr>
      <w:r>
        <w:rPr>
          <w:rFonts w:ascii="Arial" w:cs="Arial" w:eastAsia="Arial" w:hAnsi="Arial"/>
          <w:sz w:val="13"/>
          <w:szCs w:val="13"/>
          <w:b w:val="1"/>
          <w:bCs w:val="1"/>
          <w:color w:val="auto"/>
        </w:rPr>
        <w:t xml:space="preserve">Asset quality ratios: </w:t>
      </w:r>
      <w:r>
        <w:rPr>
          <w:rFonts w:ascii="Arial" w:cs="Arial" w:eastAsia="Arial" w:hAnsi="Arial"/>
          <w:sz w:val="17"/>
          <w:szCs w:val="17"/>
          <w:b w:val="1"/>
          <w:bCs w:val="1"/>
          <w:color w:val="auto"/>
          <w:vertAlign w:val="superscript"/>
        </w:rPr>
        <w:t>(1)</w:t>
      </w:r>
    </w:p>
    <w:p>
      <w:pPr>
        <w:ind w:left="760"/>
        <w:spacing w:after="0"/>
        <w:rPr>
          <w:sz w:val="20"/>
          <w:szCs w:val="20"/>
          <w:color w:val="auto"/>
        </w:rPr>
      </w:pPr>
      <w:r>
        <w:rPr>
          <w:rFonts w:ascii="Arial" w:cs="Arial" w:eastAsia="Arial" w:hAnsi="Arial"/>
          <w:sz w:val="13"/>
          <w:szCs w:val="13"/>
          <w:color w:val="auto"/>
        </w:rPr>
        <w:t>Allowance for credit losses to total loans</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Allowance for credit losses to non-performing loans</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Non-performing loans to total loans</w:t>
      </w:r>
    </w:p>
    <w:p>
      <w:pPr>
        <w:ind w:left="800" w:hanging="137"/>
        <w:spacing w:after="0"/>
        <w:tabs>
          <w:tab w:leader="none" w:pos="80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ACL was calculated under CECL methodology for 2023, and incurred loss methodology for 2022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jc w:val="right"/>
              <w:ind w:right="436"/>
              <w:spacing w:after="0"/>
              <w:rPr>
                <w:sz w:val="20"/>
                <w:szCs w:val="20"/>
                <w:color w:val="auto"/>
              </w:rPr>
            </w:pPr>
            <w:r>
              <w:rPr>
                <w:rFonts w:ascii="Arial" w:cs="Arial" w:eastAsia="Arial" w:hAnsi="Arial"/>
                <w:sz w:val="13"/>
                <w:szCs w:val="13"/>
                <w:color w:val="auto"/>
              </w:rPr>
              <w:t>1.18%</w:t>
            </w:r>
          </w:p>
        </w:tc>
        <w:tc>
          <w:tcPr>
            <w:tcW w:w="86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71"/>
        </w:trPr>
        <w:tc>
          <w:tcPr>
            <w:tcW w:w="900" w:type="dxa"/>
            <w:vAlign w:val="bottom"/>
          </w:tcPr>
          <w:p>
            <w:pPr>
              <w:jc w:val="right"/>
              <w:ind w:right="436"/>
              <w:spacing w:after="0"/>
              <w:rPr>
                <w:sz w:val="20"/>
                <w:szCs w:val="20"/>
                <w:color w:val="auto"/>
              </w:rPr>
            </w:pPr>
            <w:r>
              <w:rPr>
                <w:rFonts w:ascii="Arial" w:cs="Arial" w:eastAsia="Arial" w:hAnsi="Arial"/>
                <w:sz w:val="13"/>
                <w:szCs w:val="13"/>
                <w:color w:val="auto"/>
                <w:w w:val="93"/>
              </w:rPr>
              <w:t>3871%</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900" w:type="dxa"/>
            <w:vAlign w:val="bottom"/>
          </w:tcPr>
          <w:p>
            <w:pPr>
              <w:jc w:val="right"/>
              <w:ind w:right="436"/>
              <w:spacing w:after="0"/>
              <w:rPr>
                <w:sz w:val="20"/>
                <w:szCs w:val="20"/>
                <w:color w:val="auto"/>
              </w:rPr>
            </w:pPr>
            <w:r>
              <w:rPr>
                <w:rFonts w:ascii="Arial" w:cs="Arial" w:eastAsia="Arial" w:hAnsi="Arial"/>
                <w:sz w:val="13"/>
                <w:szCs w:val="13"/>
                <w:color w:val="auto"/>
              </w:rPr>
              <w:t>0.03%</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r>
    </w:tbl>
    <w:p>
      <w:pPr>
        <w:spacing w:after="0" w:line="346" w:lineRule="exact"/>
        <w:rPr>
          <w:sz w:val="20"/>
          <w:szCs w:val="20"/>
          <w:color w:val="auto"/>
        </w:rPr>
      </w:pPr>
    </w:p>
    <w:p>
      <w:pPr>
        <w:sectPr>
          <w:pgSz w:w="11900" w:h="16838" w:orient="portrait"/>
          <w:cols w:equalWidth="0" w:num="2">
            <w:col w:w="6240" w:space="300"/>
            <w:col w:w="2479"/>
          </w:cols>
          <w:pgMar w:left="1440" w:top="481" w:right="1440" w:bottom="1440" w:gutter="0" w:footer="0" w:header="0"/>
          <w:type w:val="continuous"/>
        </w:sectPr>
      </w:pPr>
    </w:p>
    <w:p>
      <w:pPr>
        <w:jc w:val="both"/>
        <w:ind w:left="660" w:right="659" w:firstLine="256"/>
        <w:spacing w:after="0" w:line="249" w:lineRule="auto"/>
        <w:rPr>
          <w:sz w:val="20"/>
          <w:szCs w:val="20"/>
          <w:color w:val="auto"/>
        </w:rPr>
      </w:pPr>
      <w:r>
        <w:rPr>
          <w:rFonts w:ascii="Arial" w:cs="Arial" w:eastAsia="Arial" w:hAnsi="Arial"/>
          <w:sz w:val="14"/>
          <w:szCs w:val="14"/>
          <w:color w:val="auto"/>
        </w:rPr>
        <w:t>Non-performing assets include all loans categorized as non-accrual or restructured, impaired securities,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46"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w:t>
      </w:r>
    </w:p>
    <w:p>
      <w:pPr>
        <w:spacing w:after="0" w:line="137"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client’s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33"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For further discussion on non-performing loans and borrowers experiencing financial difficulties, see Note 3 “Loans” to the unaudited Consolidated Financial Statements of this Form 10-Q.</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76"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On January 1, 2023, the Company adopted FASB ASU 2016-13, which introduced the current expected credit losses (CECL) methodology and required us to estimate all expected credit losses over the remaining life of our loan portfolio. Accordingly, the ACL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in Item 1 of Part 1 of this Form 10-Q for more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type w:val="continuous"/>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ACL and net charge-offs to average loans by type for the periods indicated (in thousands):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5"/>
              </w:rPr>
              <w:t>Residential</w:t>
            </w:r>
          </w:p>
        </w:tc>
        <w:tc>
          <w:tcPr>
            <w:tcW w:w="20" w:type="dxa"/>
            <w:vAlign w:val="bottom"/>
          </w:tcPr>
          <w:p>
            <w:pPr>
              <w:spacing w:after="0"/>
              <w:rPr>
                <w:sz w:val="13"/>
                <w:szCs w:val="13"/>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9"/>
              </w:rPr>
              <w:t>Commercial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Consumer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7"/>
              </w:rPr>
              <w:t>Banks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June 30, 2023</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10,453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2,367</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2,476</w:t>
            </w:r>
          </w:p>
        </w:tc>
        <w:tc>
          <w:tcPr>
            <w:tcW w:w="4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18,887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1"/>
        </w:trPr>
        <w:tc>
          <w:tcPr>
            <w:tcW w:w="2500" w:type="dxa"/>
            <w:vAlign w:val="bottom"/>
          </w:tcPr>
          <w:p>
            <w:pPr>
              <w:spacing w:after="0"/>
              <w:rPr>
                <w:sz w:val="20"/>
                <w:szCs w:val="20"/>
                <w:color w:val="auto"/>
              </w:rPr>
            </w:pPr>
            <w:r>
              <w:rPr>
                <w:rFonts w:ascii="Arial" w:cs="Arial" w:eastAsia="Arial" w:hAnsi="Arial"/>
                <w:sz w:val="13"/>
                <w:szCs w:val="13"/>
                <w:color w:val="auto"/>
              </w:rPr>
              <w:t>Ending Balance</w:t>
            </w: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2,500</w:t>
            </w:r>
          </w:p>
        </w:tc>
        <w:tc>
          <w:tcPr>
            <w:tcW w:w="40" w:type="dxa"/>
            <w:vAlign w:val="bottom"/>
            <w:gridSpan w:val="2"/>
          </w:tcPr>
          <w:p>
            <w:pPr>
              <w:spacing w:after="0"/>
              <w:rPr>
                <w:sz w:val="17"/>
                <w:szCs w:val="17"/>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2,782</w:t>
            </w:r>
          </w:p>
        </w:tc>
        <w:tc>
          <w:tcPr>
            <w:tcW w:w="40" w:type="dxa"/>
            <w:vAlign w:val="bottom"/>
          </w:tcPr>
          <w:p>
            <w:pPr>
              <w:spacing w:after="0"/>
              <w:rPr>
                <w:sz w:val="17"/>
                <w:szCs w:val="17"/>
                <w:color w:val="auto"/>
              </w:rPr>
            </w:pPr>
          </w:p>
        </w:tc>
        <w:tc>
          <w:tcPr>
            <w:tcW w:w="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9019"/>
          </w:cols>
          <w:pgMar w:left="1440" w:top="481" w:right="1440" w:bottom="1440" w:gutter="0" w:footer="0" w:header="0"/>
        </w:sectPr>
      </w:pPr>
    </w:p>
    <w:tbl>
      <w:tblPr>
        <w:tblLayout w:type="fixed"/>
        <w:tblInd w:w="660" w:type="dxa"/>
        <w:tblCellMar>
          <w:top w:w="0" w:type="dxa"/>
          <w:left w:w="0" w:type="dxa"/>
          <w:bottom w:w="0" w:type="dxa"/>
          <w:right w:w="0" w:type="dxa"/>
        </w:tblCellMar>
      </w:tblPr>
      <w:tr>
        <w:trPr>
          <w:trHeight w:val="171"/>
        </w:trPr>
        <w:tc>
          <w:tcPr>
            <w:tcW w:w="2180" w:type="dxa"/>
            <w:vAlign w:val="bottom"/>
          </w:tcPr>
          <w:p>
            <w:pPr>
              <w:spacing w:after="0"/>
              <w:rPr>
                <w:sz w:val="20"/>
                <w:szCs w:val="20"/>
                <w:color w:val="auto"/>
              </w:rPr>
            </w:pPr>
            <w:r>
              <w:rPr>
                <w:rFonts w:ascii="Arial" w:cs="Arial" w:eastAsia="Arial" w:hAnsi="Arial"/>
                <w:sz w:val="13"/>
                <w:szCs w:val="13"/>
                <w:color w:val="auto"/>
              </w:rPr>
              <w:t>Average loans</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2180" w:type="dxa"/>
            <w:vAlign w:val="bottom"/>
            <w:vMerge w:val="restart"/>
          </w:tcPr>
          <w:p>
            <w:pPr>
              <w:spacing w:after="0"/>
              <w:rPr>
                <w:sz w:val="20"/>
                <w:szCs w:val="20"/>
                <w:color w:val="auto"/>
              </w:rPr>
            </w:pPr>
            <w:r>
              <w:rPr>
                <w:rFonts w:ascii="Arial" w:cs="Arial" w:eastAsia="Arial" w:hAnsi="Arial"/>
                <w:sz w:val="13"/>
                <w:szCs w:val="13"/>
                <w:color w:val="auto"/>
              </w:rPr>
              <w:t>Net charge-offs to average loans</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Six Months Ended June 30, 2023</w:t>
      </w:r>
    </w:p>
    <w:p>
      <w:pPr>
        <w:spacing w:after="0" w:line="30"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13"/>
          <w:szCs w:val="13"/>
          <w:color w:val="auto"/>
        </w:rPr>
        <w:t>Beginning balance</w:t>
      </w:r>
      <w:r>
        <w:rPr>
          <w:sz w:val="20"/>
          <w:szCs w:val="20"/>
          <w:color w:val="auto"/>
        </w:rPr>
        <w:tab/>
      </w:r>
      <w:r>
        <w:rPr>
          <w:rFonts w:ascii="Arial" w:cs="Arial" w:eastAsia="Arial" w:hAnsi="Arial"/>
          <w:sz w:val="10"/>
          <w:szCs w:val="10"/>
          <w:color w:val="auto"/>
        </w:rPr>
        <w:t>$</w:t>
      </w:r>
    </w:p>
    <w:p>
      <w:pPr>
        <w:spacing w:after="0" w:line="52" w:lineRule="exact"/>
        <w:rPr>
          <w:sz w:val="20"/>
          <w:szCs w:val="20"/>
          <w:color w:val="auto"/>
        </w:rPr>
      </w:pPr>
    </w:p>
    <w:p>
      <w:pPr>
        <w:ind w:left="660" w:right="160"/>
        <w:spacing w:after="0"/>
        <w:rPr>
          <w:sz w:val="20"/>
          <w:szCs w:val="20"/>
          <w:color w:val="auto"/>
        </w:rPr>
      </w:pPr>
      <w:r>
        <w:rPr>
          <w:rFonts w:ascii="Arial" w:cs="Arial" w:eastAsia="Arial" w:hAnsi="Arial"/>
          <w:sz w:val="13"/>
          <w:szCs w:val="13"/>
          <w:color w:val="auto"/>
        </w:rPr>
        <w:t xml:space="preserve">Cumulative effect of adoption of accounting principle </w:t>
      </w:r>
      <w:r>
        <w:rPr>
          <w:rFonts w:ascii="Arial" w:cs="Arial" w:eastAsia="Arial" w:hAnsi="Arial"/>
          <w:sz w:val="17"/>
          <w:szCs w:val="17"/>
          <w:color w:val="auto"/>
          <w:vertAlign w:val="superscript"/>
        </w:rPr>
        <w:t>(2)</w:t>
      </w:r>
    </w:p>
    <w:tbl>
      <w:tblPr>
        <w:tblLayout w:type="fixed"/>
        <w:tblInd w:w="660" w:type="dxa"/>
        <w:tblCellMar>
          <w:top w:w="0" w:type="dxa"/>
          <w:left w:w="0" w:type="dxa"/>
          <w:bottom w:w="0" w:type="dxa"/>
          <w:right w:w="0" w:type="dxa"/>
        </w:tblCellMar>
      </w:tblPr>
      <w:tr>
        <w:trPr>
          <w:trHeight w:val="188"/>
        </w:trPr>
        <w:tc>
          <w:tcPr>
            <w:tcW w:w="2500" w:type="dxa"/>
            <w:vAlign w:val="bottom"/>
          </w:tcPr>
          <w:p>
            <w:pPr>
              <w:spacing w:after="0" w:line="189"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Charge-offs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5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0" w:type="dxa"/>
            <w:vAlign w:val="bottom"/>
          </w:tcPr>
          <w:p>
            <w:pPr>
              <w:spacing w:after="0"/>
              <w:rPr>
                <w:sz w:val="1"/>
                <w:szCs w:val="1"/>
                <w:color w:val="auto"/>
              </w:rPr>
            </w:pPr>
          </w:p>
        </w:tc>
      </w:tr>
      <w:tr>
        <w:trPr>
          <w:trHeight w:val="213"/>
        </w:trPr>
        <w:tc>
          <w:tcPr>
            <w:tcW w:w="2500" w:type="dxa"/>
            <w:vAlign w:val="bottom"/>
            <w:vMerge w:val="restart"/>
          </w:tcPr>
          <w:p>
            <w:pPr>
              <w:spacing w:after="0"/>
              <w:rPr>
                <w:sz w:val="20"/>
                <w:szCs w:val="20"/>
                <w:color w:val="auto"/>
              </w:rPr>
            </w:pPr>
            <w:r>
              <w:rPr>
                <w:rFonts w:ascii="Arial" w:cs="Arial" w:eastAsia="Arial" w:hAnsi="Arial"/>
                <w:sz w:val="13"/>
                <w:szCs w:val="13"/>
                <w:color w:val="auto"/>
              </w:rPr>
              <w:t>Average loans</w:t>
            </w:r>
          </w:p>
        </w:tc>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5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0" w:type="dxa"/>
            <w:vAlign w:val="bottom"/>
          </w:tcPr>
          <w:p>
            <w:pPr>
              <w:spacing w:after="0"/>
              <w:rPr>
                <w:sz w:val="1"/>
                <w:szCs w:val="1"/>
                <w:color w:val="auto"/>
              </w:rPr>
            </w:pPr>
          </w:p>
        </w:tc>
      </w:tr>
      <w:tr>
        <w:trPr>
          <w:trHeight w:val="177"/>
        </w:trPr>
        <w:tc>
          <w:tcPr>
            <w:tcW w:w="2500" w:type="dxa"/>
            <w:vAlign w:val="bottom"/>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jc w:val="right"/>
              <w:spacing w:after="0"/>
              <w:rPr>
                <w:sz w:val="20"/>
                <w:szCs w:val="20"/>
                <w:color w:val="auto"/>
              </w:rPr>
            </w:pPr>
            <w:r>
              <w:rPr>
                <w:rFonts w:ascii="Arial" w:cs="Arial" w:eastAsia="Arial" w:hAnsi="Arial"/>
                <w:sz w:val="13"/>
                <w:szCs w:val="13"/>
                <w:color w:val="auto"/>
                <w:w w:val="93"/>
              </w:rPr>
              <w:t>180,945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983,926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155,241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96,399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152,755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1,569,266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00" w:type="dxa"/>
            <w:vAlign w:val="bottom"/>
          </w:tcPr>
          <w:p>
            <w:pPr>
              <w:jc w:val="right"/>
              <w:spacing w:after="0"/>
              <w:rPr>
                <w:sz w:val="20"/>
                <w:szCs w:val="20"/>
                <w:color w:val="auto"/>
              </w:rPr>
            </w:pPr>
            <w:r>
              <w:rPr>
                <w:rFonts w:ascii="Arial" w:cs="Arial" w:eastAsia="Arial" w:hAnsi="Arial"/>
                <w:sz w:val="13"/>
                <w:szCs w:val="13"/>
                <w:color w:val="auto"/>
              </w:rPr>
              <w:t>0.00%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0.10%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529"/>
        </w:trPr>
        <w:tc>
          <w:tcPr>
            <w:tcW w:w="500" w:type="dxa"/>
            <w:vAlign w:val="bottom"/>
          </w:tcPr>
          <w:p>
            <w:pPr>
              <w:jc w:val="right"/>
              <w:spacing w:after="0"/>
              <w:rPr>
                <w:sz w:val="20"/>
                <w:szCs w:val="20"/>
                <w:color w:val="auto"/>
              </w:rPr>
            </w:pPr>
            <w:r>
              <w:rPr>
                <w:rFonts w:ascii="Arial" w:cs="Arial" w:eastAsia="Arial" w:hAnsi="Arial"/>
                <w:sz w:val="13"/>
                <w:szCs w:val="13"/>
                <w:color w:val="auto"/>
              </w:rPr>
              <w:t>1,352</w:t>
            </w:r>
          </w:p>
        </w:tc>
        <w:tc>
          <w:tcPr>
            <w:tcW w:w="260" w:type="dxa"/>
            <w:vAlign w:val="bottom"/>
            <w:gridSpan w:val="2"/>
          </w:tcPr>
          <w:p>
            <w:pPr>
              <w:jc w:val="right"/>
              <w:ind w:right="9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24"/>
                <w:szCs w:val="24"/>
                <w:color w:val="auto"/>
              </w:rPr>
            </w:pPr>
          </w:p>
        </w:tc>
        <w:tc>
          <w:tcPr>
            <w:tcW w:w="260" w:type="dxa"/>
            <w:vAlign w:val="bottom"/>
            <w:gridSpan w:val="2"/>
          </w:tcPr>
          <w:p>
            <w:pPr>
              <w:jc w:val="right"/>
              <w:ind w:right="92"/>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4,163</w:t>
            </w:r>
          </w:p>
        </w:tc>
        <w:tc>
          <w:tcPr>
            <w:tcW w:w="240" w:type="dxa"/>
            <w:vAlign w:val="bottom"/>
            <w:gridSpan w:val="2"/>
          </w:tcPr>
          <w:p>
            <w:pPr>
              <w:jc w:val="right"/>
              <w:ind w:right="72"/>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720</w:t>
            </w:r>
          </w:p>
        </w:tc>
        <w:tc>
          <w:tcPr>
            <w:tcW w:w="20" w:type="dxa"/>
            <w:vAlign w:val="bottom"/>
          </w:tcPr>
          <w:p>
            <w:pPr>
              <w:spacing w:after="0"/>
              <w:rPr>
                <w:sz w:val="24"/>
                <w:szCs w:val="24"/>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1,109</w:t>
            </w:r>
          </w:p>
        </w:tc>
        <w:tc>
          <w:tcPr>
            <w:tcW w:w="20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1,238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1,105</w:t>
            </w:r>
          </w:p>
        </w:tc>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20" w:type="dxa"/>
            <w:vAlign w:val="bottom"/>
            <w:vMerge w:val="restart"/>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1,066</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0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 w:type="dxa"/>
            <w:vAlign w:val="bottom"/>
          </w:tcPr>
          <w:p>
            <w:pPr>
              <w:jc w:val="right"/>
              <w:spacing w:after="0"/>
              <w:rPr>
                <w:sz w:val="20"/>
                <w:szCs w:val="20"/>
                <w:color w:val="auto"/>
              </w:rPr>
            </w:pPr>
            <w:r>
              <w:rPr>
                <w:rFonts w:ascii="Arial" w:cs="Arial" w:eastAsia="Arial" w:hAnsi="Arial"/>
                <w:sz w:val="13"/>
                <w:szCs w:val="13"/>
                <w:color w:val="auto"/>
              </w:rPr>
              <w:t>73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(1,065)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500" w:type="dxa"/>
            <w:vAlign w:val="bottom"/>
          </w:tcPr>
          <w:p>
            <w:pPr>
              <w:jc w:val="right"/>
              <w:spacing w:after="0"/>
              <w:rPr>
                <w:sz w:val="20"/>
                <w:szCs w:val="20"/>
                <w:color w:val="auto"/>
              </w:rPr>
            </w:pPr>
            <w:r>
              <w:rPr>
                <w:rFonts w:ascii="Arial" w:cs="Arial" w:eastAsia="Arial" w:hAnsi="Arial"/>
                <w:sz w:val="13"/>
                <w:szCs w:val="13"/>
                <w:color w:val="auto"/>
              </w:rPr>
              <w:t>10</w:t>
            </w:r>
          </w:p>
        </w:tc>
        <w:tc>
          <w:tcPr>
            <w:tcW w:w="60" w:type="dxa"/>
            <w:vAlign w:val="bottom"/>
            <w:tcBorders>
              <w:lef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w:t>
            </w:r>
          </w:p>
        </w:tc>
        <w:tc>
          <w:tcPr>
            <w:tcW w:w="60" w:type="dxa"/>
            <w:vAlign w:val="bottom"/>
            <w:tcBorders>
              <w:left w:val="single" w:sz="8" w:color="CCEEFF"/>
            </w:tcBorders>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3"/>
        </w:trPr>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2,673</w:t>
            </w: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10,183</w:t>
            </w: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2,500</w:t>
            </w: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677</w:t>
            </w: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2,782</w:t>
            </w: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18,815</w:t>
            </w: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0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3"/>
              </w:rPr>
              <w:t>188,630</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974,149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156,883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92,238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146,490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1,558,390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0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0" w:type="dxa"/>
            <w:vAlign w:val="bottom"/>
          </w:tcPr>
          <w:p>
            <w:pPr>
              <w:jc w:val="right"/>
              <w:spacing w:after="0"/>
              <w:rPr>
                <w:sz w:val="20"/>
                <w:szCs w:val="20"/>
                <w:color w:val="auto"/>
              </w:rPr>
            </w:pPr>
            <w:r>
              <w:rPr>
                <w:rFonts w:ascii="Arial" w:cs="Arial" w:eastAsia="Arial" w:hAnsi="Arial"/>
                <w:sz w:val="13"/>
                <w:szCs w:val="13"/>
                <w:color w:val="auto"/>
              </w:rPr>
              <w:t>-0.01%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0.06%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2">
            <w:col w:w="3280" w:space="220"/>
            <w:col w:w="5519"/>
          </w:cols>
          <w:pgMar w:left="1440" w:top="481" w:right="1440" w:bottom="1440" w:gutter="0" w:footer="0" w:header="0"/>
          <w:type w:val="continuous"/>
        </w:sectPr>
      </w:pPr>
    </w:p>
    <w:p>
      <w:pPr>
        <w:ind w:left="660" w:right="1079" w:firstLine="3"/>
        <w:spacing w:after="0" w:line="241" w:lineRule="auto"/>
        <w:tabs>
          <w:tab w:leader="none" w:pos="852"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Provision for credit losses excludes $62 thousand expense due to unfunded commitments included in other liabilities and $19 thousand expense due to investment securities held to maturity.</w:t>
      </w:r>
    </w:p>
    <w:p>
      <w:pPr>
        <w:ind w:left="860" w:hanging="197"/>
        <w:spacing w:after="0"/>
        <w:tabs>
          <w:tab w:leader="none" w:pos="8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Impact of CECL adoption on January 1, 2023</w:t>
      </w:r>
    </w:p>
    <w:p>
      <w:pPr>
        <w:spacing w:after="0" w:line="10" w:lineRule="exact"/>
        <w:rPr>
          <w:rFonts w:ascii="Arial" w:cs="Arial" w:eastAsia="Arial" w:hAnsi="Arial"/>
          <w:sz w:val="13"/>
          <w:szCs w:val="13"/>
          <w:color w:val="auto"/>
        </w:rPr>
      </w:pPr>
    </w:p>
    <w:p>
      <w:pPr>
        <w:ind w:left="660" w:right="1139" w:firstLine="3"/>
        <w:spacing w:after="0" w:line="256" w:lineRule="auto"/>
        <w:tabs>
          <w:tab w:leader="none" w:pos="852"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Provision for credit losses excludes $22 thousand release due to unfunded commitments included in other liabilities and $19 thousand expense due to investment securities held to maturity.</w:t>
      </w:r>
    </w:p>
    <w:p>
      <w:pPr>
        <w:spacing w:after="0" w:line="200" w:lineRule="exact"/>
        <w:rPr>
          <w:sz w:val="20"/>
          <w:szCs w:val="20"/>
          <w:color w:val="auto"/>
        </w:rPr>
      </w:pPr>
    </w:p>
    <w:p>
      <w:pPr>
        <w:spacing w:after="0" w:line="3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Commercial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Foreign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Consumer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and Industrial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June 30, 2022</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2,357</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9,183</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2,355</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491</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688</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9,290</w:t>
            </w:r>
          </w:p>
        </w:tc>
        <w:tc>
          <w:tcPr>
            <w:tcW w:w="60" w:type="dxa"/>
            <w:vAlign w:val="bottom"/>
            <w:gridSpan w:val="2"/>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2,671</w:t>
            </w:r>
          </w:p>
        </w:tc>
        <w:tc>
          <w:tcPr>
            <w:tcW w:w="4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651</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808</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gridSpan w:val="2"/>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198,812</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799,846</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126,434</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76,968</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94,416</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1,296,476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Six Months Ended June 30, 2022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2,498</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8,758</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2,775</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457</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569</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00" w:type="dxa"/>
            <w:vAlign w:val="bottom"/>
            <w:vMerge w:val="continue"/>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9,290</w:t>
            </w:r>
          </w:p>
        </w:tc>
        <w:tc>
          <w:tcPr>
            <w:tcW w:w="60" w:type="dxa"/>
            <w:vAlign w:val="bottom"/>
            <w:gridSpan w:val="2"/>
          </w:tcPr>
          <w:p>
            <w:pPr>
              <w:spacing w:after="0"/>
              <w:rPr>
                <w:sz w:val="17"/>
                <w:szCs w:val="17"/>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2,671</w:t>
            </w:r>
          </w:p>
        </w:tc>
        <w:tc>
          <w:tcPr>
            <w:tcW w:w="4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651</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808</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5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3"/>
                <w:szCs w:val="13"/>
                <w:color w:val="auto"/>
              </w:rPr>
              <w:t>Average loans</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198,453</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769,978</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133,009</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68,400</w:t>
            </w:r>
          </w:p>
        </w:tc>
        <w:tc>
          <w:tcPr>
            <w:tcW w:w="14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84,349</w:t>
            </w:r>
          </w:p>
        </w:tc>
        <w:tc>
          <w:tcPr>
            <w:tcW w:w="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1,254,189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Net charge-offs to average loans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type w:val="continuous"/>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As of June 30, 2023, the combined cash surrender value of all bank-owned life insurance (“BOLI”) policies was $43.3 million. Changes in cash surrender value are recorded to non-interest income in the unaudited Consolidated Statements of Operations. The Company had BOLI policies with five insurance carriers. The Company is the beneficiary of these policies.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owners and operators of these SMBs, as well as the retail/consumer relationships of the employees of these businesses.</w:t>
      </w:r>
    </w:p>
    <w:p>
      <w:pPr>
        <w:spacing w:after="0" w:line="145" w:lineRule="exact"/>
        <w:rPr>
          <w:sz w:val="20"/>
          <w:szCs w:val="20"/>
          <w:color w:val="auto"/>
        </w:rPr>
      </w:pPr>
    </w:p>
    <w:p>
      <w:pPr>
        <w:ind w:left="660" w:right="699" w:firstLine="256"/>
        <w:spacing w:after="0" w:line="283"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Three Months Ended June 30,</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Average Rate</w:t>
            </w:r>
          </w:p>
        </w:tc>
      </w:tr>
      <w:tr>
        <w:trPr>
          <w:trHeight w:val="173"/>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5"/>
                <w:szCs w:val="15"/>
                <w:color w:val="auto"/>
              </w:rPr>
            </w:pPr>
          </w:p>
        </w:tc>
        <w:tc>
          <w:tcPr>
            <w:tcW w:w="124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99"/>
              </w:rPr>
              <w:t>Average Balance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Paid</w:t>
            </w:r>
          </w:p>
        </w:tc>
      </w:tr>
      <w:tr>
        <w:trPr>
          <w:trHeight w:val="141"/>
        </w:trPr>
        <w:tc>
          <w:tcPr>
            <w:tcW w:w="32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Non-interest-bearing checking</w:t>
            </w: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601,778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644,975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2"/>
                <w:szCs w:val="12"/>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3"/>
                <w:szCs w:val="13"/>
                <w:color w:val="auto"/>
              </w:rPr>
              <w:t>Interest-bearing checking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53,561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66,349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0.10%</w:t>
            </w:r>
          </w:p>
        </w:tc>
        <w:tc>
          <w:tcPr>
            <w:tcW w:w="20" w:type="dxa"/>
            <w:vAlign w:val="bottom"/>
          </w:tcPr>
          <w:p>
            <w:pPr>
              <w:spacing w:after="0"/>
              <w:rPr>
                <w:sz w:val="14"/>
                <w:szCs w:val="14"/>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Money market and savings deposits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940,095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781,076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20" w:type="dxa"/>
            <w:vAlign w:val="bottom"/>
            <w:shd w:val="clear" w:color="auto" w:fill="CCEEFF"/>
          </w:tcPr>
          <w:p>
            <w:pPr>
              <w:spacing w:after="0"/>
              <w:rPr>
                <w:sz w:val="14"/>
                <w:szCs w:val="14"/>
                <w:color w:val="auto"/>
              </w:rPr>
            </w:pPr>
          </w:p>
        </w:tc>
      </w:tr>
      <w:tr>
        <w:trPr>
          <w:trHeight w:val="171"/>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277,001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3.11%</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224,284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0.48%</w:t>
            </w:r>
          </w:p>
        </w:tc>
        <w:tc>
          <w:tcPr>
            <w:tcW w:w="20" w:type="dxa"/>
            <w:vAlign w:val="bottom"/>
            <w:tcBorders>
              <w:bottom w:val="single" w:sz="8" w:color="CCEEFF"/>
            </w:tcBorders>
          </w:tcPr>
          <w:p>
            <w:pPr>
              <w:spacing w:after="0"/>
              <w:rPr>
                <w:sz w:val="14"/>
                <w:szCs w:val="14"/>
                <w:color w:val="auto"/>
              </w:rPr>
            </w:pPr>
          </w:p>
        </w:tc>
      </w:tr>
      <w:tr>
        <w:trPr>
          <w:trHeight w:val="161"/>
        </w:trPr>
        <w:tc>
          <w:tcPr>
            <w:tcW w:w="3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1,872,435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1,716,684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0.21%</w:t>
            </w: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The Company has a granular deposit portfolio with outstanding balances comprised of 50% in commercial deposits, 36% personal deposits, 11% public funds which are partially collateralized and 3% brokered deposits. During the second quarter ended June 30, 2023, the Company acquired $50 million in brokered deposits to boost liquidity. The Company has approximately 20 thousand deposits accounts with the majority in personal accounts, approximately 13 thousand or 64.4%. The estimated average account size of our deposit portfolio is approximately $98 thousand as of June 30, 2023. The Company also offers Insured Cash Sweep (“ICS”) and Certificate of Deposit Account Registry Service (“CDARS”) deposit products to fully insure our clients.</w:t>
      </w:r>
    </w:p>
    <w:p>
      <w:pPr>
        <w:spacing w:after="0" w:line="137" w:lineRule="exact"/>
        <w:rPr>
          <w:sz w:val="20"/>
          <w:szCs w:val="20"/>
          <w:color w:val="auto"/>
        </w:rPr>
      </w:pPr>
    </w:p>
    <w:p>
      <w:pPr>
        <w:jc w:val="both"/>
        <w:ind w:left="660" w:right="639" w:firstLine="256"/>
        <w:spacing w:after="0" w:line="260" w:lineRule="auto"/>
        <w:rPr>
          <w:sz w:val="20"/>
          <w:szCs w:val="20"/>
          <w:color w:val="auto"/>
        </w:rPr>
      </w:pPr>
      <w:r>
        <w:rPr>
          <w:rFonts w:ascii="Arial" w:cs="Arial" w:eastAsia="Arial" w:hAnsi="Arial"/>
          <w:sz w:val="14"/>
          <w:szCs w:val="14"/>
          <w:color w:val="auto"/>
        </w:rPr>
        <w:t>The uninsured deposits are estimated based on the FDIC deposit insurance limit of $250 thousand for all deposit accounts at the Company per account holder. The total estimated amount of uninsured deposits is 53.2% or $1.0 billion at June 30, 2023.</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June 30, 2023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ind w:left="200"/>
              <w:spacing w:after="0"/>
              <w:rPr>
                <w:sz w:val="20"/>
                <w:szCs w:val="20"/>
                <w:color w:val="auto"/>
              </w:rPr>
            </w:pPr>
            <w:r>
              <w:rPr>
                <w:rFonts w:ascii="Arial" w:cs="Arial" w:eastAsia="Arial" w:hAnsi="Arial"/>
                <w:sz w:val="13"/>
                <w:szCs w:val="13"/>
                <w:b w:val="1"/>
                <w:bCs w:val="1"/>
                <w:color w:val="auto"/>
              </w:rPr>
              <w:t>June 30, 2023</w:t>
            </w:r>
          </w:p>
        </w:tc>
      </w:tr>
      <w:tr>
        <w:trPr>
          <w:trHeight w:val="161"/>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30,409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260" w:type="dxa"/>
            <w:vAlign w:val="bottom"/>
          </w:tcPr>
          <w:p>
            <w:pPr>
              <w:spacing w:after="0"/>
              <w:rPr>
                <w:sz w:val="14"/>
                <w:szCs w:val="14"/>
                <w:color w:val="auto"/>
              </w:rPr>
            </w:pPr>
          </w:p>
        </w:tc>
        <w:tc>
          <w:tcPr>
            <w:tcW w:w="1460" w:type="dxa"/>
            <w:vAlign w:val="bottom"/>
          </w:tcPr>
          <w:p>
            <w:pPr>
              <w:ind w:left="1040"/>
              <w:spacing w:after="0"/>
              <w:rPr>
                <w:sz w:val="20"/>
                <w:szCs w:val="20"/>
                <w:color w:val="auto"/>
              </w:rPr>
            </w:pPr>
            <w:r>
              <w:rPr>
                <w:rFonts w:ascii="Arial" w:cs="Arial" w:eastAsia="Arial" w:hAnsi="Arial"/>
                <w:sz w:val="13"/>
                <w:szCs w:val="13"/>
                <w:color w:val="auto"/>
              </w:rPr>
              <w:t>17,692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ind w:left="1040"/>
              <w:spacing w:after="0"/>
              <w:rPr>
                <w:sz w:val="20"/>
                <w:szCs w:val="20"/>
                <w:color w:val="auto"/>
              </w:rPr>
            </w:pPr>
            <w:r>
              <w:rPr>
                <w:rFonts w:ascii="Arial" w:cs="Arial" w:eastAsia="Arial" w:hAnsi="Arial"/>
                <w:sz w:val="13"/>
                <w:szCs w:val="13"/>
                <w:color w:val="auto"/>
              </w:rPr>
              <w:t>31,672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1"/>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11,696</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61"/>
        </w:trPr>
        <w:tc>
          <w:tcPr>
            <w:tcW w:w="59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3"/>
                <w:szCs w:val="13"/>
                <w:color w:val="auto"/>
              </w:rPr>
              <w:t>91,469</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8" w:lineRule="exact"/>
        <w:rPr>
          <w:sz w:val="20"/>
          <w:szCs w:val="20"/>
          <w:color w:val="auto"/>
        </w:rPr>
      </w:pPr>
    </w:p>
    <w:p>
      <w:pPr>
        <w:ind w:left="660" w:right="799" w:firstLine="256"/>
        <w:spacing w:after="0" w:line="252" w:lineRule="auto"/>
        <w:rPr>
          <w:sz w:val="20"/>
          <w:szCs w:val="20"/>
          <w:color w:val="auto"/>
        </w:rPr>
      </w:pPr>
      <w:r>
        <w:rPr>
          <w:rFonts w:ascii="Arial" w:cs="Arial" w:eastAsia="Arial" w:hAnsi="Arial"/>
          <w:sz w:val="14"/>
          <w:szCs w:val="14"/>
          <w:color w:val="auto"/>
        </w:rPr>
        <w:t>The Company collects from commercial loan customers funds which are held in escrow for future payment of real estate taxes and insurance. These escrow funds are disbursed by the Company directly to the insurance companies and taxing authority of the borrower. Escrow funds are recorded as other liabilities.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June 30, 2023 escrow balances totaled $12.1 million compared to $3.5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As a member of the FHLB, we are eligible to obtain advances with various terms and conditions. This accessibility of additional funding allows us to efficiently and timely meet both expected and unexpected outgoing cash flows and collateral needs without adversely affecting either daily operations or the financial condition of the Company.</w:t>
      </w:r>
    </w:p>
    <w:p>
      <w:pPr>
        <w:spacing w:after="0" w:line="138"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As of June 30, 2023, we had $87.0 million of fixed-rate advances outstanding from the FHLB with a weighted average rate of 3.06%. Maturity dates for the advances range between 2023 to 2028 detailed in the table below.</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fixed rate advances as of June 30, 2023 (in thousands):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150" w:type="dxa"/>
            <w:vAlign w:val="bottom"/>
            <w:gridSpan w:val="2"/>
          </w:tcPr>
          <w:p>
            <w:pPr>
              <w:ind w:left="830"/>
              <w:spacing w:after="0"/>
              <w:rPr>
                <w:sz w:val="20"/>
                <w:szCs w:val="20"/>
                <w:color w:val="auto"/>
              </w:rPr>
            </w:pPr>
            <w:r>
              <w:rPr>
                <w:rFonts w:ascii="Arial" w:cs="Arial" w:eastAsia="Arial" w:hAnsi="Arial"/>
                <w:sz w:val="13"/>
                <w:szCs w:val="13"/>
                <w:b w:val="1"/>
                <w:bCs w:val="1"/>
                <w:color w:val="auto"/>
              </w:rPr>
              <w:t>Amount</w:t>
            </w:r>
          </w:p>
        </w:tc>
      </w:tr>
      <w:tr>
        <w:trPr>
          <w:trHeight w:val="161"/>
        </w:trPr>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0.81%</w:t>
            </w:r>
          </w:p>
        </w:tc>
        <w:tc>
          <w:tcPr>
            <w:tcW w:w="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August 17, 2023</w:t>
            </w: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3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1.04%</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30, 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13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2.05%</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March 27, 2025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213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Pr>
          <w:p>
            <w:pPr>
              <w:jc w:val="center"/>
              <w:spacing w:after="0"/>
              <w:rPr>
                <w:sz w:val="20"/>
                <w:szCs w:val="20"/>
                <w:color w:val="auto"/>
              </w:rPr>
            </w:pPr>
            <w:r>
              <w:rPr>
                <w:rFonts w:ascii="Arial" w:cs="Arial" w:eastAsia="Arial" w:hAnsi="Arial"/>
                <w:sz w:val="13"/>
                <w:szCs w:val="13"/>
                <w:color w:val="auto"/>
                <w:w w:val="97"/>
              </w:rPr>
              <w:t>1.07%</w:t>
            </w:r>
          </w:p>
        </w:tc>
        <w:tc>
          <w:tcPr>
            <w:tcW w:w="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w w:val="98"/>
              </w:rPr>
              <w:t>July 18, 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13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71"/>
        </w:trPr>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3.76%</w:t>
            </w: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January 24, 2028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213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11,000</w:t>
            </w:r>
          </w:p>
        </w:tc>
        <w:tc>
          <w:tcPr>
            <w:tcW w:w="20" w:type="dxa"/>
            <w:vAlign w:val="bottom"/>
            <w:shd w:val="clear" w:color="auto" w:fill="CCEEFF"/>
          </w:tcPr>
          <w:p>
            <w:pPr>
              <w:spacing w:after="0"/>
              <w:rPr>
                <w:sz w:val="14"/>
                <w:szCs w:val="14"/>
                <w:color w:val="auto"/>
              </w:rPr>
            </w:pPr>
          </w:p>
        </w:tc>
      </w:tr>
      <w:tr>
        <w:trPr>
          <w:trHeight w:val="171"/>
        </w:trPr>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3.77%</w:t>
            </w:r>
          </w:p>
        </w:tc>
        <w:tc>
          <w:tcPr>
            <w:tcW w:w="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Fixed</w:t>
            </w:r>
          </w:p>
        </w:tc>
        <w:tc>
          <w:tcPr>
            <w:tcW w:w="6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9"/>
              </w:rPr>
              <w:t>April 25, 2028</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213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Pr>
          <w:p>
            <w:pPr>
              <w:spacing w:after="0"/>
              <w:rPr>
                <w:sz w:val="14"/>
                <w:szCs w:val="14"/>
                <w:color w:val="auto"/>
              </w:rPr>
            </w:pPr>
          </w:p>
        </w:tc>
      </w:tr>
      <w:tr>
        <w:trPr>
          <w:trHeight w:val="172"/>
        </w:trPr>
        <w:tc>
          <w:tcPr>
            <w:tcW w:w="2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87,000</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21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We have also established Federal Funds lines of credit with our upstream correspondent banks, the BTFP, and the FRB Atlanta Discount Window to manage temporary fluctuations in our daily cash balances. As of June 30, 2023, there were no outstanding balances with any of these sources.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78"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use more conservative credit and collateral policies in making these credit commitments than we do for on-balance sheet items. We are not aware of any accounting loss to be incurred by funding these commitments; however, we maintain an allowance for off-balance sheet credit risk which is recorded under other liabilities on the unaudited Consolidated Balance Sheets.</w:t>
      </w:r>
    </w:p>
    <w:p>
      <w:pPr>
        <w:spacing w:after="0" w:line="14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61"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1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216"/>
              <w:spacing w:after="0"/>
              <w:rPr>
                <w:sz w:val="20"/>
                <w:szCs w:val="20"/>
                <w:color w:val="auto"/>
              </w:rPr>
            </w:pPr>
            <w:r>
              <w:rPr>
                <w:rFonts w:ascii="Arial" w:cs="Arial" w:eastAsia="Arial" w:hAnsi="Arial"/>
                <w:sz w:val="13"/>
                <w:szCs w:val="13"/>
                <w:b w:val="1"/>
                <w:bCs w:val="1"/>
                <w:color w:val="auto"/>
              </w:rPr>
              <w:t>June 30, 2023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51"/>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92,910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95,461</w:t>
            </w:r>
          </w:p>
        </w:tc>
        <w:tc>
          <w:tcPr>
            <w:tcW w:w="20" w:type="dxa"/>
            <w:vAlign w:val="bottom"/>
            <w:shd w:val="clear" w:color="auto" w:fill="CCEEFF"/>
          </w:tcPr>
          <w:p>
            <w:pPr>
              <w:spacing w:after="0"/>
              <w:rPr>
                <w:sz w:val="13"/>
                <w:szCs w:val="13"/>
                <w:color w:val="auto"/>
              </w:rPr>
            </w:pP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8,344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20" w:type="dxa"/>
            <w:vAlign w:val="bottom"/>
          </w:tcPr>
          <w:p>
            <w:pPr>
              <w:spacing w:after="0"/>
              <w:rPr>
                <w:sz w:val="14"/>
                <w:szCs w:val="14"/>
                <w:color w:val="auto"/>
              </w:rPr>
            </w:pPr>
          </w:p>
        </w:tc>
      </w:tr>
      <w:tr>
        <w:trPr>
          <w:trHeight w:val="161"/>
        </w:trPr>
        <w:tc>
          <w:tcPr>
            <w:tcW w:w="100" w:type="dxa"/>
            <w:vAlign w:val="bottom"/>
            <w:shd w:val="clear" w:color="auto" w:fill="CCEEFF"/>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101,254</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99,781</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w:t>
      </w:r>
    </w:p>
    <w:p>
      <w:pPr>
        <w:spacing w:after="0" w:line="146"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32"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22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policies, and procedures for managing and mitigating risks are appropriately executed within the designated lines of authority and responsibility in a timely manner.</w:t>
      </w:r>
    </w:p>
    <w:p>
      <w:pPr>
        <w:spacing w:after="0" w:line="138" w:lineRule="exact"/>
        <w:rPr>
          <w:sz w:val="20"/>
          <w:szCs w:val="20"/>
          <w:color w:val="auto"/>
        </w:rPr>
      </w:pPr>
    </w:p>
    <w:p>
      <w:pPr>
        <w:ind w:left="660" w:right="659" w:firstLine="256"/>
        <w:spacing w:after="0" w:line="267"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33" w:lineRule="exact"/>
        <w:rPr>
          <w:sz w:val="20"/>
          <w:szCs w:val="20"/>
          <w:color w:val="auto"/>
        </w:rPr>
      </w:pPr>
    </w:p>
    <w:p>
      <w:pPr>
        <w:jc w:val="both"/>
        <w:ind w:left="660" w:right="699" w:firstLine="256"/>
        <w:spacing w:after="0" w:line="267" w:lineRule="auto"/>
        <w:rPr>
          <w:sz w:val="20"/>
          <w:szCs w:val="20"/>
          <w:color w:val="auto"/>
        </w:rPr>
      </w:pPr>
      <w:r>
        <w:rPr>
          <w:rFonts w:ascii="Arial" w:cs="Arial" w:eastAsia="Arial" w:hAnsi="Arial"/>
          <w:sz w:val="14"/>
          <w:szCs w:val="14"/>
          <w:color w:val="auto"/>
        </w:rPr>
        <w:t>While some degree of IRR (“Interest Rate Risk”) is inherent to the banking business, we believe our ALCO has put in place sound risk management practices to identify, quantify, monitor, and limit IRR exposures.</w:t>
      </w:r>
    </w:p>
    <w:p>
      <w:pPr>
        <w:spacing w:after="0" w:line="133" w:lineRule="exact"/>
        <w:rPr>
          <w:sz w:val="20"/>
          <w:szCs w:val="20"/>
          <w:color w:val="auto"/>
        </w:rPr>
      </w:pPr>
    </w:p>
    <w:p>
      <w:pPr>
        <w:jc w:val="both"/>
        <w:ind w:left="660" w:right="699" w:firstLine="256"/>
        <w:spacing w:after="0" w:line="252"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44"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Income simulations are used to assess the impact of changing rates on earnings under different rates scenarios and time horizons. These simulations utilize both instantaneous and parallel changes in the level of interest rates, as well as non-parallel changes such as changing slopes (flat and steepening) and twists of the yield curve. Static simulation models are based on current exposures and assume a constant balance sheet with no new growth. Dynamic simulation analysis is also utilized to have a more comprehensive assessment on IRR. This simulation relies on detailed assumptions outlined in our budget and strategic plan, and in assumptions regarding changes in existing lines of business, new business, management strategies and client expected behavior.</w:t>
      </w:r>
    </w:p>
    <w:p>
      <w:pPr>
        <w:spacing w:after="0" w:line="148" w:lineRule="exact"/>
        <w:rPr>
          <w:sz w:val="20"/>
          <w:szCs w:val="20"/>
          <w:color w:val="auto"/>
        </w:rPr>
      </w:pPr>
    </w:p>
    <w:p>
      <w:pPr>
        <w:jc w:val="both"/>
        <w:ind w:left="660" w:right="639" w:firstLine="256"/>
        <w:spacing w:after="0" w:line="250"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According to our ALCO model, as of June 30, 2023, we had a neutral balance sheet for year one modeling and an asset sensitive balance sheet for year two modeling. Asset sensitivity indicates that our assets generally reprice faster than our liabilities, which results in a favorable impact to net interest income when market interest rates increase. Liability sensitivity indicates that our liabilities generally reprice faster than our assets, which results in a favorable impact to net interest income when market interest rates decrease. Many assumptions are used to calculate the impact of interest rate variations on our net interest income, such as asset prepayment speeds, non-maturity deposit price sensitivity, pricing correlations, deposit truncations and decay rates, and key interest rate drivers.</w:t>
      </w:r>
    </w:p>
    <w:p>
      <w:pPr>
        <w:spacing w:after="0" w:line="14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client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147"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According to our model, as of June 30, 2023, NIM most likely will remain neutral for year one and should increase for year two under static rate scenarios (an increase or decrease of 400 basis points). For the static forecast in year one, the estimated NIM will decrease from the base case scenario to a +400 basis points scenario.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in rates will have a negative impact on the EVE and lower rates, a positive impact. Results and analysis are presented quarterly to the ALCO, and strategies are defined.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67" w:lineRule="exact"/>
        <w:rPr>
          <w:sz w:val="20"/>
          <w:szCs w:val="20"/>
          <w:color w:val="auto"/>
        </w:rPr>
      </w:pPr>
    </w:p>
    <w:p>
      <w:pPr>
        <w:jc w:val="both"/>
        <w:ind w:left="660" w:right="679" w:firstLine="256"/>
        <w:spacing w:after="0" w:line="290"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20" w:lineRule="exact"/>
        <w:rPr>
          <w:sz w:val="20"/>
          <w:szCs w:val="20"/>
          <w:color w:val="auto"/>
        </w:rPr>
      </w:pPr>
    </w:p>
    <w:p>
      <w:pPr>
        <w:jc w:val="both"/>
        <w:ind w:left="660" w:right="659" w:firstLine="256"/>
        <w:spacing w:after="0" w:line="253"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32"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and contingent liquidity events.</w:t>
      </w:r>
    </w:p>
    <w:p>
      <w:pPr>
        <w:spacing w:after="0" w:line="13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Changes in macroeconomic conditions, as well as exposure to credit, market, operational, legal and reputational risks, such as cybersecurity risk, could have an unexpected impact on the Company’s liquidity risk profile and are factored into the assessment of liquidity and the ALM framework.</w:t>
      </w:r>
    </w:p>
    <w:p>
      <w:pPr>
        <w:spacing w:after="0" w:line="144" w:lineRule="exact"/>
        <w:rPr>
          <w:sz w:val="20"/>
          <w:szCs w:val="20"/>
          <w:color w:val="auto"/>
        </w:rPr>
      </w:pPr>
    </w:p>
    <w:p>
      <w:pPr>
        <w:jc w:val="both"/>
        <w:ind w:left="660" w:right="639" w:firstLine="256"/>
        <w:spacing w:after="0" w:line="260"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8"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306" w:lineRule="exact"/>
        <w:rPr>
          <w:sz w:val="20"/>
          <w:szCs w:val="20"/>
          <w:color w:val="auto"/>
        </w:rPr>
      </w:pPr>
    </w:p>
    <w:p>
      <w:pPr>
        <w:jc w:val="both"/>
        <w:ind w:left="660" w:right="639" w:firstLine="256"/>
        <w:spacing w:after="0" w:line="253"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investment security cash flows. Other potential funding sources include federal funds purchased, brokered certificates of deposit, listing services certificate of deposit, the Bank Term Funding Program, FRB Atlanta discount window, and borrowings from the FHLB. Accordingly, we believe our liquidity resources are adequate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6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of June 30, 2023, the Bank was well capitalized under the FDIC’s prompt corrective action framework. We also follow the capital conservation buffer framework, and as of June 30, 2023, we exceeded the capital conversation buffer in all capital ratios, according to our actual ratios. The following table presents the capital ratios for the Bank at the dates indicated (in thousands, except ratios).</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vMerge w:val="restart"/>
          </w:tcPr>
          <w:p>
            <w:pPr>
              <w:jc w:val="right"/>
              <w:ind w:right="276"/>
              <w:spacing w:after="0"/>
              <w:rPr>
                <w:sz w:val="20"/>
                <w:szCs w:val="20"/>
                <w:color w:val="auto"/>
              </w:rPr>
            </w:pPr>
            <w:r>
              <w:rPr>
                <w:rFonts w:ascii="Arial" w:cs="Arial" w:eastAsia="Arial" w:hAnsi="Arial"/>
                <w:sz w:val="13"/>
                <w:szCs w:val="13"/>
                <w:b w:val="1"/>
                <w:bCs w:val="1"/>
                <w:color w:val="auto"/>
              </w:rPr>
              <w:t>Minimum Capital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3"/>
          </w:tcPr>
          <w:p>
            <w:pPr>
              <w:jc w:val="center"/>
              <w:ind w:right="56"/>
              <w:spacing w:after="0"/>
              <w:rPr>
                <w:sz w:val="20"/>
                <w:szCs w:val="20"/>
                <w:color w:val="auto"/>
              </w:rPr>
            </w:pPr>
            <w:r>
              <w:rPr>
                <w:rFonts w:ascii="Arial" w:cs="Arial" w:eastAsia="Arial" w:hAnsi="Arial"/>
                <w:sz w:val="13"/>
                <w:szCs w:val="13"/>
                <w:b w:val="1"/>
                <w:bCs w:val="1"/>
                <w:color w:val="auto"/>
                <w:w w:val="97"/>
              </w:rPr>
              <w:t>To be Well Capitalized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Actual</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Requirements</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6"/>
              <w:spacing w:after="0"/>
              <w:rPr>
                <w:sz w:val="20"/>
                <w:szCs w:val="20"/>
                <w:color w:val="auto"/>
              </w:rPr>
            </w:pPr>
            <w:r>
              <w:rPr>
                <w:rFonts w:ascii="Arial" w:cs="Arial" w:eastAsia="Arial" w:hAnsi="Arial"/>
                <w:sz w:val="13"/>
                <w:szCs w:val="13"/>
                <w:b w:val="1"/>
                <w:bCs w:val="1"/>
                <w:color w:val="auto"/>
                <w:w w:val="99"/>
              </w:rPr>
              <w:t>Action Provisions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jc w:val="right"/>
              <w:ind w:right="201"/>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2023</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224,719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13.37 %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134,413</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168,017</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205,391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100,810</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134,413</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205,391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12.22 %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75,607</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109,211</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205,391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88,361</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110,451</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216,693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13.58 %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127,616</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159,520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95,712</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127,616</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198,909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12.47 %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71,784</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103,688</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83,210</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104,012</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left="660" w:right="679" w:firstLine="256"/>
        <w:spacing w:after="0" w:line="267" w:lineRule="auto"/>
        <w:rPr>
          <w:sz w:val="20"/>
          <w:szCs w:val="20"/>
          <w:color w:val="auto"/>
        </w:rPr>
      </w:pPr>
      <w:r>
        <w:rPr>
          <w:rFonts w:ascii="Arial" w:cs="Arial" w:eastAsia="Arial" w:hAnsi="Arial"/>
          <w:sz w:val="14"/>
          <w:szCs w:val="14"/>
          <w:color w:val="auto"/>
        </w:rPr>
        <w:t>The Company is not subject to capital ratios imposed by Basel III on bank holding companies because the Company is deemed to be a small bank holding company.</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78" w:lineRule="exact"/>
        <w:rPr>
          <w:sz w:val="20"/>
          <w:szCs w:val="20"/>
          <w:color w:val="auto"/>
        </w:rPr>
      </w:pPr>
    </w:p>
    <w:p>
      <w:pPr>
        <w:jc w:val="both"/>
        <w:ind w:left="660" w:right="639" w:firstLine="512"/>
        <w:spacing w:after="0" w:line="248"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our assets and liabilities are monetary in nature. As a result, interest rates have a greater impact on our performance than do the effects of general levels of inflation. Periods of high inflation are often accompanied by relatively higher interest rates, and periods of low inflation are accompanied by relatively lower interest rates. As market interest rates rise or fall in relation to the rates earned on loans and investments, the value of these assets decreases or increases respectively. Inflation can also impact core non-interest expenses associated with delivering the Company’s services.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8" w:lineRule="exact"/>
        <w:rPr>
          <w:sz w:val="20"/>
          <w:szCs w:val="20"/>
          <w:color w:val="auto"/>
        </w:rPr>
      </w:pPr>
    </w:p>
    <w:p>
      <w:pPr>
        <w:ind w:left="660" w:right="699" w:firstLine="256"/>
        <w:spacing w:after="0" w:line="267"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 -GAAP Financial Measures</w:t>
      </w:r>
    </w:p>
    <w:p>
      <w:pPr>
        <w:spacing w:after="0" w:line="167" w:lineRule="exact"/>
        <w:rPr>
          <w:sz w:val="20"/>
          <w:szCs w:val="20"/>
          <w:color w:val="auto"/>
        </w:rPr>
      </w:pPr>
    </w:p>
    <w:p>
      <w:pPr>
        <w:ind w:left="660" w:right="639" w:firstLine="256"/>
        <w:spacing w:after="0" w:line="251"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stockholders for the periods presented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50"/>
        </w:trPr>
        <w:tc>
          <w:tcPr>
            <w:tcW w:w="3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8"/>
          </w:tcPr>
          <w:p>
            <w:pPr>
              <w:jc w:val="right"/>
              <w:ind w:right="30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40"/>
        </w:trPr>
        <w:tc>
          <w:tcPr>
            <w:tcW w:w="3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6/30/2023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3/31/2023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12/31/2022</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9/30/2022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6/30/2022</w:t>
            </w:r>
          </w:p>
        </w:tc>
      </w:tr>
      <w:tr>
        <w:trPr>
          <w:trHeight w:val="151"/>
        </w:trPr>
        <w:tc>
          <w:tcPr>
            <w:tcW w:w="3220" w:type="dxa"/>
            <w:vAlign w:val="bottom"/>
            <w:tcBorders>
              <w:right w:val="single" w:sz="8" w:color="CCEEFF"/>
            </w:tcBorders>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4,196</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5,809</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4,434</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5,558</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5,295</w:t>
            </w:r>
          </w:p>
        </w:tc>
      </w:tr>
      <w:tr>
        <w:trPr>
          <w:trHeight w:val="171"/>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1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1,333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1,881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1,415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1,963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1,708</w:t>
            </w:r>
          </w:p>
        </w:tc>
      </w:tr>
      <w:tr>
        <w:trPr>
          <w:trHeight w:val="149"/>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201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880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910</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705</w:t>
            </w:r>
          </w:p>
        </w:tc>
      </w:tr>
      <w:tr>
        <w:trPr>
          <w:trHeight w:val="20"/>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1"/>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5,567</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7,891</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6,729</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8,431</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7,708</w:t>
            </w: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00"/>
        </w:trPr>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60"/>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71"/>
        </w:trPr>
        <w:tc>
          <w:tcPr>
            <w:tcW w:w="322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5,567</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7,891</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6,729</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8,431</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7,708</w:t>
            </w: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2,183,542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2,120,218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2,051,867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1,968,381</w:t>
            </w: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(2)</w:t>
            </w:r>
          </w:p>
        </w:tc>
        <w:tc>
          <w:tcPr>
            <w:tcW w:w="140" w:type="dxa"/>
            <w:vAlign w:val="bottom"/>
          </w:tcPr>
          <w:p>
            <w:pPr>
              <w:spacing w:after="0"/>
              <w:rPr>
                <w:sz w:val="13"/>
                <w:szCs w:val="13"/>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1.65%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1.57%</w:t>
            </w:r>
          </w:p>
        </w:tc>
      </w:tr>
      <w:tr>
        <w:trPr>
          <w:trHeight w:val="160"/>
        </w:trPr>
        <w:tc>
          <w:tcPr>
            <w:tcW w:w="3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71"/>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net income:</w:t>
            </w:r>
            <w:r>
              <w:rPr>
                <w:rFonts w:ascii="Arial" w:cs="Arial" w:eastAsia="Arial" w:hAnsi="Arial"/>
                <w:sz w:val="14"/>
                <w:szCs w:val="14"/>
                <w:color w:val="auto"/>
                <w:vertAlign w:val="superscript"/>
              </w:rPr>
              <w:t>(1)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5,809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4,434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5,558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5,295</w:t>
            </w: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140" w:type="dxa"/>
            <w:vAlign w:val="bottom"/>
          </w:tcPr>
          <w:p>
            <w:pPr>
              <w:spacing w:after="0"/>
              <w:rPr>
                <w:sz w:val="13"/>
                <w:szCs w:val="13"/>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(1,989)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504</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141</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w:t>
            </w:r>
          </w:p>
        </w:tc>
      </w:tr>
      <w:tr>
        <w:trPr>
          <w:trHeight w:val="163"/>
        </w:trPr>
        <w:tc>
          <w:tcPr>
            <w:tcW w:w="3220" w:type="dxa"/>
            <w:vAlign w:val="bottom"/>
          </w:tcPr>
          <w:p>
            <w:pPr>
              <w:ind w:left="200"/>
              <w:spacing w:after="0"/>
              <w:rPr>
                <w:sz w:val="20"/>
                <w:szCs w:val="20"/>
                <w:color w:val="auto"/>
              </w:rPr>
            </w:pPr>
            <w:r>
              <w:rPr>
                <w:rFonts w:ascii="Arial" w:cs="Arial" w:eastAsia="Arial" w:hAnsi="Arial"/>
                <w:sz w:val="11"/>
                <w:szCs w:val="11"/>
                <w:color w:val="auto"/>
              </w:rPr>
              <w:t>Operating net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4,196</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5,825</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5,919</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5,975</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5,297</w:t>
            </w:r>
          </w:p>
        </w:tc>
      </w:tr>
      <w:tr>
        <w:trPr>
          <w:trHeight w:val="139"/>
        </w:trPr>
        <w:tc>
          <w:tcPr>
            <w:tcW w:w="322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spacing w:after="0"/>
              <w:rPr>
                <w:sz w:val="12"/>
                <w:szCs w:val="12"/>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PTPP income:</w:t>
            </w:r>
            <w:r>
              <w:rPr>
                <w:rFonts w:ascii="Arial" w:cs="Arial" w:eastAsia="Arial" w:hAnsi="Arial"/>
                <w:sz w:val="14"/>
                <w:szCs w:val="14"/>
                <w:color w:val="auto"/>
                <w:vertAlign w:val="superscript"/>
              </w:rPr>
              <w:t>(1)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5,567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7,891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6,729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8,431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7,708</w:t>
            </w: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140" w:type="dxa"/>
            <w:vAlign w:val="bottom"/>
          </w:tcPr>
          <w:p>
            <w:pPr>
              <w:spacing w:after="0"/>
              <w:rPr>
                <w:sz w:val="13"/>
                <w:szCs w:val="13"/>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(1,989)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(558)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r>
      <w:tr>
        <w:trPr>
          <w:trHeight w:val="143"/>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5,567</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7,912</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8,718</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8,989</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7,711</w:t>
            </w:r>
          </w:p>
        </w:tc>
      </w:tr>
      <w:tr>
        <w:trPr>
          <w:trHeight w:val="13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0"/>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5,567</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7,912</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8,718</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8,989</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7,711</w:t>
            </w:r>
          </w:p>
        </w:tc>
      </w:tr>
      <w:tr>
        <w:trPr>
          <w:trHeight w:val="171"/>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2,183,542</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2,120,218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2,051,867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2,026,791</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1,968,381</w:t>
            </w: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(2)</w:t>
            </w:r>
          </w:p>
        </w:tc>
        <w:tc>
          <w:tcPr>
            <w:tcW w:w="140" w:type="dxa"/>
            <w:vAlign w:val="bottom"/>
          </w:tcPr>
          <w:p>
            <w:pPr>
              <w:spacing w:after="0"/>
              <w:rPr>
                <w:sz w:val="13"/>
                <w:szCs w:val="13"/>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1.69%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1.76%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1.57%</w:t>
            </w:r>
          </w:p>
        </w:tc>
      </w:tr>
      <w:tr>
        <w:trPr>
          <w:trHeight w:val="160"/>
        </w:trPr>
        <w:tc>
          <w:tcPr>
            <w:tcW w:w="3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4,196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5,825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5,919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5,297</w:t>
            </w: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2,183,542</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2,120,218</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2,051,867</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2,026,791</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1,968,381</w:t>
            </w: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0.77%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1.11%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1.17%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1.08%</w:t>
            </w:r>
          </w:p>
        </w:tc>
      </w:tr>
      <w:tr>
        <w:trPr>
          <w:trHeight w:val="17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0"/>
        </w:trPr>
        <w:tc>
          <w:tcPr>
            <w:tcW w:w="3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Operating return on average equity:</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60"/>
        </w:trPr>
        <w:tc>
          <w:tcPr>
            <w:tcW w:w="3220" w:type="dxa"/>
            <w:vAlign w:val="bottom"/>
          </w:tcPr>
          <w:p>
            <w:pPr>
              <w:ind w:left="100"/>
              <w:spacing w:after="0"/>
              <w:rPr>
                <w:sz w:val="20"/>
                <w:szCs w:val="20"/>
                <w:color w:val="auto"/>
              </w:rPr>
            </w:pPr>
            <w:r>
              <w:rPr>
                <w:rFonts w:ascii="Arial" w:cs="Arial" w:eastAsia="Arial" w:hAnsi="Arial"/>
                <w:sz w:val="11"/>
                <w:szCs w:val="11"/>
                <w:color w:val="auto"/>
              </w:rPr>
              <w:t>Operating net income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4,196</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5,825</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5,919</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5,975</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5,297</w:t>
            </w:r>
          </w:p>
        </w:tc>
      </w:tr>
      <w:tr>
        <w:trPr>
          <w:trHeight w:val="160"/>
        </w:trPr>
        <w:tc>
          <w:tcPr>
            <w:tcW w:w="322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Average equity</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184,238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183,371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177,556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185,288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186,597</w:t>
            </w:r>
          </w:p>
        </w:tc>
      </w:tr>
      <w:tr>
        <w:trPr>
          <w:trHeight w:val="171"/>
        </w:trPr>
        <w:tc>
          <w:tcPr>
            <w:tcW w:w="3220" w:type="dxa"/>
            <w:vAlign w:val="bottom"/>
          </w:tcPr>
          <w:p>
            <w:pPr>
              <w:ind w:left="100"/>
              <w:spacing w:after="0"/>
              <w:rPr>
                <w:sz w:val="20"/>
                <w:szCs w:val="20"/>
                <w:color w:val="auto"/>
              </w:rPr>
            </w:pPr>
            <w:r>
              <w:rPr>
                <w:rFonts w:ascii="Arial" w:cs="Arial" w:eastAsia="Arial" w:hAnsi="Arial"/>
                <w:sz w:val="11"/>
                <w:szCs w:val="11"/>
                <w:color w:val="auto"/>
              </w:rPr>
              <w:t xml:space="preserve">Operating return on average equity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9.13%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12.88%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13.23%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12.79%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11.39%</w:t>
            </w:r>
          </w:p>
        </w:tc>
      </w:tr>
      <w:tr>
        <w:trPr>
          <w:trHeight w:val="160"/>
        </w:trPr>
        <w:tc>
          <w:tcPr>
            <w:tcW w:w="3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Revenue:</w:t>
            </w:r>
            <w:r>
              <w:rPr>
                <w:rFonts w:ascii="Arial" w:cs="Arial" w:eastAsia="Arial" w:hAnsi="Arial"/>
                <w:sz w:val="14"/>
                <w:szCs w:val="14"/>
                <w:color w:val="auto"/>
                <w:vertAlign w:val="superscript"/>
              </w:rPr>
              <w:t>(1)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Net interest income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14,173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15,997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16,866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16,774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15,642</w:t>
            </w:r>
          </w:p>
        </w:tc>
      </w:tr>
      <w:tr>
        <w:trPr>
          <w:trHeight w:val="171"/>
        </w:trPr>
        <w:tc>
          <w:tcPr>
            <w:tcW w:w="3220" w:type="dxa"/>
            <w:vAlign w:val="bottom"/>
          </w:tcPr>
          <w:p>
            <w:pPr>
              <w:ind w:left="200"/>
              <w:spacing w:after="0"/>
              <w:rPr>
                <w:sz w:val="20"/>
                <w:szCs w:val="20"/>
                <w:color w:val="auto"/>
              </w:rPr>
            </w:pPr>
            <w:r>
              <w:rPr>
                <w:rFonts w:ascii="Arial" w:cs="Arial" w:eastAsia="Arial" w:hAnsi="Arial"/>
                <w:sz w:val="11"/>
                <w:szCs w:val="11"/>
                <w:color w:val="auto"/>
              </w:rPr>
              <w:t>Plus: Non-interest income</w:t>
            </w:r>
          </w:p>
        </w:tc>
        <w:tc>
          <w:tcPr>
            <w:tcW w:w="14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1,846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2,070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(123)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1,789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1,617</w:t>
            </w:r>
          </w:p>
        </w:tc>
      </w:tr>
      <w:tr>
        <w:trPr>
          <w:trHeight w:val="149"/>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Less: Net gains (losses) on sale of securities</w:t>
            </w: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(1,989)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3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221"/>
        </w:trPr>
        <w:tc>
          <w:tcPr>
            <w:tcW w:w="322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16,019</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18,088</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18,732</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19,121</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17,262</w:t>
            </w:r>
          </w:p>
        </w:tc>
      </w:tr>
      <w:tr>
        <w:trPr>
          <w:trHeight w:val="112"/>
        </w:trPr>
        <w:tc>
          <w:tcPr>
            <w:tcW w:w="3220" w:type="dxa"/>
            <w:vAlign w:val="bottom"/>
            <w:tcBorders>
              <w:top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CCEEFF"/>
            </w:tcBorders>
            <w:shd w:val="clear" w:color="auto" w:fill="CCEEFF"/>
          </w:tcPr>
          <w:p>
            <w:pPr>
              <w:spacing w:after="0"/>
              <w:rPr>
                <w:sz w:val="9"/>
                <w:szCs w:val="9"/>
                <w:color w:val="auto"/>
              </w:rPr>
            </w:pPr>
          </w:p>
        </w:tc>
      </w:tr>
      <w:tr>
        <w:trPr>
          <w:trHeight w:val="160"/>
        </w:trPr>
        <w:tc>
          <w:tcPr>
            <w:tcW w:w="3220" w:type="dxa"/>
            <w:vAlign w:val="bottom"/>
          </w:tcPr>
          <w:p>
            <w:pPr>
              <w:spacing w:after="0"/>
              <w:rPr>
                <w:sz w:val="20"/>
                <w:szCs w:val="20"/>
                <w:color w:val="auto"/>
              </w:rPr>
            </w:pPr>
            <w:r>
              <w:rPr>
                <w:rFonts w:ascii="Arial" w:cs="Arial" w:eastAsia="Arial" w:hAnsi="Arial"/>
                <w:sz w:val="11"/>
                <w:szCs w:val="11"/>
                <w:b w:val="1"/>
                <w:bCs w:val="1"/>
                <w:color w:val="auto"/>
              </w:rPr>
              <w:t>Operating Efficiency Ratio:</w:t>
            </w:r>
            <w:r>
              <w:rPr>
                <w:rFonts w:ascii="Arial" w:cs="Arial" w:eastAsia="Arial" w:hAnsi="Arial"/>
                <w:sz w:val="14"/>
                <w:szCs w:val="14"/>
                <w:color w:val="auto"/>
                <w:vertAlign w:val="superscript"/>
              </w:rPr>
              <w:t>(1)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1"/>
        </w:trPr>
        <w:tc>
          <w:tcPr>
            <w:tcW w:w="32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10,452</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10,176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10,014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10,132</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9,551</w:t>
            </w:r>
          </w:p>
        </w:tc>
      </w:tr>
      <w:tr>
        <w:trPr>
          <w:trHeight w:val="160"/>
        </w:trPr>
        <w:tc>
          <w:tcPr>
            <w:tcW w:w="3220" w:type="dxa"/>
            <w:vAlign w:val="bottom"/>
          </w:tcPr>
          <w:p>
            <w:pPr>
              <w:ind w:left="200"/>
              <w:spacing w:after="0"/>
              <w:rPr>
                <w:sz w:val="20"/>
                <w:szCs w:val="20"/>
                <w:color w:val="auto"/>
              </w:rPr>
            </w:pPr>
            <w:r>
              <w:rPr>
                <w:rFonts w:ascii="Arial" w:cs="Arial" w:eastAsia="Arial" w:hAnsi="Arial"/>
                <w:sz w:val="11"/>
                <w:szCs w:val="11"/>
                <w:color w:val="auto"/>
              </w:rPr>
              <w:t>Operating revenue</w:t>
            </w:r>
          </w:p>
        </w:tc>
        <w:tc>
          <w:tcPr>
            <w:tcW w:w="140" w:type="dxa"/>
            <w:vAlign w:val="bottom"/>
          </w:tcPr>
          <w:p>
            <w:pPr>
              <w:jc w:val="right"/>
              <w:ind w:right="77"/>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16,019</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43"/>
              <w:spacing w:after="0"/>
              <w:rPr>
                <w:sz w:val="20"/>
                <w:szCs w:val="20"/>
                <w:color w:val="auto"/>
              </w:rPr>
            </w:pPr>
            <w:r>
              <w:rPr>
                <w:rFonts w:ascii="Arial" w:cs="Arial" w:eastAsia="Arial" w:hAnsi="Arial"/>
                <w:sz w:val="11"/>
                <w:szCs w:val="11"/>
                <w:color w:val="auto"/>
              </w:rPr>
              <w:t>18,088</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18,732</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23"/>
              <w:spacing w:after="0"/>
              <w:rPr>
                <w:sz w:val="20"/>
                <w:szCs w:val="20"/>
                <w:color w:val="auto"/>
              </w:rPr>
            </w:pPr>
            <w:r>
              <w:rPr>
                <w:rFonts w:ascii="Arial" w:cs="Arial" w:eastAsia="Arial" w:hAnsi="Arial"/>
                <w:sz w:val="11"/>
                <w:szCs w:val="11"/>
                <w:color w:val="auto"/>
              </w:rPr>
              <w:t>19,121</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17,262</w:t>
            </w:r>
          </w:p>
        </w:tc>
      </w:tr>
      <w:tr>
        <w:trPr>
          <w:trHeight w:val="160"/>
        </w:trPr>
        <w:tc>
          <w:tcPr>
            <w:tcW w:w="3220" w:type="dxa"/>
            <w:vAlign w:val="bottom"/>
            <w:tcBorders>
              <w:bottom w:val="single" w:sz="8" w:color="auto"/>
              <w:right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Operating efficiency ratio</w:t>
            </w: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65.25%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1"/>
                <w:szCs w:val="11"/>
                <w:color w:val="auto"/>
              </w:rPr>
              <w:t>56.26%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53.46%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52.99%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55.33%</w:t>
            </w:r>
          </w:p>
        </w:tc>
      </w:tr>
    </w:tbl>
    <w:p>
      <w:pPr>
        <w:ind w:left="860" w:hanging="197"/>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arekey indicators of the ongoing earnings powerof the Company.</w:t>
      </w:r>
    </w:p>
    <w:p>
      <w:pPr>
        <w:spacing w:after="0" w:line="39" w:lineRule="exact"/>
        <w:rPr>
          <w:rFonts w:ascii="Arial" w:cs="Arial" w:eastAsia="Arial" w:hAnsi="Arial"/>
          <w:sz w:val="11"/>
          <w:szCs w:val="11"/>
          <w:color w:val="auto"/>
        </w:rPr>
      </w:pPr>
    </w:p>
    <w:p>
      <w:pPr>
        <w:ind w:left="860" w:hanging="197"/>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8"/>
          </w:tcPr>
          <w:p>
            <w:pPr>
              <w:jc w:val="right"/>
              <w:ind w:right="22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6/30/2023</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12/31/2022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9/30/2022</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20" w:type="dxa"/>
            <w:vAlign w:val="bottom"/>
            <w:gridSpan w:val="2"/>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Arial" w:cs="Arial" w:eastAsia="Arial" w:hAnsi="Arial"/>
                <w:sz w:val="11"/>
                <w:szCs w:val="11"/>
                <w:color w:val="auto"/>
              </w:rPr>
              <w:t>Total stockholders' equity</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183,685</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183,858</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182,428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180,068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12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183,685</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183,858</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182,428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180,068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19,544,777</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19,622,380</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0" w:type="dxa"/>
            <w:vAlign w:val="bottom"/>
            <w:shd w:val="clear" w:color="auto" w:fill="CCEEFF"/>
          </w:tcPr>
          <w:p>
            <w:pPr>
              <w:spacing w:after="0"/>
              <w:rPr>
                <w:sz w:val="13"/>
                <w:szCs w:val="13"/>
                <w:color w:val="auto"/>
              </w:rPr>
            </w:pPr>
          </w:p>
        </w:tc>
        <w:tc>
          <w:tcPr>
            <w:tcW w:w="3120" w:type="dxa"/>
            <w:vAlign w:val="bottom"/>
            <w:shd w:val="clear" w:color="auto" w:fill="CCEEFF"/>
          </w:tcPr>
          <w:p>
            <w:pPr>
              <w:spacing w:after="0" w:line="151"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9.37</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9.12</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4,196</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5,919</w:t>
            </w:r>
          </w:p>
        </w:tc>
        <w:tc>
          <w:tcPr>
            <w:tcW w:w="160" w:type="dxa"/>
            <w:vAlign w:val="bottom"/>
            <w:gridSpan w:val="3"/>
            <w:shd w:val="clear" w:color="auto" w:fill="CCEEFF"/>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19,639,682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19,940,606</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20,172,438</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20,148,208</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20,171,261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diluted net income per common share:</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Tangible Common Equity/Tangible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120" w:type="dxa"/>
            <w:vAlign w:val="bottom"/>
          </w:tcPr>
          <w:p>
            <w:pPr>
              <w:ind w:left="280"/>
              <w:spacing w:after="0"/>
              <w:rPr>
                <w:sz w:val="20"/>
                <w:szCs w:val="20"/>
                <w:color w:val="auto"/>
              </w:rPr>
            </w:pPr>
            <w:r>
              <w:rPr>
                <w:rFonts w:ascii="Arial" w:cs="Arial" w:eastAsia="Arial" w:hAnsi="Arial"/>
                <w:sz w:val="11"/>
                <w:szCs w:val="11"/>
                <w:color w:val="auto"/>
              </w:rPr>
              <w:t>Tangible stockholders' equity</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183,685</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183,858</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182,428</w:t>
            </w:r>
          </w:p>
        </w:tc>
        <w:tc>
          <w:tcPr>
            <w:tcW w:w="16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177,417</w:t>
            </w:r>
          </w:p>
        </w:tc>
        <w:tc>
          <w:tcPr>
            <w:tcW w:w="1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180,068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Tangible assets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2,225,914</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2,163,821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160" w:type="dxa"/>
            <w:vAlign w:val="bottom"/>
            <w:gridSpan w:val="3"/>
            <w:shd w:val="clear" w:color="auto" w:fill="CCEEFF"/>
          </w:tcPr>
          <w:p>
            <w:pPr>
              <w:jc w:val="right"/>
              <w:ind w:right="9"/>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2,037,453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2,016,086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00"/>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8.75%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0" w:type="dxa"/>
            <w:vAlign w:val="bottom"/>
            <w:tcBorders>
              <w:bottom w:val="single" w:sz="8" w:color="auto"/>
            </w:tcBorders>
            <w:shd w:val="clear" w:color="auto" w:fill="CCEEFF"/>
          </w:tcPr>
          <w:p>
            <w:pPr>
              <w:spacing w:after="0"/>
              <w:rPr>
                <w:sz w:val="14"/>
                <w:szCs w:val="14"/>
                <w:color w:val="auto"/>
              </w:rPr>
            </w:pPr>
          </w:p>
        </w:tc>
        <w:tc>
          <w:tcPr>
            <w:tcW w:w="3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60" w:hanging="197"/>
        <w:spacing w:after="0"/>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arekey indicators of the ongoing earnings powerof the Company.</w:t>
      </w:r>
    </w:p>
    <w:p>
      <w:pPr>
        <w:spacing w:after="0" w:line="28" w:lineRule="exact"/>
        <w:rPr>
          <w:rFonts w:ascii="Arial" w:cs="Arial" w:eastAsia="Arial" w:hAnsi="Arial"/>
          <w:sz w:val="11"/>
          <w:szCs w:val="11"/>
          <w:color w:val="auto"/>
        </w:rPr>
      </w:pPr>
    </w:p>
    <w:p>
      <w:pPr>
        <w:ind w:left="860" w:hanging="197"/>
        <w:spacing w:after="0"/>
        <w:tabs>
          <w:tab w:leader="none" w:pos="8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3.</w:t>
        <w:tab/>
        <w:t>Quantitative and Qualitative Disclosures About Market Risk</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8"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Exchange Act) as of June 30, 2023. Based on that evaluation, management believes that the Company’s disclosure controls and procedures were effective to collect, process, and disclose the information required to be disclosed in the reports filed or submitted under the Exchange Act within the required time periods as of the end of the period covered by this Form 10-Q.</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67" w:lineRule="exact"/>
        <w:rPr>
          <w:sz w:val="20"/>
          <w:szCs w:val="20"/>
          <w:color w:val="auto"/>
        </w:rPr>
      </w:pPr>
    </w:p>
    <w:p>
      <w:pPr>
        <w:jc w:val="both"/>
        <w:ind w:left="660" w:right="699" w:firstLine="256"/>
        <w:spacing w:after="0" w:line="260"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6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6" w:name="page57"/>
    <w:bookmarkEnd w:id="5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5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1.</w:t>
        <w:tab/>
        <w:t>Legal Proceedings</w:t>
      </w:r>
    </w:p>
    <w:p>
      <w:pPr>
        <w:spacing w:after="0" w:line="178" w:lineRule="exact"/>
        <w:rPr>
          <w:sz w:val="20"/>
          <w:szCs w:val="20"/>
          <w:color w:val="auto"/>
        </w:rPr>
      </w:pPr>
    </w:p>
    <w:p>
      <w:pPr>
        <w:ind w:left="660" w:right="619" w:firstLine="256"/>
        <w:spacing w:after="0" w:line="246" w:lineRule="auto"/>
        <w:rPr>
          <w:sz w:val="20"/>
          <w:szCs w:val="20"/>
          <w:color w:val="auto"/>
        </w:rPr>
      </w:pPr>
      <w:r>
        <w:rPr>
          <w:rFonts w:ascii="Arial" w:cs="Arial" w:eastAsia="Arial" w:hAnsi="Arial"/>
          <w:sz w:val="14"/>
          <w:szCs w:val="14"/>
          <w:color w:val="auto"/>
        </w:rPr>
        <w:t>On July 13, 2023, three individuals who were shareholders of the Bank prior to its reorganization into the holding company form of organization (the “Plaintiffs”) filed a lawsuit against six persons, all of whom were directors of the Bank at the relevant time (the “Defendants”), in the Circuit Court, Eleventh Judicial Circuit for Miami-Dade County (the “Court”) (Benes et al. v. de la Aguilera et al.) alleging the Defendants (i) caused the Bank, as directors thereof, to engage in ultra vires conduct by devising and approving the exchange transaction effected in July 2021 pursuant to which the Bank’s then outstanding Class C and Class D preferred stock was exchanged (the “Exchange Transaction”), which action the Plaintiffs allege was not permitted by the Bank’s Articles of Incorporation, and (ii) breached their fiduciary duty as directors of the Bank by approving and engaging in the Exchange Transaction. The Plaintiffs seek the Court to certify the action as a class action and to award damages in an amount to be proven at trial. Plaintiffs seek damages exceeding $750,000 plus attorney’s fees and costs as well as such other relief as the Court may determine. The Company believes that the allegations in the lawsuit are legally and factually without merit, and it intends to vigorously defend against the allegations in the lawsuit, pursue any potential counterclaims against the plaintiffs as it deems appropriate, and seek coverage from its insurance carriers. However, there can be no assurance that this litigation will be resolved favorably. Furthermore, there is also no assurance that we will be able to secure coverage from our insurance carriers for any expenses incurred by us in connection with this litigation. If the plaintiff shareholders are successful, the Court could award substantial compensatory damages.</w:t>
      </w:r>
    </w:p>
    <w:p>
      <w:pPr>
        <w:spacing w:after="0" w:line="149"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addition to the foregoing,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46" w:lineRule="exact"/>
        <w:rPr>
          <w:sz w:val="20"/>
          <w:szCs w:val="20"/>
          <w:color w:val="auto"/>
        </w:rPr>
      </w:pPr>
    </w:p>
    <w:p>
      <w:pPr>
        <w:jc w:val="both"/>
        <w:ind w:left="660" w:right="659" w:firstLine="256"/>
        <w:spacing w:after="0" w:line="247" w:lineRule="auto"/>
        <w:rPr>
          <w:sz w:val="20"/>
          <w:szCs w:val="20"/>
          <w:color w:val="auto"/>
        </w:rPr>
      </w:pPr>
      <w:r>
        <w:rPr>
          <w:rFonts w:ascii="Arial" w:cs="Arial" w:eastAsia="Arial" w:hAnsi="Arial"/>
          <w:sz w:val="14"/>
          <w:szCs w:val="14"/>
          <w:color w:val="auto"/>
        </w:rPr>
        <w:t>At this time, in the opinion of management, the likelihood is remote that the impact of such proceedings, either individually or in the aggregate, would have a material adverse effect on our consolidated results of operations, financial condition or cash flows. However, one or more unfavorable outcomes in any claim or litigation against us, including the aforementioned litigation regarding the Exchange Transaction, could have a material adverse effect on the period in which such claims or litigation are resolved. In addition, regardless of their merits or their ultimate outcomes, such matters are costly, divert management’s attention and may materially adversely affect our reputation, even if resolved in our favor.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67" w:lineRule="exact"/>
        <w:rPr>
          <w:sz w:val="20"/>
          <w:szCs w:val="20"/>
          <w:color w:val="auto"/>
        </w:rPr>
      </w:pPr>
    </w:p>
    <w:p>
      <w:pPr>
        <w:jc w:val="both"/>
        <w:ind w:left="660" w:right="679" w:firstLine="256"/>
        <w:spacing w:after="0" w:line="260"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2022 Form 10-K/A and see “Part II, Item 1A – Risk Factors” of the March 31, 2023 Form 10-Q.</w:t>
      </w:r>
    </w:p>
    <w:p>
      <w:pPr>
        <w:spacing w:after="0" w:line="130"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167" w:lineRule="exact"/>
        <w:rPr>
          <w:sz w:val="20"/>
          <w:szCs w:val="20"/>
          <w:color w:val="auto"/>
        </w:rPr>
      </w:pPr>
    </w:p>
    <w:p>
      <w:pPr>
        <w:ind w:left="1140" w:hanging="221"/>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None.</w:t>
      </w:r>
    </w:p>
    <w:p>
      <w:pPr>
        <w:spacing w:after="0" w:line="169" w:lineRule="exact"/>
        <w:rPr>
          <w:rFonts w:ascii="Arial" w:cs="Arial" w:eastAsia="Arial" w:hAnsi="Arial"/>
          <w:sz w:val="14"/>
          <w:szCs w:val="14"/>
          <w:color w:val="auto"/>
        </w:rPr>
      </w:pPr>
    </w:p>
    <w:p>
      <w:pPr>
        <w:ind w:left="1140" w:hanging="221"/>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69" w:lineRule="exact"/>
        <w:rPr>
          <w:rFonts w:ascii="Arial" w:cs="Arial" w:eastAsia="Arial" w:hAnsi="Arial"/>
          <w:sz w:val="14"/>
          <w:szCs w:val="14"/>
          <w:color w:val="auto"/>
        </w:rPr>
      </w:pPr>
    </w:p>
    <w:p>
      <w:pPr>
        <w:ind w:left="1120" w:hanging="201"/>
        <w:spacing w:after="0"/>
        <w:tabs>
          <w:tab w:leader="none" w:pos="11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quarter ended June 30, 2023 were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Maximum Number</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of Shares that</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May</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
              <w:spacing w:after="0"/>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70" w:type="dxa"/>
            <w:vAlign w:val="bottom"/>
          </w:tcPr>
          <w:p>
            <w:pPr>
              <w:jc w:val="center"/>
              <w:ind w:right="46"/>
              <w:spacing w:after="0"/>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Total Number of Shares Purchased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7"/>
              </w:rPr>
              <w:t>Yet Be Purchased</w:t>
            </w:r>
          </w:p>
        </w:tc>
      </w:tr>
      <w:tr>
        <w:trPr>
          <w:trHeight w:val="149"/>
        </w:trPr>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as Part of Publicly Announced Plans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Under Plans or</w:t>
            </w:r>
          </w:p>
        </w:tc>
      </w:tr>
      <w:tr>
        <w:trPr>
          <w:trHeight w:val="173"/>
        </w:trPr>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9"/>
              </w:rPr>
              <w:t>Purchased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or Programs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Programs (1)</w:t>
            </w:r>
          </w:p>
        </w:tc>
      </w:tr>
      <w:tr>
        <w:trPr>
          <w:trHeight w:val="141"/>
        </w:trPr>
        <w:tc>
          <w:tcPr>
            <w:tcW w:w="242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Period</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spacing w:after="0"/>
              <w:rPr>
                <w:sz w:val="12"/>
                <w:szCs w:val="12"/>
                <w:color w:val="auto"/>
              </w:rPr>
            </w:pPr>
          </w:p>
        </w:tc>
        <w:tc>
          <w:tcPr>
            <w:tcW w:w="67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420" w:type="dxa"/>
            <w:vAlign w:val="bottom"/>
          </w:tcPr>
          <w:p>
            <w:pPr>
              <w:ind w:left="140"/>
              <w:spacing w:after="0"/>
              <w:rPr>
                <w:sz w:val="20"/>
                <w:szCs w:val="20"/>
                <w:color w:val="auto"/>
              </w:rPr>
            </w:pPr>
            <w:r>
              <w:rPr>
                <w:rFonts w:ascii="Arial" w:cs="Arial" w:eastAsia="Arial" w:hAnsi="Arial"/>
                <w:sz w:val="13"/>
                <w:szCs w:val="13"/>
                <w:color w:val="auto"/>
              </w:rPr>
              <w:t>April 1 - 30, 2023</w:t>
            </w:r>
          </w:p>
        </w:tc>
        <w:tc>
          <w:tcPr>
            <w:tcW w:w="90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7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Pr>
          <w:p>
            <w:pPr>
              <w:spacing w:after="0"/>
              <w:rPr>
                <w:sz w:val="14"/>
                <w:szCs w:val="14"/>
                <w:color w:val="auto"/>
              </w:rPr>
            </w:pPr>
          </w:p>
        </w:tc>
      </w:tr>
      <w:tr>
        <w:trPr>
          <w:trHeight w:val="151"/>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May 1 - 31, 2023</w:t>
            </w:r>
          </w:p>
        </w:tc>
        <w:tc>
          <w:tcPr>
            <w:tcW w:w="140" w:type="dxa"/>
            <w:vAlign w:val="bottom"/>
            <w:tcBorders>
              <w:bottom w:val="single" w:sz="8" w:color="CCEEFF"/>
            </w:tcBorders>
            <w:gridSpan w:val="3"/>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46,498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0" w:type="dxa"/>
            <w:vAlign w:val="bottom"/>
            <w:tcBorders>
              <w:bottom w:val="single" w:sz="8" w:color="CCEEFF"/>
            </w:tcBorders>
            <w:shd w:val="clear" w:color="auto" w:fill="CCEEFF"/>
          </w:tcPr>
          <w:p>
            <w:pPr>
              <w:spacing w:after="0"/>
              <w:rPr>
                <w:sz w:val="13"/>
                <w:szCs w:val="13"/>
                <w:color w:val="auto"/>
              </w:rPr>
            </w:pPr>
          </w:p>
        </w:tc>
        <w:tc>
          <w:tcPr>
            <w:tcW w:w="67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203,502</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June 1 - 30, 2023</w:t>
            </w:r>
          </w:p>
        </w:tc>
        <w:tc>
          <w:tcPr>
            <w:tcW w:w="140" w:type="dxa"/>
            <w:vAlign w:val="bottom"/>
            <w:tcBorders>
              <w:bottom w:val="single" w:sz="8" w:color="CCEEFF"/>
            </w:tcBorders>
            <w:gridSpan w:val="3"/>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31,105</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7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172,397</w:t>
            </w:r>
          </w:p>
        </w:tc>
        <w:tc>
          <w:tcPr>
            <w:tcW w:w="20" w:type="dxa"/>
            <w:vAlign w:val="bottom"/>
            <w:tcBorders>
              <w:bottom w:val="single" w:sz="8" w:color="CCEEFF"/>
            </w:tcBorders>
          </w:tcPr>
          <w:p>
            <w:pPr>
              <w:spacing w:after="0"/>
              <w:rPr>
                <w:sz w:val="15"/>
                <w:szCs w:val="15"/>
                <w:color w:val="auto"/>
              </w:rPr>
            </w:pPr>
          </w:p>
        </w:tc>
      </w:tr>
      <w:tr>
        <w:trPr>
          <w:trHeight w:val="131"/>
        </w:trPr>
        <w:tc>
          <w:tcPr>
            <w:tcW w:w="24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77,603</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1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shd w:val="clear" w:color="auto" w:fill="CCEEFF"/>
              </w:rPr>
              <w:t>$</w:t>
            </w:r>
          </w:p>
        </w:tc>
        <w:tc>
          <w:tcPr>
            <w:tcW w:w="67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9.58</w:t>
            </w:r>
          </w:p>
        </w:tc>
        <w:tc>
          <w:tcPr>
            <w:tcW w:w="40" w:type="dxa"/>
            <w:vAlign w:val="bottom"/>
            <w:tcBorders>
              <w:bottom w:val="single" w:sz="8" w:color="CCEEFF"/>
            </w:tcBorders>
            <w:gridSpan w:val="2"/>
            <w:shd w:val="clear" w:color="auto" w:fill="CCEEFF"/>
          </w:tcPr>
          <w:p>
            <w:pPr>
              <w:spacing w:after="0"/>
              <w:rPr>
                <w:sz w:val="11"/>
                <w:szCs w:val="11"/>
                <w:color w:val="auto"/>
              </w:rPr>
            </w:pPr>
          </w:p>
        </w:tc>
        <w:tc>
          <w:tcPr>
            <w:tcW w:w="21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r>
    </w:tbl>
    <w:p>
      <w:pPr>
        <w:ind w:left="660" w:right="859" w:firstLine="3"/>
        <w:spacing w:after="0" w:line="290" w:lineRule="auto"/>
        <w:tabs>
          <w:tab w:leader="none" w:pos="831"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January 24, 2022 the Company announced its initial stock repurchase program to repurchaseup to 750,000 shares of Class A common stock, approximately 3.75% of the Company’s then outstandingshares of common stock.</w:t>
      </w: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7" w:name="page58"/>
    <w:bookmarkEnd w:id="5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3.</w:t>
        <w:tab/>
        <w:t>Defaults Upon Senior Securities</w:t>
      </w:r>
    </w:p>
    <w:p>
      <w:pPr>
        <w:spacing w:after="0" w:line="167" w:lineRule="exact"/>
        <w:rPr>
          <w:sz w:val="20"/>
          <w:szCs w:val="20"/>
          <w:color w:val="auto"/>
        </w:rPr>
      </w:pPr>
    </w:p>
    <w:p>
      <w:pPr>
        <w:ind w:left="1180" w:hanging="261"/>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9" w:lineRule="exact"/>
        <w:rPr>
          <w:rFonts w:ascii="Arial" w:cs="Arial" w:eastAsia="Arial" w:hAnsi="Arial"/>
          <w:sz w:val="14"/>
          <w:szCs w:val="14"/>
          <w:color w:val="auto"/>
        </w:rPr>
      </w:pPr>
    </w:p>
    <w:p>
      <w:pPr>
        <w:ind w:left="1180" w:hanging="261"/>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67" w:lineRule="exact"/>
        <w:rPr>
          <w:sz w:val="20"/>
          <w:szCs w:val="20"/>
          <w:color w:val="auto"/>
        </w:rPr>
      </w:pPr>
    </w:p>
    <w:p>
      <w:pPr>
        <w:ind w:left="1180" w:hanging="261"/>
        <w:spacing w:after="0"/>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9" w:lineRule="exact"/>
        <w:rPr>
          <w:rFonts w:ascii="Arial" w:cs="Arial" w:eastAsia="Arial" w:hAnsi="Arial"/>
          <w:sz w:val="14"/>
          <w:szCs w:val="14"/>
          <w:color w:val="auto"/>
        </w:rPr>
      </w:pPr>
    </w:p>
    <w:p>
      <w:pPr>
        <w:ind w:left="1180" w:hanging="261"/>
        <w:spacing w:after="0"/>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applicable</w:t>
      </w:r>
    </w:p>
    <w:p>
      <w:pPr>
        <w:ind w:left="1180" w:hanging="261"/>
        <w:spacing w:after="0"/>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8" w:name="page59"/>
    <w:bookmarkEnd w:id="5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Table of Contents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8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980" w:type="dxa"/>
            <w:vAlign w:val="bottom"/>
            <w:tcBorders>
              <w:bottom w:val="single" w:sz="8" w:color="auto"/>
            </w:tcBorders>
            <w:gridSpan w:val="106"/>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2"/>
          </w:tcPr>
          <w:p>
            <w:pPr>
              <w:spacing w:after="0"/>
              <w:rPr>
                <w:sz w:val="10"/>
                <w:szCs w:val="10"/>
                <w:color w:val="auto"/>
              </w:rPr>
            </w:pPr>
          </w:p>
        </w:tc>
        <w:tc>
          <w:tcPr>
            <w:tcW w:w="180" w:type="dxa"/>
            <w:vAlign w:val="bottom"/>
          </w:tcPr>
          <w:p>
            <w:pPr>
              <w:jc w:val="center"/>
              <w:spacing w:after="0" w:line="119" w:lineRule="exact"/>
              <w:rPr>
                <w:rFonts w:ascii="Arial" w:cs="Arial" w:eastAsia="Arial" w:hAnsi="Arial"/>
                <w:sz w:val="13"/>
                <w:szCs w:val="13"/>
                <w:color w:val="0000FF"/>
                <w:w w:val="99"/>
              </w:rPr>
            </w:pPr>
            <w:hyperlink r:id="rId67">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06"/>
          </w:tcPr>
          <w:p>
            <w:pPr>
              <w:spacing w:after="0" w:line="119" w:lineRule="exact"/>
              <w:rPr>
                <w:rFonts w:ascii="Arial" w:cs="Arial" w:eastAsia="Arial" w:hAnsi="Arial"/>
                <w:sz w:val="13"/>
                <w:szCs w:val="13"/>
                <w:color w:val="0000FF"/>
              </w:rPr>
            </w:pPr>
            <w:hyperlink r:id="rId67">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180" w:type="dxa"/>
            <w:vAlign w:val="bottom"/>
            <w:vMerge w:val="restart"/>
          </w:tcPr>
          <w:p>
            <w:pPr>
              <w:jc w:val="center"/>
              <w:spacing w:after="0"/>
              <w:rPr>
                <w:sz w:val="20"/>
                <w:szCs w:val="20"/>
                <w:color w:val="auto"/>
              </w:rPr>
            </w:pPr>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71"/>
          </w:tcPr>
          <w:p>
            <w:pPr>
              <w:spacing w:after="0" w:line="119" w:lineRule="exact"/>
              <w:rPr>
                <w:rFonts w:ascii="Arial" w:cs="Arial" w:eastAsia="Arial" w:hAnsi="Arial"/>
                <w:sz w:val="13"/>
                <w:szCs w:val="13"/>
                <w:color w:val="0000FF"/>
                <w:w w:val="98"/>
              </w:rPr>
            </w:pPr>
            <w:hyperlink r:id="rId67">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sz w:val="20"/>
                <w:szCs w:val="20"/>
                <w:color w:val="auto"/>
              </w:rPr>
            </w:pPr>
            <w:r>
              <w:rPr>
                <w:rFonts w:ascii="Arial" w:cs="Arial" w:eastAsia="Arial" w:hAnsi="Arial"/>
                <w:sz w:val="13"/>
                <w:szCs w:val="13"/>
                <w:color w:val="0000FF"/>
              </w:rPr>
              <w:t xml:space="preserve">Articles of Incorporation, as amended, of USCB Financial Holdings, Inc. </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3740" w:type="dxa"/>
            <w:vAlign w:val="bottom"/>
            <w:gridSpan w:val="61"/>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gridSpan w:val="2"/>
          </w:tcPr>
          <w:p>
            <w:pPr>
              <w:spacing w:after="0"/>
              <w:rPr>
                <w:sz w:val="13"/>
                <w:szCs w:val="13"/>
                <w:color w:val="auto"/>
              </w:rPr>
            </w:pPr>
          </w:p>
        </w:tc>
        <w:tc>
          <w:tcPr>
            <w:tcW w:w="180" w:type="dxa"/>
            <w:vAlign w:val="bottom"/>
            <w:tcBorders>
              <w:bottom w:val="single" w:sz="8" w:color="0000FF"/>
            </w:tcBorders>
          </w:tcPr>
          <w:p>
            <w:pPr>
              <w:jc w:val="center"/>
              <w:spacing w:after="0"/>
              <w:rPr>
                <w:rFonts w:ascii="Arial" w:cs="Arial" w:eastAsia="Arial" w:hAnsi="Arial"/>
                <w:sz w:val="13"/>
                <w:szCs w:val="13"/>
                <w:color w:val="0000FF"/>
                <w:w w:val="99"/>
              </w:rPr>
            </w:pPr>
            <w:hyperlink r:id="rId68">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60" w:type="dxa"/>
            <w:vAlign w:val="bottom"/>
            <w:tcBorders>
              <w:bottom w:val="single" w:sz="8" w:color="0000FF"/>
            </w:tcBorders>
            <w:gridSpan w:val="105"/>
          </w:tcPr>
          <w:p>
            <w:pPr>
              <w:spacing w:after="0"/>
              <w:rPr>
                <w:rFonts w:ascii="Arial" w:cs="Arial" w:eastAsia="Arial" w:hAnsi="Arial"/>
                <w:sz w:val="13"/>
                <w:szCs w:val="13"/>
                <w:color w:val="0000FF"/>
                <w:w w:val="96"/>
              </w:rPr>
            </w:pPr>
            <w:hyperlink r:id="rId68">
              <w:r>
                <w:rPr>
                  <w:rFonts w:ascii="Arial" w:cs="Arial" w:eastAsia="Arial" w:hAnsi="Arial"/>
                  <w:sz w:val="13"/>
                  <w:szCs w:val="13"/>
                  <w:color w:val="0000FF"/>
                  <w:w w:val="96"/>
                </w:rPr>
                <w:t>Amended and Restated Bylaws of USCB Financial Holdings, Inc. (incorporated by reference to Exhibit 3.1 to the Registrant’s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40" w:type="dxa"/>
            <w:vAlign w:val="bottom"/>
            <w:gridSpan w:val="2"/>
            <w:vMerge w:val="restart"/>
          </w:tcPr>
          <w:p>
            <w:pPr>
              <w:spacing w:after="0"/>
              <w:rPr>
                <w:sz w:val="10"/>
                <w:szCs w:val="10"/>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6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tcBorders>
              <w:bottom w:val="single" w:sz="8" w:color="0000FF"/>
            </w:tcBorders>
            <w:gridSpan w:val="47"/>
          </w:tcPr>
          <w:p>
            <w:pPr>
              <w:spacing w:after="0" w:line="119" w:lineRule="exact"/>
              <w:rPr>
                <w:rFonts w:ascii="Arial" w:cs="Arial" w:eastAsia="Arial" w:hAnsi="Arial"/>
                <w:sz w:val="13"/>
                <w:szCs w:val="13"/>
                <w:color w:val="0000FF"/>
                <w:w w:val="99"/>
              </w:rPr>
            </w:pPr>
            <w:hyperlink r:id="rId68">
              <w:r>
                <w:rPr>
                  <w:rFonts w:ascii="Arial" w:cs="Arial" w:eastAsia="Arial" w:hAnsi="Arial"/>
                  <w:sz w:val="13"/>
                  <w:szCs w:val="13"/>
                  <w:color w:val="0000FF"/>
                  <w:w w:val="99"/>
                </w:rPr>
                <w:t>Current Report on Form 8-K (File No. 001-41196) filed with</w:t>
              </w:r>
            </w:hyperlink>
          </w:p>
        </w:tc>
        <w:tc>
          <w:tcPr>
            <w:tcW w:w="1060" w:type="dxa"/>
            <w:vAlign w:val="bottom"/>
            <w:tcBorders>
              <w:bottom w:val="single" w:sz="8" w:color="0000FF"/>
            </w:tcBorders>
            <w:gridSpan w:val="16"/>
          </w:tcPr>
          <w:p>
            <w:pPr>
              <w:spacing w:after="0" w:line="119" w:lineRule="exact"/>
              <w:rPr>
                <w:rFonts w:ascii="Arial" w:cs="Arial" w:eastAsia="Arial" w:hAnsi="Arial"/>
                <w:sz w:val="13"/>
                <w:szCs w:val="13"/>
                <w:color w:val="0000FF"/>
                <w:w w:val="99"/>
              </w:rPr>
            </w:pPr>
            <w:hyperlink r:id="rId68">
              <w:r>
                <w:rPr>
                  <w:rFonts w:ascii="Arial" w:cs="Arial" w:eastAsia="Arial" w:hAnsi="Arial"/>
                  <w:sz w:val="13"/>
                  <w:szCs w:val="13"/>
                  <w:color w:val="0000FF"/>
                  <w:w w:val="99"/>
                </w:rPr>
                <w:t>the Securities and</w:t>
              </w:r>
            </w:hyperlink>
          </w:p>
        </w:tc>
        <w:tc>
          <w:tcPr>
            <w:tcW w:w="2340" w:type="dxa"/>
            <w:vAlign w:val="bottom"/>
            <w:tcBorders>
              <w:bottom w:val="single" w:sz="8" w:color="0000FF"/>
            </w:tcBorders>
            <w:gridSpan w:val="39"/>
          </w:tcPr>
          <w:p>
            <w:pPr>
              <w:spacing w:after="0" w:line="119" w:lineRule="exact"/>
              <w:rPr>
                <w:rFonts w:ascii="Arial" w:cs="Arial" w:eastAsia="Arial" w:hAnsi="Arial"/>
                <w:sz w:val="13"/>
                <w:szCs w:val="13"/>
                <w:color w:val="0000FF"/>
                <w:w w:val="96"/>
              </w:rPr>
            </w:pPr>
            <w:hyperlink r:id="rId68">
              <w:r>
                <w:rPr>
                  <w:rFonts w:ascii="Arial" w:cs="Arial" w:eastAsia="Arial" w:hAnsi="Arial"/>
                  <w:sz w:val="13"/>
                  <w:szCs w:val="13"/>
                  <w:color w:val="0000FF"/>
                  <w:w w:val="96"/>
                </w:rPr>
                <w:t>Exchange Commission on July 26, 2023).</w:t>
              </w:r>
            </w:hyperlink>
          </w:p>
        </w:tc>
        <w:tc>
          <w:tcPr>
            <w:tcW w:w="1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6"/>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4"/>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5"/>
          </w:tcPr>
          <w:p>
            <w:pPr>
              <w:spacing w:after="0" w:line="20" w:lineRule="exact"/>
              <w:rPr>
                <w:sz w:val="1"/>
                <w:szCs w:val="1"/>
                <w:color w:val="auto"/>
              </w:rPr>
            </w:pPr>
          </w:p>
        </w:tc>
        <w:tc>
          <w:tcPr>
            <w:tcW w:w="86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3"/>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69">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5"/>
          </w:tcPr>
          <w:p>
            <w:pPr>
              <w:spacing w:after="0" w:line="20" w:lineRule="exact"/>
              <w:rPr>
                <w:sz w:val="1"/>
                <w:szCs w:val="1"/>
                <w:color w:val="auto"/>
              </w:rPr>
            </w:pPr>
          </w:p>
        </w:tc>
        <w:tc>
          <w:tcPr>
            <w:tcW w:w="86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70">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bottom w:val="single" w:sz="8" w:color="0000FF"/>
            </w:tcBorders>
            <w:gridSpan w:val="37"/>
          </w:tcPr>
          <w:p>
            <w:pPr>
              <w:spacing w:after="0" w:line="129" w:lineRule="exact"/>
              <w:rPr>
                <w:rFonts w:ascii="Arial" w:cs="Arial" w:eastAsia="Arial" w:hAnsi="Arial"/>
                <w:sz w:val="13"/>
                <w:szCs w:val="13"/>
                <w:color w:val="0000FF"/>
                <w:w w:val="97"/>
              </w:rPr>
            </w:pPr>
            <w:hyperlink r:id="rId69">
              <w:r>
                <w:rPr>
                  <w:rFonts w:ascii="Arial" w:cs="Arial" w:eastAsia="Arial" w:hAnsi="Arial"/>
                  <w:sz w:val="13"/>
                  <w:szCs w:val="13"/>
                  <w:color w:val="0000FF"/>
                  <w:w w:val="97"/>
                </w:rPr>
                <w:t>Exchange Commission on December 30, 2021).</w:t>
              </w:r>
            </w:hyperlink>
          </w:p>
        </w:tc>
        <w:tc>
          <w:tcPr>
            <w:tcW w:w="4240" w:type="dxa"/>
            <w:vAlign w:val="bottom"/>
            <w:gridSpan w:val="69"/>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06"/>
          </w:tcPr>
          <w:p>
            <w:pPr>
              <w:spacing w:after="0" w:line="119" w:lineRule="exact"/>
              <w:rPr>
                <w:rFonts w:ascii="Arial" w:cs="Arial" w:eastAsia="Arial" w:hAnsi="Arial"/>
                <w:sz w:val="13"/>
                <w:szCs w:val="13"/>
                <w:color w:val="0000FF"/>
              </w:rPr>
            </w:pPr>
            <w:hyperlink r:id="rId70">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1840" w:type="dxa"/>
            <w:vAlign w:val="bottom"/>
            <w:tcBorders>
              <w:right w:val="single" w:sz="8" w:color="0000FF"/>
            </w:tcBorders>
            <w:gridSpan w:val="1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gridSpan w:val="13"/>
            <w:shd w:val="clear" w:color="auto" w:fill="0000FF"/>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660" w:type="dxa"/>
            <w:vAlign w:val="bottom"/>
            <w:tcBorders>
              <w:right w:val="single" w:sz="8" w:color="0000FF"/>
            </w:tcBorders>
            <w:gridSpan w:val="7"/>
          </w:tcPr>
          <w:p>
            <w:pPr>
              <w:spacing w:after="0" w:line="20" w:lineRule="exact"/>
              <w:rPr>
                <w:sz w:val="1"/>
                <w:szCs w:val="1"/>
                <w:color w:val="auto"/>
              </w:rPr>
            </w:pPr>
          </w:p>
        </w:tc>
        <w:tc>
          <w:tcPr>
            <w:tcW w:w="36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gridSpan w:val="14"/>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FF"/>
            </w:tcBorders>
            <w:gridSpan w:val="8"/>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w w:val="99"/>
              </w:rPr>
            </w:pPr>
            <w:hyperlink r:id="rId70">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right w:val="single" w:sz="8" w:color="0000FF"/>
            </w:tcBorders>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17"/>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15"/>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gridSpan w:val="8"/>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00" w:type="dxa"/>
            <w:vAlign w:val="bottom"/>
            <w:tcBorders>
              <w:bottom w:val="single" w:sz="8" w:color="0000FF"/>
            </w:tcBorders>
            <w:gridSpan w:val="104"/>
          </w:tcPr>
          <w:p>
            <w:pPr>
              <w:spacing w:after="0" w:line="129" w:lineRule="exact"/>
              <w:rPr>
                <w:rFonts w:ascii="Arial" w:cs="Arial" w:eastAsia="Arial" w:hAnsi="Arial"/>
                <w:sz w:val="13"/>
                <w:szCs w:val="13"/>
                <w:color w:val="0000FF"/>
                <w:w w:val="97"/>
              </w:rPr>
            </w:pPr>
            <w:hyperlink r:id="rId70">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71">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70">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tcBorders>
              <w:right w:val="single" w:sz="8" w:color="0000FF"/>
            </w:tcBorders>
            <w:gridSpan w:val="2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17"/>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71">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10"/>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40" w:type="dxa"/>
            <w:vAlign w:val="bottom"/>
            <w:tcBorders>
              <w:right w:val="single" w:sz="8" w:color="0000FF"/>
            </w:tcBorders>
            <w:gridSpan w:val="2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0"/>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80" w:type="dxa"/>
            <w:vAlign w:val="bottom"/>
            <w:tcBorders>
              <w:right w:val="single" w:sz="8" w:color="0000FF"/>
            </w:tcBorders>
            <w:gridSpan w:val="17"/>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gridSpan w:val="8"/>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10"/>
          </w:tcPr>
          <w:p>
            <w:pPr>
              <w:spacing w:after="0" w:line="119" w:lineRule="exact"/>
              <w:rPr>
                <w:rFonts w:ascii="Arial" w:cs="Arial" w:eastAsia="Arial" w:hAnsi="Arial"/>
                <w:sz w:val="13"/>
                <w:szCs w:val="13"/>
                <w:color w:val="0000FF"/>
              </w:rPr>
            </w:pPr>
            <w:hyperlink r:id="rId71">
              <w:r>
                <w:rPr>
                  <w:rFonts w:ascii="Arial" w:cs="Arial" w:eastAsia="Arial" w:hAnsi="Arial"/>
                  <w:sz w:val="13"/>
                  <w:szCs w:val="13"/>
                  <w:color w:val="0000FF"/>
                </w:rPr>
                <w:t>Holdings, Inc.</w:t>
              </w:r>
            </w:hyperlink>
          </w:p>
        </w:tc>
        <w:tc>
          <w:tcPr>
            <w:tcW w:w="20" w:type="dxa"/>
            <w:vAlign w:val="bottom"/>
            <w:vMerge w:val="continue"/>
          </w:tcPr>
          <w:p>
            <w:pPr>
              <w:spacing w:after="0"/>
              <w:rPr>
                <w:sz w:val="10"/>
                <w:szCs w:val="10"/>
                <w:color w:val="auto"/>
              </w:rPr>
            </w:pPr>
          </w:p>
        </w:tc>
        <w:tc>
          <w:tcPr>
            <w:tcW w:w="1540" w:type="dxa"/>
            <w:vAlign w:val="bottom"/>
            <w:gridSpan w:val="22"/>
          </w:tcPr>
          <w:p>
            <w:pPr>
              <w:spacing w:after="0" w:line="119" w:lineRule="exact"/>
              <w:rPr>
                <w:rFonts w:ascii="Arial" w:cs="Arial" w:eastAsia="Arial" w:hAnsi="Arial"/>
                <w:sz w:val="13"/>
                <w:szCs w:val="13"/>
                <w:color w:val="0000FF"/>
                <w:w w:val="89"/>
              </w:rPr>
            </w:pPr>
            <w:hyperlink r:id="rId71">
              <w:r>
                <w:rPr>
                  <w:rFonts w:ascii="Arial" w:cs="Arial" w:eastAsia="Arial" w:hAnsi="Arial"/>
                  <w:sz w:val="13"/>
                  <w:szCs w:val="13"/>
                  <w:color w:val="0000FF"/>
                  <w:w w:val="89"/>
                </w:rPr>
                <w:t>(incorporated by reference to</w:t>
              </w:r>
            </w:hyperlink>
          </w:p>
        </w:tc>
        <w:tc>
          <w:tcPr>
            <w:tcW w:w="20" w:type="dxa"/>
            <w:vAlign w:val="bottom"/>
            <w:vMerge w:val="continue"/>
          </w:tcPr>
          <w:p>
            <w:pPr>
              <w:spacing w:after="0"/>
              <w:rPr>
                <w:sz w:val="10"/>
                <w:szCs w:val="10"/>
                <w:color w:val="auto"/>
              </w:rPr>
            </w:pPr>
          </w:p>
        </w:tc>
        <w:tc>
          <w:tcPr>
            <w:tcW w:w="4460" w:type="dxa"/>
            <w:vAlign w:val="bottom"/>
            <w:gridSpan w:val="72"/>
          </w:tcPr>
          <w:p>
            <w:pPr>
              <w:spacing w:after="0" w:line="119" w:lineRule="exact"/>
              <w:rPr>
                <w:rFonts w:ascii="Arial" w:cs="Arial" w:eastAsia="Arial" w:hAnsi="Arial"/>
                <w:sz w:val="13"/>
                <w:szCs w:val="13"/>
                <w:color w:val="0000FF"/>
                <w:w w:val="97"/>
              </w:rPr>
            </w:pPr>
            <w:hyperlink r:id="rId71">
              <w:r>
                <w:rPr>
                  <w:rFonts w:ascii="Arial" w:cs="Arial" w:eastAsia="Arial" w:hAnsi="Arial"/>
                  <w:sz w:val="13"/>
                  <w:szCs w:val="13"/>
                  <w:color w:val="0000FF"/>
                  <w:w w:val="97"/>
                </w:rPr>
                <w:t>Exhibit 4.3 to the Registrant’s Current Report on Form 8-K (File No. 001-41196)</w:t>
              </w:r>
            </w:hyperlink>
          </w:p>
        </w:tc>
        <w:tc>
          <w:tcPr>
            <w:tcW w:w="0" w:type="dxa"/>
            <w:vAlign w:val="bottom"/>
          </w:tcPr>
          <w:p>
            <w:pPr>
              <w:spacing w:after="0"/>
              <w:rPr>
                <w:sz w:val="1"/>
                <w:szCs w:val="1"/>
                <w:color w:val="auto"/>
              </w:rPr>
            </w:pPr>
          </w:p>
        </w:tc>
      </w:tr>
      <w:tr>
        <w:trPr>
          <w:trHeight w:val="129"/>
        </w:trPr>
        <w:tc>
          <w:tcPr>
            <w:tcW w:w="340" w:type="dxa"/>
            <w:vAlign w:val="bottom"/>
            <w:gridSpan w:val="2"/>
            <w:vMerge w:val="restart"/>
          </w:tcPr>
          <w:p>
            <w:pPr>
              <w:spacing w:after="0"/>
              <w:rPr>
                <w:sz w:val="11"/>
                <w:szCs w:val="11"/>
                <w:color w:val="auto"/>
              </w:rPr>
            </w:pPr>
          </w:p>
        </w:tc>
        <w:tc>
          <w:tcPr>
            <w:tcW w:w="180" w:type="dxa"/>
            <w:vAlign w:val="bottom"/>
            <w:vMerge w:val="restart"/>
          </w:tcPr>
          <w:p>
            <w:pPr>
              <w:jc w:val="center"/>
              <w:spacing w:after="0"/>
              <w:rPr>
                <w:rFonts w:ascii="Arial" w:cs="Arial" w:eastAsia="Arial" w:hAnsi="Arial"/>
                <w:sz w:val="13"/>
                <w:szCs w:val="13"/>
                <w:color w:val="0000FF"/>
                <w:w w:val="99"/>
              </w:rPr>
            </w:pPr>
            <w:hyperlink r:id="rId72">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20" w:type="dxa"/>
            <w:vAlign w:val="bottom"/>
            <w:tcBorders>
              <w:top w:val="single" w:sz="8" w:color="0000FF"/>
              <w:bottom w:val="single" w:sz="8" w:color="0000FF"/>
            </w:tcBorders>
            <w:gridSpan w:val="62"/>
          </w:tcPr>
          <w:p>
            <w:pPr>
              <w:spacing w:after="0" w:line="129" w:lineRule="exact"/>
              <w:rPr>
                <w:rFonts w:ascii="Arial" w:cs="Arial" w:eastAsia="Arial" w:hAnsi="Arial"/>
                <w:sz w:val="13"/>
                <w:szCs w:val="13"/>
                <w:color w:val="0000FF"/>
                <w:w w:val="97"/>
              </w:rPr>
            </w:pPr>
            <w:hyperlink r:id="rId71">
              <w:r>
                <w:rPr>
                  <w:rFonts w:ascii="Arial" w:cs="Arial" w:eastAsia="Arial" w:hAnsi="Arial"/>
                  <w:sz w:val="13"/>
                  <w:szCs w:val="13"/>
                  <w:color w:val="0000FF"/>
                  <w:w w:val="97"/>
                </w:rPr>
                <w:t>filed with the Securities and Exchange Commission on December 30, 2021).</w:t>
              </w:r>
            </w:hyperlink>
          </w:p>
        </w:tc>
        <w:tc>
          <w:tcPr>
            <w:tcW w:w="2580" w:type="dxa"/>
            <w:vAlign w:val="bottom"/>
            <w:tcBorders>
              <w:top w:val="single" w:sz="8" w:color="0000FF"/>
            </w:tcBorders>
            <w:gridSpan w:val="42"/>
          </w:tcPr>
          <w:p>
            <w:pPr>
              <w:spacing w:after="0"/>
              <w:rPr>
                <w:sz w:val="11"/>
                <w:szCs w:val="11"/>
                <w:color w:val="auto"/>
              </w:rPr>
            </w:pPr>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w w:val="97"/>
              </w:rPr>
            </w:pPr>
            <w:hyperlink r:id="rId72">
              <w:r>
                <w:rPr>
                  <w:rFonts w:ascii="Arial" w:cs="Arial" w:eastAsia="Arial" w:hAnsi="Arial"/>
                  <w:sz w:val="13"/>
                  <w:szCs w:val="13"/>
                  <w:color w:val="0000FF"/>
                  <w:w w:val="97"/>
                </w:rPr>
                <w:t>Description of USCB Financial Holdings, Inc.’s securities (incorporated by reference to Exhibit 4.4 to the Registrant's Annual</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1"/>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9"/>
            <w:shd w:val="clear" w:color="auto" w:fill="0000FF"/>
          </w:tcPr>
          <w:p>
            <w:pPr>
              <w:spacing w:after="0" w:line="20" w:lineRule="exact"/>
              <w:rPr>
                <w:sz w:val="1"/>
                <w:szCs w:val="1"/>
                <w:color w:val="auto"/>
              </w:rPr>
            </w:pPr>
          </w:p>
        </w:tc>
        <w:tc>
          <w:tcPr>
            <w:tcW w:w="420" w:type="dxa"/>
            <w:vAlign w:val="bottom"/>
            <w:gridSpan w:val="8"/>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vMerge w:val="restart"/>
          </w:tcPr>
          <w:p>
            <w:pPr>
              <w:spacing w:after="0"/>
              <w:rPr>
                <w:sz w:val="11"/>
                <w:szCs w:val="11"/>
                <w:color w:val="auto"/>
              </w:rPr>
            </w:pPr>
          </w:p>
        </w:tc>
        <w:tc>
          <w:tcPr>
            <w:tcW w:w="260" w:type="dxa"/>
            <w:vAlign w:val="bottom"/>
            <w:gridSpan w:val="3"/>
            <w:vMerge w:val="restart"/>
          </w:tcPr>
          <w:p>
            <w:pPr>
              <w:jc w:val="center"/>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06"/>
          </w:tcPr>
          <w:p>
            <w:pPr>
              <w:spacing w:after="0" w:line="129" w:lineRule="exact"/>
              <w:rPr>
                <w:rFonts w:ascii="Arial" w:cs="Arial" w:eastAsia="Arial" w:hAnsi="Arial"/>
                <w:sz w:val="13"/>
                <w:szCs w:val="13"/>
                <w:color w:val="0000FF"/>
              </w:rPr>
            </w:pPr>
            <w:hyperlink r:id="rId72">
              <w:r>
                <w:rPr>
                  <w:rFonts w:ascii="Arial" w:cs="Arial" w:eastAsia="Arial" w:hAnsi="Arial"/>
                  <w:sz w:val="13"/>
                  <w:szCs w:val="13"/>
                  <w:color w:val="0000FF"/>
                </w:rPr>
                <w:t>Report on Form 10-K (File No. 001-41196) filed with the Securities and Exchange Commission on March 24, 2022)</w:t>
              </w:r>
            </w:hyperlink>
          </w:p>
        </w:tc>
        <w:tc>
          <w:tcPr>
            <w:tcW w:w="0" w:type="dxa"/>
            <w:vAlign w:val="bottom"/>
          </w:tcPr>
          <w:p>
            <w:pPr>
              <w:spacing w:after="0"/>
              <w:rPr>
                <w:sz w:val="1"/>
                <w:szCs w:val="1"/>
                <w:color w:val="auto"/>
              </w:rPr>
            </w:pPr>
          </w:p>
        </w:tc>
      </w:tr>
      <w:tr>
        <w:trPr>
          <w:trHeight w:val="129"/>
        </w:trPr>
        <w:tc>
          <w:tcPr>
            <w:tcW w:w="300" w:type="dxa"/>
            <w:vAlign w:val="bottom"/>
            <w:vMerge w:val="continue"/>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80" w:type="dxa"/>
            <w:vAlign w:val="bottom"/>
            <w:tcBorders>
              <w:top w:val="single" w:sz="8" w:color="0000FF"/>
            </w:tcBorders>
            <w:gridSpan w:val="96"/>
          </w:tcPr>
          <w:p>
            <w:pPr>
              <w:spacing w:after="0" w:line="129" w:lineRule="exact"/>
              <w:rPr>
                <w:sz w:val="20"/>
                <w:szCs w:val="20"/>
                <w:color w:val="auto"/>
              </w:rPr>
            </w:pPr>
            <w:r>
              <w:rPr>
                <w:rFonts w:ascii="Arial" w:cs="Arial" w:eastAsia="Arial" w:hAnsi="Arial"/>
                <w:sz w:val="13"/>
                <w:szCs w:val="13"/>
                <w:color w:val="0000FF"/>
              </w:rPr>
              <w:t xml:space="preserve">Certification of Chief Executive Officer pursuant to Rule 13a-14(a) of the Securities Exchange Act of 1934. </w:t>
            </w:r>
            <w:r>
              <w:rPr>
                <w:rFonts w:ascii="Arial" w:cs="Arial" w:eastAsia="Arial" w:hAnsi="Arial"/>
                <w:sz w:val="13"/>
                <w:szCs w:val="13"/>
                <w:color w:val="000000"/>
              </w:rPr>
              <w:t>*</w:t>
            </w:r>
          </w:p>
        </w:tc>
        <w:tc>
          <w:tcPr>
            <w:tcW w:w="500" w:type="dxa"/>
            <w:vAlign w:val="bottom"/>
            <w:gridSpan w:val="10"/>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1"/>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2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gridSpan w:val="3"/>
          </w:tcPr>
          <w:p>
            <w:pPr>
              <w:jc w:val="center"/>
              <w:spacing w:after="0" w:line="140" w:lineRule="exact"/>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06"/>
          </w:tcPr>
          <w:p>
            <w:pPr>
              <w:spacing w:after="0" w:line="140" w:lineRule="exact"/>
              <w:rPr>
                <w:sz w:val="20"/>
                <w:szCs w:val="20"/>
                <w:color w:val="auto"/>
              </w:rPr>
            </w:pPr>
            <w:r>
              <w:rPr>
                <w:rFonts w:ascii="Arial" w:cs="Arial" w:eastAsia="Arial" w:hAnsi="Arial"/>
                <w:sz w:val="13"/>
                <w:szCs w:val="13"/>
                <w:color w:val="0000FF"/>
              </w:rPr>
              <w:t xml:space="preserve">Certification of Chief Financial Officer pursuant to Rule 13a-14(a) of the Securities Exchange Act of 1934. </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140"/>
        </w:trPr>
        <w:tc>
          <w:tcPr>
            <w:tcW w:w="300" w:type="dxa"/>
            <w:vAlign w:val="bottom"/>
          </w:tcPr>
          <w:p>
            <w:pPr>
              <w:spacing w:after="0"/>
              <w:rPr>
                <w:sz w:val="12"/>
                <w:szCs w:val="12"/>
                <w:color w:val="auto"/>
              </w:rPr>
            </w:pPr>
          </w:p>
        </w:tc>
        <w:tc>
          <w:tcPr>
            <w:tcW w:w="260" w:type="dxa"/>
            <w:vAlign w:val="bottom"/>
            <w:tcBorders>
              <w:top w:val="single" w:sz="8" w:color="0000FF"/>
            </w:tcBorders>
            <w:gridSpan w:val="3"/>
          </w:tcPr>
          <w:p>
            <w:pPr>
              <w:jc w:val="center"/>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920" w:type="dxa"/>
            <w:vAlign w:val="bottom"/>
            <w:tcBorders>
              <w:top w:val="single" w:sz="8" w:color="0000FF"/>
            </w:tcBorders>
            <w:gridSpan w:val="86"/>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106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1"/>
            <w:shd w:val="clear" w:color="auto" w:fill="0000FF"/>
          </w:tcPr>
          <w:p>
            <w:pPr>
              <w:spacing w:after="0" w:line="20" w:lineRule="exact"/>
              <w:rPr>
                <w:sz w:val="1"/>
                <w:szCs w:val="1"/>
                <w:color w:val="auto"/>
              </w:rPr>
            </w:pPr>
          </w:p>
        </w:tc>
        <w:tc>
          <w:tcPr>
            <w:tcW w:w="278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06"/>
          </w:tcPr>
          <w:p>
            <w:pPr>
              <w:spacing w:after="0"/>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61"/>
            <w:shd w:val="clear" w:color="auto" w:fill="0000FF"/>
          </w:tcPr>
          <w:p>
            <w:pPr>
              <w:spacing w:after="0" w:line="20" w:lineRule="exact"/>
              <w:rPr>
                <w:sz w:val="1"/>
                <w:szCs w:val="1"/>
                <w:color w:val="auto"/>
              </w:rPr>
            </w:pPr>
          </w:p>
        </w:tc>
        <w:tc>
          <w:tcPr>
            <w:tcW w:w="2780" w:type="dxa"/>
            <w:vAlign w:val="bottom"/>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06"/>
          </w:tcPr>
          <w:p>
            <w:pPr>
              <w:spacing w:after="0"/>
              <w:rPr>
                <w:sz w:val="20"/>
                <w:szCs w:val="20"/>
                <w:color w:val="auto"/>
              </w:rPr>
            </w:pPr>
            <w:r>
              <w:rPr>
                <w:rFonts w:ascii="Arial" w:cs="Arial" w:eastAsia="Arial" w:hAnsi="Arial"/>
                <w:sz w:val="13"/>
                <w:szCs w:val="13"/>
                <w:color w:val="auto"/>
                <w:w w:val="97"/>
              </w:rPr>
              <w:t>The following financial statements from the Company’s Quarterly Report on Form 10-Q for the quarter ended June 30, 2023</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06"/>
          </w:tcPr>
          <w:p>
            <w:pPr>
              <w:spacing w:after="0"/>
              <w:rPr>
                <w:sz w:val="20"/>
                <w:szCs w:val="20"/>
                <w:color w:val="auto"/>
              </w:rPr>
            </w:pPr>
            <w:r>
              <w:rPr>
                <w:rFonts w:ascii="Arial" w:cs="Arial" w:eastAsia="Arial" w:hAnsi="Arial"/>
                <w:sz w:val="13"/>
                <w:szCs w:val="13"/>
                <w:color w:val="auto"/>
              </w:rPr>
              <w:t>formatted in Inline XBRL: (i) Consolidated Balance Sheets (unaudited), (ii) Consolidated Statements of Operations</w:t>
            </w:r>
          </w:p>
        </w:tc>
        <w:tc>
          <w:tcPr>
            <w:tcW w:w="0" w:type="dxa"/>
            <w:vAlign w:val="bottom"/>
          </w:tcPr>
          <w:p>
            <w:pPr>
              <w:spacing w:after="0"/>
              <w:rPr>
                <w:sz w:val="1"/>
                <w:szCs w:val="1"/>
                <w:color w:val="auto"/>
              </w:rPr>
            </w:pPr>
          </w:p>
        </w:tc>
      </w:tr>
    </w:tbl>
    <w:p>
      <w:pPr>
        <w:jc w:val="both"/>
        <w:ind w:left="1480" w:right="619"/>
        <w:spacing w:after="0" w:line="234" w:lineRule="auto"/>
        <w:rPr>
          <w:sz w:val="20"/>
          <w:szCs w:val="20"/>
          <w:color w:val="auto"/>
        </w:rPr>
      </w:pPr>
      <w:r>
        <w:rPr>
          <w:rFonts w:ascii="Arial" w:cs="Arial" w:eastAsia="Arial" w:hAnsi="Arial"/>
          <w:sz w:val="13"/>
          <w:szCs w:val="13"/>
          <w:color w:val="auto"/>
        </w:rPr>
        <w:t>(unaudited), (iii) Consolidated Statements of Comprehensive Income (unaudited), (iv)Consolidated Statements of Changes in Stockholders’ Equity (unaudited), (v) Consolidated Statements of Cash Flows (unaudited), (vi) Notes to Consolidated Financial Statements (unaudited).</w:t>
      </w:r>
    </w:p>
    <w:p>
      <w:pPr>
        <w:ind w:left="1280" w:right="2519" w:hanging="596"/>
        <w:spacing w:after="0" w:line="389" w:lineRule="auto"/>
        <w:tabs>
          <w:tab w:leader="none" w:pos="1483"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ind w:left="1480" w:hanging="251"/>
        <w:spacing w:after="0"/>
        <w:tabs>
          <w:tab w:leader="none" w:pos="14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Furnished herby.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59" w:name="page60"/>
    <w:bookmarkEnd w:id="5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67" w:lineRule="exact"/>
        <w:rPr>
          <w:sz w:val="20"/>
          <w:szCs w:val="20"/>
          <w:color w:val="auto"/>
        </w:rPr>
      </w:pPr>
    </w:p>
    <w:p>
      <w:pPr>
        <w:ind w:left="660" w:right="719" w:firstLine="256"/>
        <w:spacing w:after="0" w:line="28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11"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USCB FINANCIAL HOLDINGS, INC.</w:t>
      </w:r>
    </w:p>
    <w:p>
      <w:pPr>
        <w:spacing w:after="0" w:line="19" w:lineRule="exact"/>
        <w:rPr>
          <w:sz w:val="20"/>
          <w:szCs w:val="20"/>
          <w:color w:val="auto"/>
        </w:rPr>
      </w:pPr>
    </w:p>
    <w:tbl>
      <w:tblPr>
        <w:tblLayout w:type="fixed"/>
        <w:tblInd w:w="7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69"/>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31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59"/>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9"/>
              </w:rPr>
              <w:t>August 11, 2023</w:t>
            </w:r>
          </w:p>
        </w:tc>
      </w:tr>
      <w:tr>
        <w:trPr>
          <w:trHeight w:val="171"/>
        </w:trPr>
        <w:tc>
          <w:tcPr>
            <w:tcW w:w="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53"/>
        </w:trPr>
        <w:tc>
          <w:tcPr>
            <w:tcW w:w="20" w:type="dxa"/>
            <w:vAlign w:val="bottom"/>
          </w:tcPr>
          <w:p>
            <w:pPr>
              <w:spacing w:after="0"/>
              <w:rPr>
                <w:sz w:val="24"/>
                <w:szCs w:val="2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24"/>
                <w:szCs w:val="24"/>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99"/>
              </w:rPr>
              <w:t>August 11, 2023</w:t>
            </w:r>
          </w:p>
        </w:tc>
      </w:tr>
      <w:tr>
        <w:trPr>
          <w:trHeight w:val="141"/>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1"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tcPr>
          <w:p>
            <w:pPr>
              <w:ind w:left="60"/>
              <w:spacing w:after="0" w:line="141" w:lineRule="exact"/>
              <w:rPr>
                <w:sz w:val="20"/>
                <w:szCs w:val="20"/>
                <w:color w:val="auto"/>
              </w:rPr>
            </w:pPr>
            <w:r>
              <w:rPr>
                <w:rFonts w:ascii="Arial" w:cs="Arial" w:eastAsia="Arial" w:hAnsi="Arial"/>
                <w:sz w:val="14"/>
                <w:szCs w:val="14"/>
                <w:color w:val="auto"/>
              </w:rPr>
              <w:t>(Principal Financial Officer and Principal</w:t>
            </w: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USCB Financial Holdings, Inc.</w:t>
        <w:tab/>
        <w:t>Q2 2023 Form 10-Q</w:t>
      </w:r>
    </w:p>
    <w:p>
      <w:pPr>
        <w:sectPr>
          <w:pgSz w:w="11900" w:h="16838" w:orient="portrait"/>
          <w:cols w:equalWidth="0" w:num="1">
            <w:col w:w="9019"/>
          </w:cols>
          <w:pgMar w:left="1440" w:top="481" w:right="1440" w:bottom="1440" w:gutter="0" w:footer="0" w:header="0"/>
        </w:sectPr>
      </w:pPr>
    </w:p>
    <w:bookmarkStart w:id="60" w:name="page61"/>
    <w:bookmarkEnd w:id="60"/>
    <w:p>
      <w:pPr>
        <w:jc w:val="center"/>
        <w:spacing w:after="0"/>
        <w:tabs>
          <w:tab w:leader="none" w:pos="120" w:val="left"/>
          <w:tab w:leader="none" w:pos="260" w:val="left"/>
        </w:tabs>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6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Exhibit 3.1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560"/>
        <w:spacing w:after="0"/>
        <w:rPr>
          <w:sz w:val="20"/>
          <w:szCs w:val="20"/>
          <w:color w:val="auto"/>
        </w:rPr>
      </w:pPr>
      <w:r>
        <w:rPr>
          <w:rFonts w:ascii="Arial" w:cs="Arial" w:eastAsia="Arial" w:hAnsi="Arial"/>
          <w:sz w:val="17"/>
          <w:szCs w:val="17"/>
          <w:b w:val="1"/>
          <w:bCs w:val="1"/>
          <w:color w:val="auto"/>
        </w:rPr>
        <w:t>ARTICLES OF INCORPORATION,  AS AMENDED</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OF</w:t>
      </w:r>
    </w:p>
    <w:p>
      <w:pPr>
        <w:jc w:val="center"/>
        <w:ind w:right="19"/>
        <w:spacing w:after="0"/>
        <w:rPr>
          <w:sz w:val="20"/>
          <w:szCs w:val="20"/>
          <w:color w:val="auto"/>
        </w:rPr>
      </w:pPr>
      <w:r>
        <w:rPr>
          <w:rFonts w:ascii="Arial" w:cs="Arial" w:eastAsia="Arial" w:hAnsi="Arial"/>
          <w:sz w:val="17"/>
          <w:szCs w:val="17"/>
          <w:b w:val="1"/>
          <w:bCs w:val="1"/>
          <w:color w:val="auto"/>
        </w:rPr>
        <w:t>USCB FINANCIAL HOLDINGS, INC.</w:t>
      </w:r>
    </w:p>
    <w:p>
      <w:pPr>
        <w:spacing w:after="0" w:line="155" w:lineRule="exact"/>
        <w:rPr>
          <w:sz w:val="20"/>
          <w:szCs w:val="20"/>
          <w:color w:val="auto"/>
        </w:rPr>
      </w:pPr>
    </w:p>
    <w:p>
      <w:pPr>
        <w:jc w:val="both"/>
        <w:ind w:left="1180" w:right="1179" w:firstLine="1024"/>
        <w:spacing w:after="0" w:line="255" w:lineRule="auto"/>
        <w:rPr>
          <w:sz w:val="20"/>
          <w:szCs w:val="20"/>
          <w:color w:val="auto"/>
        </w:rPr>
      </w:pPr>
      <w:r>
        <w:rPr>
          <w:rFonts w:ascii="Arial" w:cs="Arial" w:eastAsia="Arial" w:hAnsi="Arial"/>
          <w:sz w:val="17"/>
          <w:szCs w:val="17"/>
          <w:color w:val="auto"/>
        </w:rPr>
        <w:t>The undersigned, being of legal age and desiring to form a corporation pursuant to the provisions of the Florida Business Corporation Act, as amended, executes the following Articles of Incorporation.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167" w:lineRule="exact"/>
        <w:rPr>
          <w:sz w:val="20"/>
          <w:szCs w:val="20"/>
          <w:color w:val="auto"/>
        </w:rPr>
      </w:pPr>
    </w:p>
    <w:p>
      <w:pPr>
        <w:jc w:val="both"/>
        <w:ind w:left="1180" w:right="1179" w:firstLine="1024"/>
        <w:spacing w:after="0" w:line="283" w:lineRule="auto"/>
        <w:rPr>
          <w:sz w:val="20"/>
          <w:szCs w:val="20"/>
          <w:color w:val="auto"/>
        </w:rPr>
      </w:pPr>
      <w:r>
        <w:rPr>
          <w:rFonts w:ascii="Arial" w:cs="Arial" w:eastAsia="Arial" w:hAnsi="Arial"/>
          <w:sz w:val="16"/>
          <w:szCs w:val="16"/>
          <w:color w:val="auto"/>
        </w:rPr>
        <w:t xml:space="preserve">The name of the corporation (hereinafter called the "Corporation") is </w:t>
      </w:r>
      <w:r>
        <w:rPr>
          <w:rFonts w:ascii="Arial" w:cs="Arial" w:eastAsia="Arial" w:hAnsi="Arial"/>
          <w:sz w:val="16"/>
          <w:szCs w:val="16"/>
          <w:b w:val="1"/>
          <w:bCs w:val="1"/>
          <w:color w:val="auto"/>
        </w:rPr>
        <w:t>USCB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Financial Holdings, Inc. </w:t>
      </w:r>
      <w:r>
        <w:rPr>
          <w:rFonts w:ascii="Arial" w:cs="Arial" w:eastAsia="Arial" w:hAnsi="Arial"/>
          <w:sz w:val="16"/>
          <w:szCs w:val="16"/>
          <w:color w:val="auto"/>
        </w:rPr>
        <w:t>The address of the Corporation's principal place of business is</w:t>
      </w:r>
      <w:r>
        <w:rPr>
          <w:rFonts w:ascii="Arial" w:cs="Arial" w:eastAsia="Arial" w:hAnsi="Arial"/>
          <w:sz w:val="16"/>
          <w:szCs w:val="16"/>
          <w:b w:val="1"/>
          <w:bCs w:val="1"/>
          <w:color w:val="auto"/>
        </w:rPr>
        <w:t xml:space="preserve"> </w:t>
      </w:r>
      <w:r>
        <w:rPr>
          <w:rFonts w:ascii="Arial" w:cs="Arial" w:eastAsia="Arial" w:hAnsi="Arial"/>
          <w:sz w:val="16"/>
          <w:szCs w:val="16"/>
          <w:color w:val="auto"/>
        </w:rPr>
        <w:t>2301 NW 87th Avenue, Doral 33172, in the County of Miami-Dade and State of Florida.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186" w:lineRule="exact"/>
        <w:rPr>
          <w:sz w:val="20"/>
          <w:szCs w:val="20"/>
          <w:color w:val="auto"/>
        </w:rPr>
      </w:pPr>
    </w:p>
    <w:p>
      <w:pPr>
        <w:jc w:val="both"/>
        <w:ind w:left="1180" w:right="1199" w:firstLine="1024"/>
        <w:spacing w:after="0" w:line="261" w:lineRule="auto"/>
        <w:rPr>
          <w:sz w:val="20"/>
          <w:szCs w:val="20"/>
          <w:color w:val="auto"/>
        </w:rPr>
      </w:pPr>
      <w:r>
        <w:rPr>
          <w:rFonts w:ascii="Arial" w:cs="Arial" w:eastAsia="Arial" w:hAnsi="Arial"/>
          <w:sz w:val="17"/>
          <w:szCs w:val="17"/>
          <w:color w:val="auto"/>
        </w:rPr>
        <w:t>The objects, purposes, and powers for which the Corporation is organized are as follows:</w:t>
      </w:r>
    </w:p>
    <w:p>
      <w:pPr>
        <w:spacing w:after="0" w:line="130" w:lineRule="exact"/>
        <w:rPr>
          <w:sz w:val="20"/>
          <w:szCs w:val="20"/>
          <w:color w:val="auto"/>
        </w:rPr>
      </w:pPr>
    </w:p>
    <w:p>
      <w:pPr>
        <w:jc w:val="both"/>
        <w:ind w:left="1180" w:right="1179" w:firstLine="1019"/>
        <w:spacing w:after="0" w:line="248" w:lineRule="auto"/>
        <w:tabs>
          <w:tab w:leader="none" w:pos="27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purchase or otherwise acquire, to own and to hold the stock of banks and other corporations, and to do every act and thing covered generally by the denominations "holding corporation", "bank holding company", and "financial holding company", and especially to direct the operations of other entities through the ownership of stock or other interests therein;</w:t>
      </w:r>
    </w:p>
    <w:p>
      <w:pPr>
        <w:spacing w:after="0" w:line="142" w:lineRule="exact"/>
        <w:rPr>
          <w:rFonts w:ascii="Arial" w:cs="Arial" w:eastAsia="Arial" w:hAnsi="Arial"/>
          <w:sz w:val="17"/>
          <w:szCs w:val="17"/>
          <w:color w:val="auto"/>
        </w:rPr>
      </w:pPr>
    </w:p>
    <w:p>
      <w:pPr>
        <w:jc w:val="both"/>
        <w:ind w:left="1180" w:right="1179" w:firstLine="1019"/>
        <w:spacing w:after="0" w:line="243" w:lineRule="auto"/>
        <w:tabs>
          <w:tab w:leader="none" w:pos="27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purchase, subscribe for, acquire, own, hold, sell, exchange, assign, transfer, mortgage, pledge, hypothecate or otherwise transfer or dispose of stock, scrip, warrants, rights, bonds, securities or evidences of indebtedness issued or guaranteed by any other corporations, partnerships, limited liability companies, or trusts, or any bonds or evidences of indebtedness of the United States or any other country or jurisdiction, or any state, district, territory, dependency or county or subdivision or municipality thereof, and to issue and exchange therefor cash, capital stock, bonds, notes or other securities, evidences of indebtedness or obligations of the Corporation and while the owner thereof to exercise all rights, powers and privileges of ownership, including the right to vote on any shares of stock, voting trust certificates or other instruments so owned; and</w:t>
      </w:r>
    </w:p>
    <w:p>
      <w:pPr>
        <w:spacing w:after="0" w:line="159" w:lineRule="exact"/>
        <w:rPr>
          <w:rFonts w:ascii="Arial" w:cs="Arial" w:eastAsia="Arial" w:hAnsi="Arial"/>
          <w:sz w:val="17"/>
          <w:szCs w:val="17"/>
          <w:color w:val="auto"/>
        </w:rPr>
      </w:pPr>
    </w:p>
    <w:p>
      <w:pPr>
        <w:jc w:val="both"/>
        <w:ind w:left="1180" w:right="1179" w:firstLine="1019"/>
        <w:spacing w:after="0" w:line="255" w:lineRule="auto"/>
        <w:tabs>
          <w:tab w:leader="none" w:pos="27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transact any business, to engage in any lawful act or activity and to exercise all powers permitted to corporations by the Florida Business Corporation Act, as the same exists or may hereafter be amended.</w:t>
      </w:r>
    </w:p>
    <w:p>
      <w:pPr>
        <w:spacing w:after="0" w:line="134" w:lineRule="exact"/>
        <w:rPr>
          <w:sz w:val="20"/>
          <w:szCs w:val="20"/>
          <w:color w:val="auto"/>
        </w:rPr>
      </w:pPr>
    </w:p>
    <w:p>
      <w:pPr>
        <w:jc w:val="both"/>
        <w:ind w:left="1180" w:right="1179" w:firstLine="1024"/>
        <w:spacing w:after="0" w:line="248" w:lineRule="auto"/>
        <w:rPr>
          <w:sz w:val="20"/>
          <w:szCs w:val="20"/>
          <w:color w:val="auto"/>
        </w:rPr>
      </w:pPr>
      <w:r>
        <w:rPr>
          <w:rFonts w:ascii="Arial" w:cs="Arial" w:eastAsia="Arial" w:hAnsi="Arial"/>
          <w:sz w:val="17"/>
          <w:szCs w:val="17"/>
          <w:color w:val="auto"/>
        </w:rPr>
        <w:t>The enumeration herein of the objects, purposes, and powers of the Corporation shall not be deemed to exclude or in any way limit by inference any powers, objects or purposes that the Corporation is empowered to exercise, whether expressly, by purpose or by any of the laws of the State of Florida or any reasonable construction of such laws.</w:t>
      </w:r>
    </w:p>
    <w:p>
      <w:pPr>
        <w:sectPr>
          <w:pgSz w:w="11900" w:h="16838" w:orient="portrait"/>
          <w:cols w:equalWidth="0" w:num="1">
            <w:col w:w="9019"/>
          </w:cols>
          <w:pgMar w:left="1440" w:top="306"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ARTICLE III</w:t>
      </w:r>
    </w:p>
    <w:p>
      <w:pPr>
        <w:spacing w:after="0" w:line="186" w:lineRule="exact"/>
        <w:rPr>
          <w:sz w:val="20"/>
          <w:szCs w:val="20"/>
          <w:color w:val="auto"/>
        </w:rPr>
      </w:pPr>
    </w:p>
    <w:p>
      <w:pPr>
        <w:jc w:val="both"/>
        <w:ind w:left="1180" w:right="1179" w:firstLine="1024"/>
        <w:spacing w:after="0" w:line="246" w:lineRule="auto"/>
        <w:rPr>
          <w:sz w:val="20"/>
          <w:szCs w:val="20"/>
          <w:color w:val="auto"/>
        </w:rPr>
      </w:pPr>
      <w:r>
        <w:rPr>
          <w:rFonts w:ascii="Arial" w:cs="Arial" w:eastAsia="Arial" w:hAnsi="Arial"/>
          <w:sz w:val="17"/>
          <w:szCs w:val="17"/>
          <w:color w:val="auto"/>
        </w:rPr>
        <w:t>The aggregate number of shares of all classes of capital stock which the Corporation shall have authority to issue is 68,600,000, consisting of (i) 53,000,000 shares of common stock, par value $1.00 per share (the "Common Stock"), and (ii) 15,600,000 shares of preferred stock, par value $1.00 per share, except as set forth below or any articles of amendment of any classes or series of preferred stock (the "Preferred Stock").</w:t>
      </w:r>
    </w:p>
    <w:p>
      <w:pPr>
        <w:spacing w:after="0" w:line="142" w:lineRule="exact"/>
        <w:rPr>
          <w:sz w:val="20"/>
          <w:szCs w:val="20"/>
          <w:color w:val="auto"/>
        </w:rPr>
      </w:pPr>
    </w:p>
    <w:p>
      <w:pPr>
        <w:ind w:left="2200" w:hanging="513"/>
        <w:spacing w:after="0"/>
        <w:tabs>
          <w:tab w:leader="none" w:pos="220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Common Stock</w:t>
      </w:r>
    </w:p>
    <w:p>
      <w:pPr>
        <w:spacing w:after="0" w:line="167" w:lineRule="exact"/>
        <w:rPr>
          <w:sz w:val="20"/>
          <w:szCs w:val="20"/>
          <w:color w:val="auto"/>
        </w:rPr>
      </w:pPr>
    </w:p>
    <w:p>
      <w:pPr>
        <w:jc w:val="both"/>
        <w:ind w:left="1220" w:right="1179" w:firstLine="973"/>
        <w:spacing w:after="0" w:line="253" w:lineRule="auto"/>
        <w:rPr>
          <w:sz w:val="20"/>
          <w:szCs w:val="20"/>
          <w:color w:val="auto"/>
        </w:rPr>
      </w:pPr>
      <w:r>
        <w:rPr>
          <w:rFonts w:ascii="Arial" w:cs="Arial" w:eastAsia="Arial" w:hAnsi="Arial"/>
          <w:sz w:val="17"/>
          <w:szCs w:val="17"/>
          <w:color w:val="auto"/>
        </w:rPr>
        <w:t>The Common Stock shall consist of two classes of stock: (1) 45,000,000 shares of Class A Voting Common Stock, par value $1.00 per share (the "Voting Common Stock") and (ii) 8,000,000 shares of Class B Non-Voting Common Stock, par value $1.00 per share (the "Non-Voting Common Stock").</w:t>
      </w:r>
    </w:p>
    <w:p>
      <w:pPr>
        <w:spacing w:after="0" w:line="136" w:lineRule="exact"/>
        <w:rPr>
          <w:sz w:val="20"/>
          <w:szCs w:val="20"/>
          <w:color w:val="auto"/>
        </w:rPr>
      </w:pPr>
    </w:p>
    <w:p>
      <w:pPr>
        <w:jc w:val="both"/>
        <w:ind w:left="1220" w:right="1179" w:firstLine="973"/>
        <w:spacing w:after="0" w:line="255" w:lineRule="auto"/>
        <w:rPr>
          <w:sz w:val="20"/>
          <w:szCs w:val="20"/>
          <w:color w:val="auto"/>
        </w:rPr>
      </w:pPr>
      <w:r>
        <w:rPr>
          <w:rFonts w:ascii="Arial" w:cs="Arial" w:eastAsia="Arial" w:hAnsi="Arial"/>
          <w:sz w:val="17"/>
          <w:szCs w:val="17"/>
          <w:color w:val="auto"/>
        </w:rPr>
        <w:t>Unless otherwise indicated, references to "sections" or "subsections" in this Paragraph A of this Article III refer to sections and subsections of this Paragraph A of this Article III.</w:t>
      </w:r>
    </w:p>
    <w:p>
      <w:pPr>
        <w:spacing w:after="0" w:line="134" w:lineRule="exact"/>
        <w:rPr>
          <w:sz w:val="20"/>
          <w:szCs w:val="20"/>
          <w:color w:val="auto"/>
        </w:rPr>
      </w:pPr>
    </w:p>
    <w:p>
      <w:pPr>
        <w:ind w:left="2720" w:hanging="521"/>
        <w:spacing w:after="0"/>
        <w:tabs>
          <w:tab w:leader="none" w:pos="272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General</w:t>
      </w:r>
    </w:p>
    <w:p>
      <w:pPr>
        <w:spacing w:after="0" w:line="177" w:lineRule="exact"/>
        <w:rPr>
          <w:rFonts w:ascii="Arial" w:cs="Arial" w:eastAsia="Arial" w:hAnsi="Arial"/>
          <w:sz w:val="17"/>
          <w:szCs w:val="17"/>
          <w:color w:val="auto"/>
        </w:rPr>
      </w:pPr>
    </w:p>
    <w:p>
      <w:pPr>
        <w:jc w:val="both"/>
        <w:ind w:left="1180" w:right="1179" w:firstLine="1532"/>
        <w:spacing w:after="0" w:line="245" w:lineRule="auto"/>
        <w:tabs>
          <w:tab w:leader="none" w:pos="3229"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dividend, liquidation and other rights of the holders of the Common Stock are expressly made subject to and qualified by the rights of the holders of any classes or series of Preferred Stock. Except as set forth below, all shares of Common Stock (whether Voting Common Stock or Non-Voting Common Stock) will be identical and will entitle the holders thereof to the same rights and privileges.</w:t>
      </w:r>
    </w:p>
    <w:p>
      <w:pPr>
        <w:spacing w:after="0" w:line="148" w:lineRule="exact"/>
        <w:rPr>
          <w:rFonts w:ascii="Arial" w:cs="Arial" w:eastAsia="Arial" w:hAnsi="Arial"/>
          <w:sz w:val="17"/>
          <w:szCs w:val="17"/>
          <w:color w:val="auto"/>
        </w:rPr>
      </w:pPr>
    </w:p>
    <w:p>
      <w:pPr>
        <w:ind w:left="1220" w:right="1199" w:firstLine="1492"/>
        <w:spacing w:after="0" w:line="268" w:lineRule="auto"/>
        <w:tabs>
          <w:tab w:leader="none" w:pos="3218"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Definitions. </w:t>
      </w:r>
      <w:r>
        <w:rPr>
          <w:rFonts w:ascii="Arial" w:cs="Arial" w:eastAsia="Arial" w:hAnsi="Arial"/>
          <w:sz w:val="17"/>
          <w:szCs w:val="17"/>
          <w:color w:val="auto"/>
        </w:rPr>
        <w:t>For purposes of this Paragraph A of this Article III,</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terms shall have the meanings indicated:</w:t>
      </w:r>
    </w:p>
    <w:p>
      <w:pPr>
        <w:spacing w:after="0" w:line="124" w:lineRule="exact"/>
        <w:rPr>
          <w:rFonts w:ascii="Arial" w:cs="Arial" w:eastAsia="Arial" w:hAnsi="Arial"/>
          <w:sz w:val="17"/>
          <w:szCs w:val="17"/>
          <w:color w:val="auto"/>
        </w:rPr>
      </w:pPr>
    </w:p>
    <w:p>
      <w:pPr>
        <w:jc w:val="both"/>
        <w:ind w:left="1180" w:right="1179" w:firstLine="2045"/>
        <w:spacing w:after="0" w:line="245" w:lineRule="auto"/>
        <w:tabs>
          <w:tab w:leader="none" w:pos="3691" w:val="left"/>
        </w:tabs>
        <w:numPr>
          <w:ilvl w:val="2"/>
          <w:numId w:val="34"/>
        </w:numPr>
        <w:rPr>
          <w:rFonts w:ascii="Arial" w:cs="Arial" w:eastAsia="Arial" w:hAnsi="Arial"/>
          <w:sz w:val="17"/>
          <w:szCs w:val="17"/>
          <w:color w:val="auto"/>
        </w:rPr>
      </w:pPr>
      <w:r>
        <w:rPr>
          <w:rFonts w:ascii="Arial" w:cs="Arial" w:eastAsia="Arial" w:hAnsi="Arial"/>
          <w:sz w:val="17"/>
          <w:szCs w:val="17"/>
          <w:color w:val="auto"/>
        </w:rPr>
        <w:t>"Affiliate" of any specified Person means any other Person directly or indirectly controlling or controlled by or under direct or indirect common control with such specified Person, including as such term is defined in Section 2(k) of the federal Bank Holding Company Act of 1956, as amended.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3" w:lineRule="exact"/>
        <w:rPr>
          <w:rFonts w:ascii="Arial" w:cs="Arial" w:eastAsia="Arial" w:hAnsi="Arial"/>
          <w:sz w:val="17"/>
          <w:szCs w:val="17"/>
          <w:color w:val="auto"/>
        </w:rPr>
      </w:pPr>
    </w:p>
    <w:p>
      <w:pPr>
        <w:jc w:val="both"/>
        <w:ind w:left="1180" w:right="1179" w:firstLine="2045"/>
        <w:spacing w:after="0" w:line="261" w:lineRule="auto"/>
        <w:tabs>
          <w:tab w:leader="none" w:pos="3690" w:val="left"/>
        </w:tabs>
        <w:numPr>
          <w:ilvl w:val="2"/>
          <w:numId w:val="34"/>
        </w:numPr>
        <w:rPr>
          <w:rFonts w:ascii="Arial" w:cs="Arial" w:eastAsia="Arial" w:hAnsi="Arial"/>
          <w:sz w:val="17"/>
          <w:szCs w:val="17"/>
          <w:color w:val="auto"/>
        </w:rPr>
      </w:pPr>
      <w:r>
        <w:rPr>
          <w:rFonts w:ascii="Arial" w:cs="Arial" w:eastAsia="Arial" w:hAnsi="Arial"/>
          <w:sz w:val="17"/>
          <w:szCs w:val="17"/>
          <w:color w:val="auto"/>
        </w:rPr>
        <w:t>"Beneficially own," "beneficial owner" and "beneficial ownership" and similar terms are defined in Rules 13d-3 and 13d-5 of the Exchange Act.</w:t>
      </w:r>
    </w:p>
    <w:p>
      <w:pPr>
        <w:spacing w:after="0" w:line="140" w:lineRule="exact"/>
        <w:rPr>
          <w:rFonts w:ascii="Arial" w:cs="Arial" w:eastAsia="Arial" w:hAnsi="Arial"/>
          <w:sz w:val="17"/>
          <w:szCs w:val="17"/>
          <w:color w:val="auto"/>
        </w:rPr>
      </w:pPr>
    </w:p>
    <w:p>
      <w:pPr>
        <w:jc w:val="both"/>
        <w:ind w:left="1180" w:right="1179" w:firstLine="2045"/>
        <w:spacing w:after="0" w:line="248" w:lineRule="auto"/>
        <w:tabs>
          <w:tab w:leader="none" w:pos="3691" w:val="left"/>
        </w:tabs>
        <w:numPr>
          <w:ilvl w:val="2"/>
          <w:numId w:val="34"/>
        </w:numPr>
        <w:rPr>
          <w:rFonts w:ascii="Arial" w:cs="Arial" w:eastAsia="Arial" w:hAnsi="Arial"/>
          <w:sz w:val="17"/>
          <w:szCs w:val="17"/>
          <w:color w:val="auto"/>
        </w:rPr>
      </w:pPr>
      <w:r>
        <w:rPr>
          <w:rFonts w:ascii="Arial" w:cs="Arial" w:eastAsia="Arial" w:hAnsi="Arial"/>
          <w:sz w:val="17"/>
          <w:szCs w:val="17"/>
          <w:color w:val="auto"/>
        </w:rPr>
        <w:t>"Business Day" means any day other than a Saturday or Sunday, a day on which, in the County of Miami-Dade, State of Florida, banking institutions generally are authorized or obligated by law or executive order to be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019"/>
          </w:cols>
          <w:pgMar w:left="1440" w:top="1224" w:right="1440" w:bottom="1440" w:gutter="0" w:footer="0" w:header="0"/>
        </w:sectPr>
      </w:pPr>
    </w:p>
    <w:bookmarkStart w:id="63" w:name="page64"/>
    <w:bookmarkEnd w:id="63"/>
    <w:p>
      <w:pPr>
        <w:jc w:val="both"/>
        <w:ind w:left="1180" w:right="1179" w:firstLine="205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(iv) "Conversion Agent" means the Transfer Agent acting in its capacity as conversion agent for the shares of the Non-Voting Common Stock, and its successors and assigns.</w:t>
      </w:r>
    </w:p>
    <w:p>
      <w:pPr>
        <w:spacing w:after="0" w:line="134" w:lineRule="exact"/>
        <w:rPr>
          <w:sz w:val="20"/>
          <w:szCs w:val="20"/>
          <w:color w:val="auto"/>
        </w:rPr>
      </w:pPr>
    </w:p>
    <w:p>
      <w:pPr>
        <w:jc w:val="both"/>
        <w:ind w:left="1180" w:right="1179" w:firstLine="2050"/>
        <w:spacing w:after="0" w:line="255" w:lineRule="auto"/>
        <w:rPr>
          <w:sz w:val="20"/>
          <w:szCs w:val="20"/>
          <w:color w:val="auto"/>
        </w:rPr>
      </w:pPr>
      <w:r>
        <w:rPr>
          <w:rFonts w:ascii="Arial" w:cs="Arial" w:eastAsia="Arial" w:hAnsi="Arial"/>
          <w:sz w:val="17"/>
          <w:szCs w:val="17"/>
          <w:color w:val="auto"/>
        </w:rPr>
        <w:t>(v) "Conversion Date" means, with respect to any given share of Non-Voting Common Stock, the date on which such share of Non-Voting Common Stock has been converted pursuant to Section 3(c)(i).</w:t>
      </w:r>
    </w:p>
    <w:p>
      <w:pPr>
        <w:spacing w:after="0" w:line="145" w:lineRule="exact"/>
        <w:rPr>
          <w:sz w:val="20"/>
          <w:szCs w:val="20"/>
          <w:color w:val="auto"/>
        </w:rPr>
      </w:pPr>
    </w:p>
    <w:p>
      <w:pPr>
        <w:jc w:val="both"/>
        <w:ind w:left="1180" w:right="1179" w:firstLine="2050"/>
        <w:spacing w:after="0" w:line="243" w:lineRule="auto"/>
        <w:rPr>
          <w:sz w:val="20"/>
          <w:szCs w:val="20"/>
          <w:color w:val="auto"/>
        </w:rPr>
      </w:pPr>
      <w:r>
        <w:rPr>
          <w:rFonts w:ascii="Arial" w:cs="Arial" w:eastAsia="Arial" w:hAnsi="Arial"/>
          <w:sz w:val="17"/>
          <w:szCs w:val="17"/>
          <w:color w:val="auto"/>
        </w:rPr>
        <w:t>(vi) "Converted Stock Equivalent Amount" means, for each share of Non-Voting Common Stock, one</w:t>
      </w:r>
      <w:r>
        <w:rPr>
          <w:rFonts w:ascii="Arial" w:cs="Arial" w:eastAsia="Arial" w:hAnsi="Arial"/>
          <w:sz w:val="11"/>
          <w:szCs w:val="11"/>
          <w:color w:val="auto"/>
        </w:rPr>
        <w:t>1</w:t>
      </w:r>
      <w:r>
        <w:rPr>
          <w:rFonts w:ascii="Arial" w:cs="Arial" w:eastAsia="Arial" w:hAnsi="Arial"/>
          <w:sz w:val="17"/>
          <w:szCs w:val="17"/>
          <w:color w:val="auto"/>
        </w:rPr>
        <w:t xml:space="preserve"> share of Voting Common Stock; provided that if, after issuance of any Non-Voting Common Stock, the Corporation subdivides or splits its outstanding shares of Voting Common Stock, including by way of a dividend or distribution of Voting Common Stock, or combines its outstanding shares of Voting Common Stock into a lesser number of shares, the "Converted Stock Equivalent Amount" with respect to such issued and outstanding shares of Non-Voting Common Stock shall be proportionately adjusted as if such action applied to the shares of Voting Common Stock represented by the Converted Stock Equivalent Amount.</w:t>
      </w:r>
    </w:p>
    <w:p>
      <w:pPr>
        <w:spacing w:after="0" w:line="150" w:lineRule="exact"/>
        <w:rPr>
          <w:sz w:val="20"/>
          <w:szCs w:val="20"/>
          <w:color w:val="auto"/>
        </w:rPr>
      </w:pPr>
    </w:p>
    <w:p>
      <w:pPr>
        <w:ind w:left="3220"/>
        <w:spacing w:after="0"/>
        <w:tabs>
          <w:tab w:leader="none" w:pos="3660" w:val="left"/>
        </w:tabs>
        <w:rPr>
          <w:sz w:val="20"/>
          <w:szCs w:val="20"/>
          <w:color w:val="auto"/>
        </w:rPr>
      </w:pPr>
      <w:r>
        <w:rPr>
          <w:rFonts w:ascii="Arial" w:cs="Arial" w:eastAsia="Arial" w:hAnsi="Arial"/>
          <w:sz w:val="17"/>
          <w:szCs w:val="17"/>
          <w:color w:val="auto"/>
        </w:rPr>
        <w:t>(vii)</w:t>
        <w:tab/>
        <w:t>"DTC" shall have the meaning set forth in Section</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3(c)(ii).</w:t>
      </w:r>
    </w:p>
    <w:p>
      <w:pPr>
        <w:spacing w:after="0" w:line="155" w:lineRule="exact"/>
        <w:rPr>
          <w:sz w:val="20"/>
          <w:szCs w:val="20"/>
          <w:color w:val="auto"/>
        </w:rPr>
      </w:pPr>
    </w:p>
    <w:p>
      <w:pPr>
        <w:ind w:left="1180" w:right="1219" w:firstLine="2050"/>
        <w:spacing w:after="0" w:line="261" w:lineRule="auto"/>
        <w:rPr>
          <w:sz w:val="20"/>
          <w:szCs w:val="20"/>
          <w:color w:val="auto"/>
        </w:rPr>
      </w:pPr>
      <w:r>
        <w:rPr>
          <w:rFonts w:ascii="Arial" w:cs="Arial" w:eastAsia="Arial" w:hAnsi="Arial"/>
          <w:sz w:val="17"/>
          <w:szCs w:val="17"/>
          <w:color w:val="auto"/>
        </w:rPr>
        <w:t>(viii) "Exchange Act" means the Securities Exchange Act of 1934, as amended, and the regulations promulgated thereunder.</w:t>
      </w:r>
    </w:p>
    <w:p>
      <w:pPr>
        <w:spacing w:after="0" w:line="140" w:lineRule="exact"/>
        <w:rPr>
          <w:sz w:val="20"/>
          <w:szCs w:val="20"/>
          <w:color w:val="auto"/>
        </w:rPr>
      </w:pPr>
    </w:p>
    <w:p>
      <w:pPr>
        <w:jc w:val="both"/>
        <w:ind w:left="1180" w:right="1179" w:firstLine="2050"/>
        <w:spacing w:after="0" w:line="248" w:lineRule="auto"/>
        <w:rPr>
          <w:sz w:val="20"/>
          <w:szCs w:val="20"/>
          <w:color w:val="auto"/>
        </w:rPr>
      </w:pPr>
      <w:r>
        <w:rPr>
          <w:rFonts w:ascii="Arial" w:cs="Arial" w:eastAsia="Arial" w:hAnsi="Arial"/>
          <w:sz w:val="17"/>
          <w:szCs w:val="17"/>
          <w:color w:val="auto"/>
        </w:rPr>
        <w:t>(ix) "Holder" means the Person in whose name shares of the Voting Common Stock or the Non-Voting Common Stock, as the case may be, are registered, who may be treated by the Corporation, Transfer Agent, registrar, paying agent and Conversion Agent as the absolute owner of such stock for all purposes.</w:t>
      </w:r>
    </w:p>
    <w:p>
      <w:pPr>
        <w:spacing w:after="0" w:line="142" w:lineRule="exact"/>
        <w:rPr>
          <w:sz w:val="20"/>
          <w:szCs w:val="20"/>
          <w:color w:val="auto"/>
        </w:rPr>
      </w:pPr>
    </w:p>
    <w:p>
      <w:pPr>
        <w:ind w:left="1180" w:right="1199" w:firstLine="2050"/>
        <w:spacing w:after="0" w:line="274" w:lineRule="auto"/>
        <w:rPr>
          <w:sz w:val="20"/>
          <w:szCs w:val="20"/>
          <w:color w:val="auto"/>
        </w:rPr>
      </w:pPr>
      <w:r>
        <w:rPr>
          <w:rFonts w:ascii="Arial" w:cs="Arial" w:eastAsia="Arial" w:hAnsi="Arial"/>
          <w:sz w:val="17"/>
          <w:szCs w:val="17"/>
          <w:color w:val="auto"/>
        </w:rPr>
        <w:t>(x) "Liquidation Event" means any voluntary or involuntary liquidation, dissolution or winding-up of the affairs of the Corporation.</w:t>
      </w:r>
    </w:p>
    <w:p>
      <w:pPr>
        <w:spacing w:after="0" w:line="119" w:lineRule="exact"/>
        <w:rPr>
          <w:sz w:val="20"/>
          <w:szCs w:val="20"/>
          <w:color w:val="auto"/>
        </w:rPr>
      </w:pPr>
    </w:p>
    <w:p>
      <w:pPr>
        <w:jc w:val="both"/>
        <w:ind w:left="1180" w:right="1179" w:firstLine="2050"/>
        <w:spacing w:after="0" w:line="255" w:lineRule="auto"/>
        <w:rPr>
          <w:sz w:val="20"/>
          <w:szCs w:val="20"/>
          <w:color w:val="auto"/>
        </w:rPr>
      </w:pPr>
      <w:r>
        <w:rPr>
          <w:rFonts w:ascii="Arial" w:cs="Arial" w:eastAsia="Arial" w:hAnsi="Arial"/>
          <w:sz w:val="17"/>
          <w:szCs w:val="17"/>
          <w:color w:val="auto"/>
        </w:rPr>
        <w:t>(xi) "Person" means a legal person, including any individual, corporation, estate, partnership, joint venture, association, joint-stock company, limited liability company or trust.</w:t>
      </w:r>
    </w:p>
    <w:p>
      <w:pPr>
        <w:spacing w:after="0" w:line="134" w:lineRule="exact"/>
        <w:rPr>
          <w:sz w:val="20"/>
          <w:szCs w:val="20"/>
          <w:color w:val="auto"/>
        </w:rPr>
      </w:pPr>
    </w:p>
    <w:p>
      <w:pPr>
        <w:jc w:val="both"/>
        <w:ind w:left="1180" w:right="1179" w:firstLine="2050"/>
        <w:spacing w:after="0" w:line="248" w:lineRule="auto"/>
        <w:rPr>
          <w:sz w:val="20"/>
          <w:szCs w:val="20"/>
          <w:color w:val="auto"/>
        </w:rPr>
      </w:pPr>
      <w:r>
        <w:rPr>
          <w:rFonts w:ascii="Arial" w:cs="Arial" w:eastAsia="Arial" w:hAnsi="Arial"/>
          <w:sz w:val="17"/>
          <w:szCs w:val="17"/>
          <w:color w:val="auto"/>
        </w:rPr>
        <w:t>(xii) "Senior Stock" means any class or series of capital stock of the Corporation the terms of which expressly provide that such class or series will rank senior to the Voting Common Stock and the Non-Voting Common Stock as to dividend rights and/or as to rights on liquidation, dissolution or winding-up of the Corporation (in each case, without regard to whether dividends accrue cumulatively or non-cumulatively).</w:t>
      </w:r>
    </w:p>
    <w:p>
      <w:pPr>
        <w:spacing w:after="0" w:line="143" w:lineRule="exact"/>
        <w:rPr>
          <w:sz w:val="20"/>
          <w:szCs w:val="20"/>
          <w:color w:val="auto"/>
        </w:rPr>
      </w:pPr>
    </w:p>
    <w:p>
      <w:pPr>
        <w:jc w:val="both"/>
        <w:ind w:left="1180" w:right="1179" w:firstLine="2050"/>
        <w:spacing w:after="0" w:line="261" w:lineRule="auto"/>
        <w:rPr>
          <w:sz w:val="20"/>
          <w:szCs w:val="20"/>
          <w:color w:val="auto"/>
        </w:rPr>
      </w:pPr>
      <w:r>
        <w:rPr>
          <w:rFonts w:ascii="Arial" w:cs="Arial" w:eastAsia="Arial" w:hAnsi="Arial"/>
          <w:sz w:val="17"/>
          <w:szCs w:val="17"/>
          <w:color w:val="auto"/>
        </w:rPr>
        <w:t>(xiii) "Transfer" means any sale, transfer, assignment or other disposition (including by merger, reorganization, operation of law or otherwise).</w:t>
      </w:r>
    </w:p>
    <w:p>
      <w:pPr>
        <w:spacing w:after="0" w:line="307" w:lineRule="exact"/>
        <w:rPr>
          <w:sz w:val="20"/>
          <w:szCs w:val="20"/>
          <w:color w:val="auto"/>
        </w:rPr>
      </w:pPr>
    </w:p>
    <w:p>
      <w:pPr>
        <w:ind w:left="118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Articles amended, effective May 24, 2023, to change the conversion ratio from 0.2 to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1232" w:right="1440" w:bottom="1440" w:gutter="0" w:footer="0" w:header="0"/>
        </w:sectPr>
      </w:pPr>
    </w:p>
    <w:bookmarkStart w:id="64" w:name="page65"/>
    <w:bookmarkEnd w:id="64"/>
    <w:p>
      <w:pPr>
        <w:jc w:val="both"/>
        <w:ind w:left="1180" w:right="1199" w:firstLine="2045"/>
        <w:spacing w:after="0" w:line="255" w:lineRule="auto"/>
        <w:tabs>
          <w:tab w:leader="none" w:pos="3691" w:val="left"/>
        </w:tabs>
        <w:numPr>
          <w:ilvl w:val="2"/>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"Transfer Agent" means initially the Corporation acting as transfer agent, registrar, paying agent and Conversion Agent and its successors and assigns and thereafter any Person appointed by the Corporation as Transfer Agent.</w:t>
      </w:r>
    </w:p>
    <w:p>
      <w:pPr>
        <w:spacing w:after="0" w:line="134" w:lineRule="exact"/>
        <w:rPr>
          <w:rFonts w:ascii="Arial" w:cs="Arial" w:eastAsia="Arial" w:hAnsi="Arial"/>
          <w:sz w:val="17"/>
          <w:szCs w:val="17"/>
          <w:color w:val="auto"/>
        </w:rPr>
      </w:pPr>
    </w:p>
    <w:p>
      <w:pPr>
        <w:ind w:left="3680" w:hanging="455"/>
        <w:spacing w:after="0"/>
        <w:tabs>
          <w:tab w:leader="none" w:pos="36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"Transfer Certification" shall have the meaning set forth</w:t>
      </w:r>
    </w:p>
    <w:p>
      <w:pPr>
        <w:spacing w:after="0" w:line="19"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in Section 3(c)(ii).</w:t>
      </w:r>
    </w:p>
    <w:p>
      <w:pPr>
        <w:spacing w:after="0" w:line="155" w:lineRule="exact"/>
        <w:rPr>
          <w:rFonts w:ascii="Arial" w:cs="Arial" w:eastAsia="Arial" w:hAnsi="Arial"/>
          <w:sz w:val="17"/>
          <w:szCs w:val="17"/>
          <w:color w:val="auto"/>
        </w:rPr>
      </w:pPr>
    </w:p>
    <w:p>
      <w:pPr>
        <w:ind w:left="1180" w:right="1179" w:firstLine="2045"/>
        <w:spacing w:after="0" w:line="261" w:lineRule="auto"/>
        <w:tabs>
          <w:tab w:leader="none" w:pos="3691" w:val="left"/>
        </w:tabs>
        <w:numPr>
          <w:ilvl w:val="2"/>
          <w:numId w:val="35"/>
        </w:numPr>
        <w:rPr>
          <w:rFonts w:ascii="Arial" w:cs="Arial" w:eastAsia="Arial" w:hAnsi="Arial"/>
          <w:sz w:val="17"/>
          <w:szCs w:val="17"/>
          <w:color w:val="auto"/>
        </w:rPr>
      </w:pPr>
      <w:r>
        <w:rPr>
          <w:rFonts w:ascii="Arial" w:cs="Arial" w:eastAsia="Arial" w:hAnsi="Arial"/>
          <w:sz w:val="17"/>
          <w:szCs w:val="17"/>
          <w:color w:val="auto"/>
        </w:rPr>
        <w:t>"Voting Group" has the meaning set forth in Section 607.01401(78), Florida Business Corporation Act.</w:t>
      </w:r>
    </w:p>
    <w:p>
      <w:pPr>
        <w:spacing w:after="0" w:line="140" w:lineRule="exact"/>
        <w:rPr>
          <w:rFonts w:ascii="Arial" w:cs="Arial" w:eastAsia="Arial" w:hAnsi="Arial"/>
          <w:sz w:val="17"/>
          <w:szCs w:val="17"/>
          <w:color w:val="auto"/>
        </w:rPr>
      </w:pPr>
    </w:p>
    <w:p>
      <w:pPr>
        <w:jc w:val="both"/>
        <w:ind w:left="1180" w:right="1179" w:firstLine="2045"/>
        <w:spacing w:after="0" w:line="255" w:lineRule="auto"/>
        <w:tabs>
          <w:tab w:leader="none" w:pos="3690" w:val="left"/>
        </w:tabs>
        <w:numPr>
          <w:ilvl w:val="2"/>
          <w:numId w:val="35"/>
        </w:numPr>
        <w:rPr>
          <w:rFonts w:ascii="Arial" w:cs="Arial" w:eastAsia="Arial" w:hAnsi="Arial"/>
          <w:sz w:val="17"/>
          <w:szCs w:val="17"/>
          <w:color w:val="auto"/>
        </w:rPr>
      </w:pPr>
      <w:r>
        <w:rPr>
          <w:rFonts w:ascii="Arial" w:cs="Arial" w:eastAsia="Arial" w:hAnsi="Arial"/>
          <w:sz w:val="17"/>
          <w:szCs w:val="17"/>
          <w:color w:val="auto"/>
        </w:rPr>
        <w:t>"Voting Securities" means capital stock of the Corporation that is then entitled to vote generally in the election of directors of the Corporation.</w:t>
      </w:r>
    </w:p>
    <w:p>
      <w:pPr>
        <w:spacing w:after="0" w:line="134" w:lineRule="exact"/>
        <w:rPr>
          <w:rFonts w:ascii="Arial" w:cs="Arial" w:eastAsia="Arial" w:hAnsi="Arial"/>
          <w:sz w:val="17"/>
          <w:szCs w:val="17"/>
          <w:color w:val="auto"/>
        </w:rPr>
      </w:pPr>
    </w:p>
    <w:p>
      <w:pPr>
        <w:ind w:left="2720" w:hanging="521"/>
        <w:spacing w:after="0"/>
        <w:tabs>
          <w:tab w:leader="none" w:pos="272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Voting Common Stock</w:t>
      </w:r>
    </w:p>
    <w:p>
      <w:pPr>
        <w:spacing w:after="0" w:line="161" w:lineRule="exact"/>
        <w:rPr>
          <w:rFonts w:ascii="Arial" w:cs="Arial" w:eastAsia="Arial" w:hAnsi="Arial"/>
          <w:sz w:val="17"/>
          <w:szCs w:val="17"/>
          <w:color w:val="auto"/>
        </w:rPr>
      </w:pPr>
    </w:p>
    <w:p>
      <w:pPr>
        <w:jc w:val="both"/>
        <w:ind w:left="1180" w:right="1179" w:firstLine="1532"/>
        <w:spacing w:after="0" w:line="246" w:lineRule="auto"/>
        <w:tabs>
          <w:tab w:leader="none" w:pos="323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The Holders of record of the Voting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are entitled to one (1) vote per share on all matters to be voted on by the Corporation's shareholders; provided, that, except as otherwise required by law, Holders of Voting Common Stock, as such, shall not be entitled to vote on any amendment to any provision of these Articles of Incorporation that relates solely to the terms of one or more outstanding classes or series of Preferred Stock or the Non-Voting Common Stock if these Articles of Incorporation provide that only the holders of one or more classes or series of stock of the Corporation not including the Voting Common Stock are entitled to vote thereon.</w:t>
      </w:r>
    </w:p>
    <w:p>
      <w:pPr>
        <w:spacing w:after="0" w:line="138" w:lineRule="exact"/>
        <w:rPr>
          <w:rFonts w:ascii="Arial" w:cs="Arial" w:eastAsia="Arial" w:hAnsi="Arial"/>
          <w:sz w:val="17"/>
          <w:szCs w:val="17"/>
          <w:color w:val="auto"/>
        </w:rPr>
      </w:pPr>
    </w:p>
    <w:p>
      <w:pPr>
        <w:jc w:val="both"/>
        <w:ind w:left="1180" w:right="1179" w:firstLine="1532"/>
        <w:spacing w:after="0" w:line="245" w:lineRule="auto"/>
        <w:tabs>
          <w:tab w:leader="none" w:pos="323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may be declared and paid on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from funds lawfully available therefor if, as and when determined by the Board of Directors of the Corporation (the "Board of Directors") in its sole discretion, subject to applicable provisions of Federal and Florida law and of these Articles of Incorporation, as amended from time to time, and subject to the relative rights and preferences of any shares of Non-Voting Common Stock and any shares of Preferred Stock authorized, issued and outstanding hereunder.</w:t>
      </w:r>
    </w:p>
    <w:p>
      <w:pPr>
        <w:spacing w:after="0" w:line="150" w:lineRule="exact"/>
        <w:rPr>
          <w:rFonts w:ascii="Arial" w:cs="Arial" w:eastAsia="Arial" w:hAnsi="Arial"/>
          <w:sz w:val="17"/>
          <w:szCs w:val="17"/>
          <w:color w:val="auto"/>
        </w:rPr>
      </w:pPr>
    </w:p>
    <w:p>
      <w:pPr>
        <w:ind w:left="3220" w:hanging="508"/>
        <w:spacing w:after="0"/>
        <w:tabs>
          <w:tab w:leader="none" w:pos="3220"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Liquidation Rights.</w:t>
      </w:r>
    </w:p>
    <w:p>
      <w:pPr>
        <w:spacing w:after="0" w:line="173" w:lineRule="exact"/>
        <w:rPr>
          <w:rFonts w:ascii="Arial" w:cs="Arial" w:eastAsia="Arial" w:hAnsi="Arial"/>
          <w:sz w:val="17"/>
          <w:szCs w:val="17"/>
          <w:color w:val="auto"/>
        </w:rPr>
      </w:pPr>
    </w:p>
    <w:p>
      <w:pPr>
        <w:jc w:val="both"/>
        <w:ind w:left="1180" w:right="1179" w:firstLine="2045"/>
        <w:spacing w:after="0" w:line="260" w:lineRule="auto"/>
        <w:tabs>
          <w:tab w:leader="none" w:pos="3742"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019"/>
          </w:cols>
          <w:pgMar w:left="1440" w:top="1413" w:right="1440" w:bottom="1440" w:gutter="0" w:footer="0" w:header="0"/>
        </w:sectPr>
      </w:pPr>
    </w:p>
    <w:bookmarkStart w:id="65" w:name="page66"/>
    <w:bookmarkEnd w:id="65"/>
    <w:p>
      <w:pPr>
        <w:ind w:left="1180" w:right="1179"/>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distributions upon the occurrence of a Liquidation Event, in accordance with the respective terms thereof.</w:t>
      </w:r>
    </w:p>
    <w:p>
      <w:pPr>
        <w:spacing w:after="0" w:line="119" w:lineRule="exact"/>
        <w:rPr>
          <w:sz w:val="20"/>
          <w:szCs w:val="20"/>
          <w:color w:val="auto"/>
        </w:rPr>
      </w:pPr>
    </w:p>
    <w:p>
      <w:pPr>
        <w:jc w:val="both"/>
        <w:ind w:left="1180" w:right="1179" w:firstLine="2045"/>
        <w:spacing w:after="0" w:line="244" w:lineRule="auto"/>
        <w:tabs>
          <w:tab w:leader="none" w:pos="3741" w:val="left"/>
        </w:tabs>
        <w:numPr>
          <w:ilvl w:val="2"/>
          <w:numId w:val="37"/>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xml:space="preserve"> For purposes of this Section 2(c), the merger or consolidation of the Corporation with any other corporation or other entity, including a merger or consolidation in which the Holders of 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55" w:lineRule="exact"/>
        <w:rPr>
          <w:rFonts w:ascii="Arial" w:cs="Arial" w:eastAsia="Arial" w:hAnsi="Arial"/>
          <w:sz w:val="17"/>
          <w:szCs w:val="17"/>
          <w:color w:val="auto"/>
        </w:rPr>
      </w:pPr>
    </w:p>
    <w:p>
      <w:pPr>
        <w:ind w:left="2720" w:hanging="521"/>
        <w:spacing w:after="0"/>
        <w:tabs>
          <w:tab w:leader="none" w:pos="27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Non-Voting Common Stock</w:t>
      </w:r>
    </w:p>
    <w:p>
      <w:pPr>
        <w:spacing w:after="0" w:line="161" w:lineRule="exact"/>
        <w:rPr>
          <w:rFonts w:ascii="Arial" w:cs="Arial" w:eastAsia="Arial" w:hAnsi="Arial"/>
          <w:sz w:val="17"/>
          <w:szCs w:val="17"/>
          <w:color w:val="auto"/>
        </w:rPr>
      </w:pPr>
    </w:p>
    <w:p>
      <w:pPr>
        <w:ind w:left="3220" w:hanging="508"/>
        <w:spacing w:after="0"/>
        <w:tabs>
          <w:tab w:leader="none" w:pos="3220"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Dividends.</w:t>
      </w:r>
    </w:p>
    <w:p>
      <w:pPr>
        <w:spacing w:after="0" w:line="183" w:lineRule="exact"/>
        <w:rPr>
          <w:rFonts w:ascii="Arial" w:cs="Arial" w:eastAsia="Arial" w:hAnsi="Arial"/>
          <w:sz w:val="17"/>
          <w:szCs w:val="17"/>
          <w:color w:val="auto"/>
        </w:rPr>
      </w:pPr>
    </w:p>
    <w:p>
      <w:pPr>
        <w:jc w:val="both"/>
        <w:ind w:left="1180" w:right="1179" w:firstLine="2045"/>
        <w:spacing w:after="0" w:line="241" w:lineRule="auto"/>
        <w:tabs>
          <w:tab w:leader="none" w:pos="3742" w:val="left"/>
        </w:tabs>
        <w:numPr>
          <w:ilvl w:val="2"/>
          <w:numId w:val="3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Each share of Non-Voting Common Stock shall be entitled to receive, if, as and when declared by the Board of Directors or any duly authorized committee thereof, but only out of assets legally available therefor, dividends or distributions of the same amount, in an identical form of consideration and at the same time, as those dividends or distributions that would have been payable on the number of whole shares of Voting Common Stock equal to the Converted Stock Equivalent Amount (rounding any fractional shares resulting from such computation to the nearest whole number), such that no share of Voting Common Stock shall receive a dividend or distribution unless equivalent dividends or distributions (as described above) are also made with respect to each share of Non-Voting Common Stock, taking into account any adjustment to the Converted Stock Equivalent Amount as provided herein; provided, that the foregoing shall not apply to any dividend or distribution payable in Voting Common Stock that results in an adjustment in the Converted Stock Equivalent Amount, as set forth in Section 1(b)(vi) in the definition of "Converted Stock Equivalent Amount." The Corporation shall not declare a dividend or distribution on the shares of the Voting Common Stock unless a dividend or distribution (as described above) is also declared on the shares of Non-Voting Common Stock in accordance with this Section 3(a)(i). Notwithstanding anything set forth in this Section 3(a)(i), if any dividend or distribution is payable in rights or warrants to subscribe for Voting Common Stock or purchase Voting Common Stock pursuant to a conversion feature in a debt or equity security, the corresponding dividend or distribution payable on the Non-Voting Common Stock shall consist of an identical right or warrant, except that such right or warrant shall be a right or warrant to subscribe for a number of shares of Non-Voting Common Stock equal to the number of shares of Voting Common Stock that would otherwise be subject to such right or warrant. The Non-Voting Common Stock shall have no fixed dividend rate. Each declared dividend or distribution shall be payable to the Holders of record of Non-Voting Common Stock at the same time as dividends or distributions are payable to the Holders of record of Voting Common Stock. The record dates for dividends or distributions to the Holders of Non-Voting Common Stock shall be the same as the record dates for the Voting Common Stock, and vice-versa. The Corporation shall not declare or pay a dividend or distribution to the Holders of the Non-Voting Common Stock other than as expressly provided in this Section 3(a)(i).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019"/>
          </w:cols>
          <w:pgMar w:left="1440" w:top="1232" w:right="1440" w:bottom="1440" w:gutter="0" w:footer="0" w:header="0"/>
        </w:sectPr>
      </w:pPr>
    </w:p>
    <w:bookmarkStart w:id="66" w:name="page67"/>
    <w:bookmarkEnd w:id="66"/>
    <w:p>
      <w:pPr>
        <w:jc w:val="both"/>
        <w:ind w:left="1180" w:right="1179" w:firstLine="2045"/>
        <w:spacing w:after="0" w:line="278" w:lineRule="auto"/>
        <w:tabs>
          <w:tab w:leader="none" w:pos="374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Priority of Dividends.</w:t>
      </w:r>
      <w:r>
        <w:rPr>
          <w:rFonts w:ascii="Arial" w:cs="Arial" w:eastAsia="Arial" w:hAnsi="Arial"/>
          <w:sz w:val="16"/>
          <w:szCs w:val="16"/>
          <w:color w:val="auto"/>
        </w:rPr>
        <w:t xml:space="preserve"> The Non-Voting Common Stock shall rank junior with regard to dividends to the Senior Stock. The Non-Voting Common Stock shall have the same priority, with regard to dividends, as the Voting Common Stock.</w:t>
      </w:r>
    </w:p>
    <w:p>
      <w:pPr>
        <w:spacing w:after="0" w:line="112" w:lineRule="exact"/>
        <w:rPr>
          <w:rFonts w:ascii="Arial" w:cs="Arial" w:eastAsia="Arial" w:hAnsi="Arial"/>
          <w:sz w:val="16"/>
          <w:szCs w:val="16"/>
          <w:color w:val="auto"/>
        </w:rPr>
      </w:pPr>
    </w:p>
    <w:p>
      <w:pPr>
        <w:ind w:left="3220" w:hanging="508"/>
        <w:spacing w:after="0"/>
        <w:tabs>
          <w:tab w:leader="none" w:pos="322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Liquidation Rights.</w:t>
      </w:r>
    </w:p>
    <w:p>
      <w:pPr>
        <w:spacing w:after="0" w:line="183" w:lineRule="exact"/>
        <w:rPr>
          <w:rFonts w:ascii="Arial" w:cs="Arial" w:eastAsia="Arial" w:hAnsi="Arial"/>
          <w:sz w:val="17"/>
          <w:szCs w:val="17"/>
          <w:color w:val="auto"/>
        </w:rPr>
      </w:pPr>
    </w:p>
    <w:p>
      <w:pPr>
        <w:jc w:val="both"/>
        <w:ind w:left="1180" w:right="1179" w:firstLine="2045"/>
        <w:spacing w:after="0" w:line="243" w:lineRule="auto"/>
        <w:tabs>
          <w:tab w:leader="none" w:pos="3742"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spacing w:after="0" w:line="148" w:lineRule="exact"/>
        <w:rPr>
          <w:sz w:val="20"/>
          <w:szCs w:val="20"/>
          <w:color w:val="auto"/>
        </w:rPr>
      </w:pPr>
    </w:p>
    <w:p>
      <w:pPr>
        <w:jc w:val="both"/>
        <w:ind w:left="1180" w:right="1179" w:firstLine="2045"/>
        <w:spacing w:after="0" w:line="244" w:lineRule="auto"/>
        <w:tabs>
          <w:tab w:leader="none" w:pos="374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xml:space="preserve"> For purposes of this Section 3(b), the merger or consolidation of the Corporation with any other corporation or other entity, including a merger or consolidation in which the Holders of Non-Voting Common Stock receive cash, securities or other property for their shares, or the sale, lease or exchange (for cash, securities or other property) of all or substantially all of the assets of the Corporation, shall not constitute a Liquidation Event.</w:t>
      </w:r>
    </w:p>
    <w:p>
      <w:pPr>
        <w:spacing w:after="0" w:line="149" w:lineRule="exact"/>
        <w:rPr>
          <w:rFonts w:ascii="Arial" w:cs="Arial" w:eastAsia="Arial" w:hAnsi="Arial"/>
          <w:sz w:val="17"/>
          <w:szCs w:val="17"/>
          <w:color w:val="auto"/>
        </w:rPr>
      </w:pPr>
    </w:p>
    <w:p>
      <w:pPr>
        <w:ind w:left="3220" w:hanging="508"/>
        <w:spacing w:after="0"/>
        <w:tabs>
          <w:tab w:leader="none" w:pos="322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Transfers and Conversion.</w:t>
      </w:r>
    </w:p>
    <w:p>
      <w:pPr>
        <w:spacing w:after="0" w:line="173" w:lineRule="exact"/>
        <w:rPr>
          <w:rFonts w:ascii="Arial" w:cs="Arial" w:eastAsia="Arial" w:hAnsi="Arial"/>
          <w:sz w:val="17"/>
          <w:szCs w:val="17"/>
          <w:color w:val="auto"/>
        </w:rPr>
      </w:pPr>
    </w:p>
    <w:p>
      <w:pPr>
        <w:jc w:val="both"/>
        <w:ind w:left="1180" w:right="1179" w:firstLine="2045"/>
        <w:spacing w:after="0" w:line="262" w:lineRule="auto"/>
        <w:tabs>
          <w:tab w:leader="none" w:pos="3742"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Transfers; Conversion Upon Certain Transfers.</w:t>
      </w:r>
      <w:r>
        <w:rPr>
          <w:rFonts w:ascii="Arial" w:cs="Arial" w:eastAsia="Arial" w:hAnsi="Arial"/>
          <w:sz w:val="16"/>
          <w:szCs w:val="16"/>
          <w:color w:val="auto"/>
        </w:rPr>
        <w:t xml:space="preserve"> The Non-Voting Common Stock may be Transferred only: (A) to an Affiliate of the Holder of Non-Voting Common Stock or to the Corporation; (B) pursuant to a widespread public distribution of Common Stock (including a transfer to an underwriter for the purpose of conducting a widespread public distribution or pursuant to Rule 144 under the Securities Act of 1933, as amended); (C) if no transferee (or group of associated transferees) would receive 2% or more of any class of Voting Securities or (D) to a transferee that would control more than 50% of the Voting Securities without any transfer from the transferor.</w:t>
      </w:r>
    </w:p>
    <w:p>
      <w:pPr>
        <w:spacing w:after="0" w:line="143" w:lineRule="exact"/>
        <w:rPr>
          <w:sz w:val="20"/>
          <w:szCs w:val="20"/>
          <w:color w:val="auto"/>
        </w:rPr>
      </w:pPr>
    </w:p>
    <w:p>
      <w:pPr>
        <w:jc w:val="both"/>
        <w:ind w:left="1180" w:right="1179" w:firstLine="2510"/>
        <w:spacing w:after="0" w:line="243" w:lineRule="auto"/>
        <w:rPr>
          <w:sz w:val="20"/>
          <w:szCs w:val="20"/>
          <w:color w:val="auto"/>
        </w:rPr>
      </w:pPr>
      <w:r>
        <w:rPr>
          <w:rFonts w:ascii="Arial" w:cs="Arial" w:eastAsia="Arial" w:hAnsi="Arial"/>
          <w:sz w:val="17"/>
          <w:szCs w:val="17"/>
          <w:color w:val="auto"/>
        </w:rPr>
        <w:t>Each share of Non-Voting Common Stock shall automatically convert into a number of shares of Voting Common Stock equal to the Converted Stock Equivalent Amount immediately following a Transfer of the type described in clauses (B), (C) or (D) of this Section 3(c)(i). Each certificate representing shares of Non-Voting Common Stock in respect of which a conversion has occurred in accordance with this Section 3(c)(i) shall be deemed to represent the number of shares of Voting Common Stock into which such shares of Non-Voting Common Stock have so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019"/>
          </w:cols>
          <w:pgMar w:left="1440" w:top="1232" w:right="1440" w:bottom="1440" w:gutter="0" w:footer="0" w:header="0"/>
        </w:sectPr>
      </w:pPr>
    </w:p>
    <w:bookmarkStart w:id="67" w:name="page68"/>
    <w:bookmarkEnd w:id="67"/>
    <w:p>
      <w:pPr>
        <w:jc w:val="both"/>
        <w:ind w:left="1180" w:right="1179" w:firstLine="2045"/>
        <w:spacing w:after="0" w:line="242" w:lineRule="auto"/>
        <w:tabs>
          <w:tab w:leader="none" w:pos="374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Transfer Procedures.</w:t>
      </w:r>
      <w:r>
        <w:rPr>
          <w:rFonts w:ascii="Arial" w:cs="Arial" w:eastAsia="Arial" w:hAnsi="Arial"/>
          <w:sz w:val="17"/>
          <w:szCs w:val="17"/>
          <w:color w:val="auto"/>
        </w:rPr>
        <w:t xml:space="preserve"> Upon the physical surrender to the Corporation (or, if the Transfer Agent is not the Corporation, the Transfer Agent) of the certificate representing shares of Non-Voting Common Stock converted pursuant to Section 3(c)(i) above, together with a written certification to the effect that such shares are being Transferred in accordance with clauses (B), (C) or (D) of Section 3(c)(i) above (a "Transfer Certification"), the Corporation will, or will cause the Transfer Agent to, issue and deliver a new certificate, registered as the Holder of Non-Voting Common Stock making the transfer may request, representing the aggregate number of shares of Voting Common Stock issued upon conversion of the shares of Non-Voting Common Stock being Transferred (provided that, if the transfer agent for the Common Stock is participating in The Depository Trust Company ("DTC") Fast Automated Securities Transfer Program and the transferee is eligible to receive shares through DTC, the Transfer Agent shall instead credit such number of full Voting Common Stock to such transferee's balance account with DTC through its Deposit/Withdrawal at Custodian system). In the event that less than all of the shares of Non-Voting Common Stock represented by a certificate are Transferred pursuant to clauses (B), (C) or (D) of Section 3(c)(i) above, the Corporation shall promptly issue a new certificate registered in the name of the transferor Holder of Non-Voting Common Stock representing such remaining shares of Non-Voting Common Stock not subject to such Transfer.</w:t>
      </w:r>
    </w:p>
    <w:p>
      <w:pPr>
        <w:spacing w:after="0" w:line="159" w:lineRule="exact"/>
        <w:rPr>
          <w:rFonts w:ascii="Arial" w:cs="Arial" w:eastAsia="Arial" w:hAnsi="Arial"/>
          <w:sz w:val="17"/>
          <w:szCs w:val="17"/>
          <w:color w:val="auto"/>
        </w:rPr>
      </w:pPr>
    </w:p>
    <w:p>
      <w:pPr>
        <w:jc w:val="both"/>
        <w:ind w:left="1180" w:right="1179" w:firstLine="2045"/>
        <w:spacing w:after="0" w:line="255" w:lineRule="auto"/>
        <w:tabs>
          <w:tab w:leader="none" w:pos="3742"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 Responsibility of the Corporation.</w:t>
      </w:r>
      <w:r>
        <w:rPr>
          <w:rFonts w:ascii="Arial" w:cs="Arial" w:eastAsia="Arial" w:hAnsi="Arial"/>
          <w:sz w:val="17"/>
          <w:szCs w:val="17"/>
          <w:color w:val="auto"/>
        </w:rPr>
        <w:t xml:space="preserve"> In connection with any Transfer or conversion of any shares of Non-Voting Common Stock pursuant to or as permitted by Section 3(c)(i):</w:t>
      </w:r>
    </w:p>
    <w:p>
      <w:pPr>
        <w:spacing w:after="0" w:line="134" w:lineRule="exact"/>
        <w:rPr>
          <w:rFonts w:ascii="Arial" w:cs="Arial" w:eastAsia="Arial" w:hAnsi="Arial"/>
          <w:sz w:val="17"/>
          <w:szCs w:val="17"/>
          <w:color w:val="auto"/>
        </w:rPr>
      </w:pPr>
    </w:p>
    <w:p>
      <w:pPr>
        <w:ind w:left="2720" w:right="1199" w:firstLine="1017"/>
        <w:spacing w:after="0" w:line="261" w:lineRule="auto"/>
        <w:tabs>
          <w:tab w:leader="none" w:pos="4258"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Corporation shall be under no obligation to make any investigation of facts.</w:t>
      </w:r>
    </w:p>
    <w:p>
      <w:pPr>
        <w:spacing w:after="0" w:line="140" w:lineRule="exact"/>
        <w:rPr>
          <w:rFonts w:ascii="Arial" w:cs="Arial" w:eastAsia="Arial" w:hAnsi="Arial"/>
          <w:sz w:val="17"/>
          <w:szCs w:val="17"/>
          <w:color w:val="auto"/>
        </w:rPr>
      </w:pPr>
    </w:p>
    <w:p>
      <w:pPr>
        <w:jc w:val="both"/>
        <w:ind w:left="2660" w:right="1179" w:firstLine="1026"/>
        <w:spacing w:after="0" w:line="246" w:lineRule="auto"/>
        <w:tabs>
          <w:tab w:leader="none" w:pos="4147" w:val="left"/>
        </w:tabs>
        <w:numPr>
          <w:ilvl w:val="1"/>
          <w:numId w:val="43"/>
        </w:numPr>
        <w:rPr>
          <w:rFonts w:ascii="Arial" w:cs="Arial" w:eastAsia="Arial" w:hAnsi="Arial"/>
          <w:sz w:val="17"/>
          <w:szCs w:val="17"/>
          <w:color w:val="auto"/>
        </w:rPr>
      </w:pPr>
      <w:r>
        <w:rPr>
          <w:rFonts w:ascii="Arial" w:cs="Arial" w:eastAsia="Arial" w:hAnsi="Arial"/>
          <w:sz w:val="17"/>
          <w:szCs w:val="17"/>
          <w:color w:val="auto"/>
        </w:rPr>
        <w:t>Except as otherwise required by law, neither the Corporation nor any director, officer, employee or agent of the Corporation shall be liable in any manner for any action taken or omitted in good faith in connection with the registration of any such Transfer or the issuance of shares of Voting Common Stock in connection with any such conversion.</w:t>
      </w:r>
    </w:p>
    <w:p>
      <w:pPr>
        <w:spacing w:after="0" w:line="142" w:lineRule="exact"/>
        <w:rPr>
          <w:rFonts w:ascii="Arial" w:cs="Arial" w:eastAsia="Arial" w:hAnsi="Arial"/>
          <w:sz w:val="17"/>
          <w:szCs w:val="17"/>
          <w:color w:val="auto"/>
        </w:rPr>
      </w:pPr>
    </w:p>
    <w:p>
      <w:pPr>
        <w:ind w:left="3740" w:hanging="515"/>
        <w:spacing w:after="0"/>
        <w:tabs>
          <w:tab w:leader="none" w:pos="374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Legend.</w:t>
      </w:r>
      <w:r>
        <w:rPr>
          <w:rFonts w:ascii="Arial" w:cs="Arial" w:eastAsia="Arial" w:hAnsi="Arial"/>
          <w:sz w:val="17"/>
          <w:szCs w:val="17"/>
          <w:color w:val="auto"/>
        </w:rPr>
        <w:t xml:space="preserve"> Every certificate representing shares of Non-</w:t>
      </w:r>
    </w:p>
    <w:p>
      <w:pPr>
        <w:spacing w:after="0" w:line="19"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Voting Common Stock shall bear a legend on the face thereof providing as follows:</w:t>
      </w:r>
    </w:p>
    <w:p>
      <w:pPr>
        <w:spacing w:after="0" w:line="155" w:lineRule="exact"/>
        <w:rPr>
          <w:sz w:val="20"/>
          <w:szCs w:val="20"/>
          <w:color w:val="auto"/>
        </w:rPr>
      </w:pPr>
    </w:p>
    <w:p>
      <w:pPr>
        <w:jc w:val="both"/>
        <w:ind w:left="1680" w:right="1179"/>
        <w:spacing w:after="0" w:line="243" w:lineRule="auto"/>
        <w:rPr>
          <w:sz w:val="20"/>
          <w:szCs w:val="20"/>
          <w:color w:val="auto"/>
        </w:rPr>
      </w:pPr>
      <w:r>
        <w:rPr>
          <w:rFonts w:ascii="Arial" w:cs="Arial" w:eastAsia="Arial" w:hAnsi="Arial"/>
          <w:sz w:val="17"/>
          <w:szCs w:val="17"/>
          <w:color w:val="auto"/>
        </w:rPr>
        <w:t>"THE SHARES OF NON-VOTING COMMON STOCK REPRESENTED BY THIS CERTIFICATE ARE SUBJECT TO PROVISIONS WITH RESPECT TO, INCLUDING RESTRICTIONS ON PERMITTED SALE, ASSIGNMENT OR OTHER TRANSFER SET FORTH IN ARTICLE III, PARAGRAPH A, SECTION 3(C)(I), AND ARTICLE X, OF THE CORPORATION'S ARTICLES OF INCORPORATION, INCLUDING A PROVISION PROVIDING FOR AUTOMATIC CONVERSION OF SHARES OF NON-VOTING COMMON STOCK INTO SHARES OF VOTING COMMON STOCK UPON CERTAIN SALES, ASSIGNMENTS OR OTHER TRANSFERS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019"/>
          </w:cols>
          <w:pgMar w:left="1440" w:top="1232" w:right="1440" w:bottom="1440" w:gutter="0" w:footer="0" w:header="0"/>
        </w:sectPr>
      </w:pPr>
    </w:p>
    <w:bookmarkStart w:id="68" w:name="page69"/>
    <w:bookmarkEnd w:id="68"/>
    <w:p>
      <w:pPr>
        <w:jc w:val="both"/>
        <w:ind w:left="1180" w:right="1179" w:firstLine="2045"/>
        <w:spacing w:after="0" w:line="278" w:lineRule="auto"/>
        <w:tabs>
          <w:tab w:leader="none" w:pos="3741"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No Effect on Other Obligations.</w:t>
      </w:r>
      <w:r>
        <w:rPr>
          <w:rFonts w:ascii="Arial" w:cs="Arial" w:eastAsia="Arial" w:hAnsi="Arial"/>
          <w:sz w:val="16"/>
          <w:szCs w:val="16"/>
          <w:color w:val="auto"/>
        </w:rPr>
        <w:t xml:space="preserve"> Nothing contained in this Section 3(c) shall be deemed to eliminate or otherwise modify any other requirements applicable to Transfers under these Articles of Incorporation or applicable law.</w:t>
      </w:r>
    </w:p>
    <w:p>
      <w:pPr>
        <w:spacing w:after="0" w:line="118" w:lineRule="exact"/>
        <w:rPr>
          <w:rFonts w:ascii="Arial" w:cs="Arial" w:eastAsia="Arial" w:hAnsi="Arial"/>
          <w:sz w:val="16"/>
          <w:szCs w:val="16"/>
          <w:color w:val="auto"/>
        </w:rPr>
      </w:pPr>
    </w:p>
    <w:p>
      <w:pPr>
        <w:jc w:val="both"/>
        <w:ind w:left="1180" w:right="1179" w:firstLine="2045"/>
        <w:spacing w:after="0" w:line="245" w:lineRule="auto"/>
        <w:tabs>
          <w:tab w:leader="none" w:pos="3742"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Effective immediately prior to the close of business on the Conversion Date, dividends shall no longer be declared on any such converted shares of Non-Voting Common Stock, and such shares of Non-Voting Common Stock shall represent only the right to receive shares of Voting Common Stock issuable upon conversion of such shares; provided, that Holders of Non-Voting Common Stock shall have the right to receive any declared and unpaid dividends as of the Conversion Date on such shares and any other payments to which they are otherwise entitled pursuant to the terms hereof.</w:t>
      </w:r>
    </w:p>
    <w:p>
      <w:pPr>
        <w:spacing w:after="0" w:line="153" w:lineRule="exact"/>
        <w:rPr>
          <w:rFonts w:ascii="Arial" w:cs="Arial" w:eastAsia="Arial" w:hAnsi="Arial"/>
          <w:sz w:val="17"/>
          <w:szCs w:val="17"/>
          <w:color w:val="auto"/>
        </w:rPr>
      </w:pPr>
    </w:p>
    <w:p>
      <w:pPr>
        <w:jc w:val="both"/>
        <w:ind w:left="1180" w:right="1179" w:firstLine="2045"/>
        <w:spacing w:after="0" w:line="245" w:lineRule="auto"/>
        <w:tabs>
          <w:tab w:leader="none" w:pos="3741"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Record Holder as of Conversion Date.</w:t>
      </w:r>
      <w:r>
        <w:rPr>
          <w:rFonts w:ascii="Arial" w:cs="Arial" w:eastAsia="Arial" w:hAnsi="Arial"/>
          <w:sz w:val="17"/>
          <w:szCs w:val="17"/>
          <w:color w:val="auto"/>
        </w:rPr>
        <w:t xml:space="preserve"> The Person or Persons entitled to receive shares of Voting Common Stock issuable upon conversion of Non-Voting Common Stock on any applicable Conversion Date shall be treated for all purposes as the record Holder(s) of such shares of Voting Common Stock immediately upon Conversion in accordance with Section 3(c)(i).</w:t>
      </w:r>
    </w:p>
    <w:p>
      <w:pPr>
        <w:spacing w:after="0" w:line="137" w:lineRule="exact"/>
        <w:rPr>
          <w:rFonts w:ascii="Arial" w:cs="Arial" w:eastAsia="Arial" w:hAnsi="Arial"/>
          <w:sz w:val="17"/>
          <w:szCs w:val="17"/>
          <w:color w:val="auto"/>
        </w:rPr>
      </w:pPr>
    </w:p>
    <w:p>
      <w:pPr>
        <w:ind w:left="3220" w:hanging="508"/>
        <w:spacing w:after="0"/>
        <w:tabs>
          <w:tab w:leader="none" w:pos="322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Voting Rights.</w:t>
      </w:r>
    </w:p>
    <w:p>
      <w:pPr>
        <w:spacing w:after="0" w:line="183" w:lineRule="exact"/>
        <w:rPr>
          <w:rFonts w:ascii="Arial" w:cs="Arial" w:eastAsia="Arial" w:hAnsi="Arial"/>
          <w:sz w:val="17"/>
          <w:szCs w:val="17"/>
          <w:color w:val="auto"/>
        </w:rPr>
      </w:pPr>
    </w:p>
    <w:p>
      <w:pPr>
        <w:jc w:val="both"/>
        <w:ind w:left="1180" w:right="1179" w:firstLine="2045"/>
        <w:spacing w:after="0" w:line="244" w:lineRule="auto"/>
        <w:tabs>
          <w:tab w:leader="none" w:pos="3742"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Holders of Non-Voting Common Stock shall be entitled to notice of and attendance at all shareholder meetings at which Holders of shares of Voting Common Stock shall be entitled to vote; provided, that notwithstanding any such notice, except as required by applicable law or as expressly set forth herein, the Holders of Non-Voting Common Stock shall not be entitled to vote on any matter presented to the shareholders of the Corporation for their action or consideration, including the election of directors of the Corporation.</w:t>
      </w:r>
    </w:p>
    <w:p>
      <w:pPr>
        <w:spacing w:after="0" w:line="155" w:lineRule="exact"/>
        <w:rPr>
          <w:rFonts w:ascii="Arial" w:cs="Arial" w:eastAsia="Arial" w:hAnsi="Arial"/>
          <w:sz w:val="17"/>
          <w:szCs w:val="17"/>
          <w:color w:val="auto"/>
        </w:rPr>
      </w:pPr>
    </w:p>
    <w:p>
      <w:pPr>
        <w:jc w:val="both"/>
        <w:ind w:left="1220" w:right="1239" w:firstLine="1954"/>
        <w:spacing w:after="0" w:line="243" w:lineRule="auto"/>
        <w:tabs>
          <w:tab w:leader="none" w:pos="367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Protective Consent Rights.</w:t>
      </w:r>
      <w:r>
        <w:rPr>
          <w:rFonts w:ascii="Arial" w:cs="Arial" w:eastAsia="Arial" w:hAnsi="Arial"/>
          <w:sz w:val="17"/>
          <w:szCs w:val="17"/>
          <w:color w:val="auto"/>
        </w:rPr>
        <w:t xml:space="preserve"> In addition to any approval rights that may be required by applicable law, the consent of the Holders of Non-Voting Common Stock representing a majority of the number of shares of Non-Voting Common Stock then issued and outstanding, given in person or by proxy, either in writing or by vote, at a special or annual meeting, voting or consenting as a separate class, shall be necessary to: (A) amend, alter or repeal (including by merger, consolidation or otherwise) any provision of these Articles of Incorporation that significantly and adversely affects the rights, preferences or terms of the Non-Voting Common Stock contained herein in a manner that is different from the effect of such amendment, alteration or repeal on the Voting Common Stock or (B) liquidate, dissolve or windup the business and affairs of the Corporation.</w:t>
      </w:r>
    </w:p>
    <w:p>
      <w:pPr>
        <w:spacing w:after="0" w:line="148" w:lineRule="exact"/>
        <w:rPr>
          <w:rFonts w:ascii="Arial" w:cs="Arial" w:eastAsia="Arial" w:hAnsi="Arial"/>
          <w:sz w:val="17"/>
          <w:szCs w:val="17"/>
          <w:color w:val="auto"/>
        </w:rPr>
      </w:pPr>
    </w:p>
    <w:p>
      <w:pPr>
        <w:jc w:val="both"/>
        <w:ind w:left="1220" w:right="1219" w:firstLine="1954"/>
        <w:spacing w:after="0" w:line="246" w:lineRule="auto"/>
        <w:tabs>
          <w:tab w:leader="none" w:pos="3679"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xml:space="preserve"> Any action, including any vote required or permitted to be taken at any annual or special meeting of shareholders of the Corporation, that requires a separate vote of the Holders of Non-Voting Common Stock voting as a Voting Group, may be adopted or taken by such Holders without a meeting, without prior notice and without a vote, if a consent or consents in writing, setting forth the action so adopted or taken, are signed by Holders of Non-Voting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019"/>
          </w:cols>
          <w:pgMar w:left="1440" w:top="1232" w:right="1440" w:bottom="1440" w:gutter="0" w:footer="0" w:header="0"/>
        </w:sectPr>
      </w:pPr>
    </w:p>
    <w:bookmarkStart w:id="69" w:name="page70"/>
    <w:bookmarkEnd w:id="69"/>
    <w:p>
      <w:pPr>
        <w:jc w:val="both"/>
        <w:ind w:left="1220" w:right="1239"/>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Common Stock having not less than the minimum number of votes that would be required to adopt or take such action at a meeting at which all shares of Non-Voting Common Stock entitled to vote thereon were present and voted, and is delivered to the Corporation by delivery to the Corporate Secretary of the Corporation at its principal executive office.</w:t>
      </w:r>
    </w:p>
    <w:p>
      <w:pPr>
        <w:spacing w:after="0" w:line="136" w:lineRule="exact"/>
        <w:rPr>
          <w:sz w:val="20"/>
          <w:szCs w:val="20"/>
          <w:color w:val="auto"/>
        </w:rPr>
      </w:pPr>
    </w:p>
    <w:p>
      <w:pPr>
        <w:jc w:val="both"/>
        <w:ind w:left="1180" w:right="1179" w:firstLine="1532"/>
        <w:spacing w:after="0" w:line="250" w:lineRule="auto"/>
        <w:tabs>
          <w:tab w:leader="none" w:pos="323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Subdivision; Stock Splits; Combinations. </w:t>
      </w:r>
      <w:r>
        <w:rPr>
          <w:rFonts w:ascii="Arial" w:cs="Arial" w:eastAsia="Arial" w:hAnsi="Arial"/>
          <w:sz w:val="17"/>
          <w:szCs w:val="17"/>
          <w:color w:val="auto"/>
        </w:rPr>
        <w:t>The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at any time subdivide (by any stock split, stock dividend, recapitalization or otherwise) its outstanding shares of Non-Voting Common Stock into a greater number of shares, or combine (by combination, reverse stock split or otherwise) its outstanding shares of Non-Voting Common Stock into a smaller number of shares.</w:t>
      </w:r>
    </w:p>
    <w:p>
      <w:pPr>
        <w:spacing w:after="0" w:line="134" w:lineRule="exact"/>
        <w:rPr>
          <w:rFonts w:ascii="Arial" w:cs="Arial" w:eastAsia="Arial" w:hAnsi="Arial"/>
          <w:sz w:val="17"/>
          <w:szCs w:val="17"/>
          <w:color w:val="auto"/>
        </w:rPr>
      </w:pPr>
    </w:p>
    <w:p>
      <w:pPr>
        <w:jc w:val="both"/>
        <w:ind w:left="1180" w:right="1179" w:firstLine="1532"/>
        <w:spacing w:after="0" w:line="258" w:lineRule="auto"/>
        <w:tabs>
          <w:tab w:leader="none" w:pos="323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Reclassification, Consolidation, Merger or Sale. </w:t>
      </w:r>
      <w:r>
        <w:rPr>
          <w:rFonts w:ascii="Arial" w:cs="Arial" w:eastAsia="Arial" w:hAnsi="Arial"/>
          <w:sz w:val="16"/>
          <w:szCs w:val="16"/>
          <w:color w:val="auto"/>
        </w:rPr>
        <w:t>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merger, consolidation, share exchange, reclassification or other similar transaction in which the shares of Voting Common Stock are exchanged for or changed into other stock or securities, cash and/or any other property, each share of Non-Voting Common Stock will at the same time be similarly exchanged or changed in an amount equal to the aggregate amount of stock, securities, cash and/or any other property (payable in kind), as the case may be, based upon the Converted Stock Equivalent Amount immediately prior to such transaction; provided that at the election of such Holder of Non-Voting Common Stock, any securities issued with respect to the Non-Voting Common Stock shall be non-voting securities under the resulting corporation's organizational documents and the Corporation shall make appropriate provisions (in form and substance reasonably satisfactory to the Holders of at least a majority of the Non-Voting Common Stock then outstanding) and take such actions necessary to ensure that Holders of the Non-Voting Common Stock shall retain securities with substantially the same privileges, limitations and relative rights as the Non-Voting Common Stock. Subject to the foregoing, in the event the Holders of Voting Common Stock are provided the right to convert or exchange Voting Common Stock for stock or securities, cash and/or any other property, then the Holders of the Non-Voting Common Stock shall be provided the same right based upon the Converted Stock Equivalent Amount immediately prior to such transaction. In the event that the Corporation offers to repurchase shares of Voting Common Stock from its shareholders generally, the Corporation shall offer to repurchase Non-Voting Common Stock pro rata based upon the Converted Stock Equivalent Amount of such Holders of Non-Voting Common Stock immediately prior to such repurchase. In the event of any pro rata subscription offer, rights offer or similar offer to holders of Voting Common Stock, the Corporation shall provide the Holders of the Non-Voting Common Stock the right to participate based upon the Converted Stock Equivalent Amount immediately prior to such offering; provided that at the election of such Holder, any shares issued with respect to the Non-Voting Common Stock shall be issued in the form of Non-Voting Common Stock rather than Voting Common Stock.</w:t>
      </w:r>
    </w:p>
    <w:p>
      <w:pPr>
        <w:spacing w:after="0" w:line="330" w:lineRule="exact"/>
        <w:rPr>
          <w:rFonts w:ascii="Arial" w:cs="Arial" w:eastAsia="Arial" w:hAnsi="Arial"/>
          <w:sz w:val="16"/>
          <w:szCs w:val="16"/>
          <w:color w:val="auto"/>
        </w:rPr>
      </w:pPr>
    </w:p>
    <w:p>
      <w:pPr>
        <w:jc w:val="both"/>
        <w:ind w:left="1180" w:right="1179" w:firstLine="1532"/>
        <w:spacing w:after="0" w:line="271" w:lineRule="auto"/>
        <w:tabs>
          <w:tab w:leader="none" w:pos="323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Unissued or Reacquired Shares. </w:t>
      </w:r>
      <w:r>
        <w:rPr>
          <w:rFonts w:ascii="Arial" w:cs="Arial" w:eastAsia="Arial" w:hAnsi="Arial"/>
          <w:sz w:val="16"/>
          <w:szCs w:val="16"/>
          <w:color w:val="auto"/>
        </w:rPr>
        <w:t>Shares of Non-Voting</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have been issued and converted, redeemed or otherwise purchased or acquired by the Corporation shall, upon the taking of any action required by law, automatically revert to authorized but unissued shares of Non-Voting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019"/>
          </w:cols>
          <w:pgMar w:left="1440" w:top="1232" w:right="1440" w:bottom="1440" w:gutter="0" w:footer="0" w:header="0"/>
        </w:sectPr>
      </w:pPr>
    </w:p>
    <w:bookmarkStart w:id="70" w:name="page71"/>
    <w:bookmarkEnd w:id="70"/>
    <w:p>
      <w:pPr>
        <w:ind w:left="3220" w:hanging="508"/>
        <w:spacing w:after="0"/>
        <w:tabs>
          <w:tab w:leader="none" w:pos="322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Reservation of Voting Common Stock.</w:t>
      </w:r>
    </w:p>
    <w:p>
      <w:pPr>
        <w:spacing w:after="0" w:line="183" w:lineRule="exact"/>
        <w:rPr>
          <w:rFonts w:ascii="Arial" w:cs="Arial" w:eastAsia="Arial" w:hAnsi="Arial"/>
          <w:sz w:val="17"/>
          <w:szCs w:val="17"/>
          <w:color w:val="auto"/>
        </w:rPr>
      </w:pPr>
    </w:p>
    <w:p>
      <w:pPr>
        <w:jc w:val="both"/>
        <w:ind w:left="1180" w:right="1179" w:firstLine="2045"/>
        <w:spacing w:after="0" w:line="244" w:lineRule="auto"/>
        <w:tabs>
          <w:tab w:leader="none" w:pos="3742"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Sufficient Shares.</w:t>
      </w:r>
      <w:r>
        <w:rPr>
          <w:rFonts w:ascii="Arial" w:cs="Arial" w:eastAsia="Arial" w:hAnsi="Arial"/>
          <w:sz w:val="17"/>
          <w:szCs w:val="17"/>
          <w:color w:val="auto"/>
        </w:rPr>
        <w:t xml:space="preserve"> The Corporation shall at all times reserve and keep available out of its authorized and unissued shares of Voting Common Stock or shares of Voting Common Stock acquired by the Corporation, solely for issuance upon the conversion of shares of Non-Voting Common Stock as provided in this Article III, Paragraph A, Section 3, free from any preemptive or other similar rights, such number of shares of Voting Common Stock as shall from time to time be issuable upon the conversion of all the shares of Non-Voting Common Stock then outstanding.</w:t>
      </w:r>
    </w:p>
    <w:p>
      <w:pPr>
        <w:spacing w:after="0" w:line="145" w:lineRule="exact"/>
        <w:rPr>
          <w:rFonts w:ascii="Arial" w:cs="Arial" w:eastAsia="Arial" w:hAnsi="Arial"/>
          <w:sz w:val="17"/>
          <w:szCs w:val="17"/>
          <w:color w:val="auto"/>
        </w:rPr>
      </w:pPr>
    </w:p>
    <w:p>
      <w:pPr>
        <w:jc w:val="both"/>
        <w:ind w:left="1180" w:right="1179" w:firstLine="2045"/>
        <w:spacing w:after="0" w:line="268" w:lineRule="auto"/>
        <w:tabs>
          <w:tab w:leader="none" w:pos="3741"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Free and Clear Delivery.</w:t>
      </w:r>
      <w:r>
        <w:rPr>
          <w:rFonts w:ascii="Arial" w:cs="Arial" w:eastAsia="Arial" w:hAnsi="Arial"/>
          <w:sz w:val="16"/>
          <w:szCs w:val="16"/>
          <w:color w:val="auto"/>
        </w:rPr>
        <w:t xml:space="preserve"> All shares of Voting Common Stock delivered upon conversion of the shares of Non-Voting Common Stock, shall, upon issuance, be duly authorized, validly issued, fully paid and non-assessable, free and clear of all liens, claims, security interests and other encumbrances (other than liens, charges, security interests and other encumbrances created by the Holders thereof).</w:t>
      </w:r>
    </w:p>
    <w:p>
      <w:pPr>
        <w:spacing w:after="0" w:line="125" w:lineRule="exact"/>
        <w:rPr>
          <w:rFonts w:ascii="Arial" w:cs="Arial" w:eastAsia="Arial" w:hAnsi="Arial"/>
          <w:sz w:val="16"/>
          <w:szCs w:val="16"/>
          <w:color w:val="auto"/>
        </w:rPr>
      </w:pPr>
    </w:p>
    <w:p>
      <w:pPr>
        <w:jc w:val="both"/>
        <w:ind w:left="1180" w:right="1179" w:firstLine="2045"/>
        <w:spacing w:after="0" w:line="246" w:lineRule="auto"/>
        <w:tabs>
          <w:tab w:leader="none" w:pos="3742"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xml:space="preserve"> Prior to the delivery of any Voting Common Stock that the Corporation shall be obligated to deliver upon conversion of the Non-Voting Common Stock, the Corporation shall use its reasonable best efforts to comply with any federal and state laws and regulations thereunder requiring the registration of such securities with, or any approval of or consent to the delivery thereof by, any governmental authority.</w:t>
      </w:r>
    </w:p>
    <w:p>
      <w:pPr>
        <w:spacing w:after="0" w:line="146" w:lineRule="exact"/>
        <w:rPr>
          <w:rFonts w:ascii="Arial" w:cs="Arial" w:eastAsia="Arial" w:hAnsi="Arial"/>
          <w:sz w:val="17"/>
          <w:szCs w:val="17"/>
          <w:color w:val="auto"/>
        </w:rPr>
      </w:pPr>
    </w:p>
    <w:p>
      <w:pPr>
        <w:jc w:val="both"/>
        <w:ind w:left="1180" w:right="1179" w:firstLine="1532"/>
        <w:spacing w:after="0" w:line="247" w:lineRule="auto"/>
        <w:tabs>
          <w:tab w:leader="none" w:pos="323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Transfer Agent, Conversion Agent, Registrar and Paying Agent. </w:t>
      </w:r>
      <w:r>
        <w:rPr>
          <w:rFonts w:ascii="Arial" w:cs="Arial" w:eastAsia="Arial" w:hAnsi="Arial"/>
          <w:sz w:val="17"/>
          <w:szCs w:val="17"/>
          <w:color w:val="auto"/>
        </w:rPr>
        <w:t>The duly appointed Transfer Agent, Conversion Agent, registrar and paying agent,</w:t>
      </w:r>
      <w:r>
        <w:rPr>
          <w:rFonts w:ascii="Arial" w:cs="Arial" w:eastAsia="Arial" w:hAnsi="Arial"/>
          <w:sz w:val="17"/>
          <w:szCs w:val="17"/>
          <w:i w:val="1"/>
          <w:iCs w:val="1"/>
          <w:color w:val="auto"/>
        </w:rPr>
        <w:t xml:space="preserve"> </w:t>
      </w:r>
      <w:r>
        <w:rPr>
          <w:rFonts w:ascii="Arial" w:cs="Arial" w:eastAsia="Arial" w:hAnsi="Arial"/>
          <w:sz w:val="17"/>
          <w:szCs w:val="17"/>
          <w:color w:val="auto"/>
        </w:rPr>
        <w:t>as applicable, for the Common Stock shall initially be the Corporation. The Corporation may appoint a successor Transfer Agent that shall accept such appointment prior to the effectiveness of such removal. Upon any such appointment, the Corporation shall send notice thereof to the Holders of Common Stock.</w:t>
      </w:r>
    </w:p>
    <w:p>
      <w:pPr>
        <w:spacing w:after="0" w:line="137" w:lineRule="exact"/>
        <w:rPr>
          <w:rFonts w:ascii="Arial" w:cs="Arial" w:eastAsia="Arial" w:hAnsi="Arial"/>
          <w:sz w:val="17"/>
          <w:szCs w:val="17"/>
          <w:color w:val="auto"/>
        </w:rPr>
      </w:pPr>
    </w:p>
    <w:p>
      <w:pPr>
        <w:jc w:val="both"/>
        <w:ind w:left="1180" w:right="1179" w:firstLine="1532"/>
        <w:spacing w:after="0" w:line="247" w:lineRule="auto"/>
        <w:tabs>
          <w:tab w:leader="none" w:pos="323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Mutilated, Destroyed, Stolen and Lost Certificates. </w:t>
      </w:r>
      <w:r>
        <w:rPr>
          <w:rFonts w:ascii="Arial" w:cs="Arial" w:eastAsia="Arial" w:hAnsi="Arial"/>
          <w:sz w:val="17"/>
          <w:szCs w:val="17"/>
          <w:color w:val="auto"/>
        </w:rPr>
        <w:t>If physical</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certificates are issued, the Corporation shall replace any mutilated certificate at the Holder's expense upon surrender of that certificate to the TransferAgent. The Corporation shall replace any certificate that becomes destroyed, stolen or lost, at the Holder's expense, upon delivery to the Corporation and the Transfer Agent of satisfactory evidence that the certificate has been destroyed, stolen or lost, together with any indemnity and bond that may be required by the Transfer Agent or the Corporation.</w:t>
      </w:r>
    </w:p>
    <w:p>
      <w:pPr>
        <w:spacing w:after="0" w:line="138" w:lineRule="exact"/>
        <w:rPr>
          <w:rFonts w:ascii="Arial" w:cs="Arial" w:eastAsia="Arial" w:hAnsi="Arial"/>
          <w:sz w:val="17"/>
          <w:szCs w:val="17"/>
          <w:color w:val="auto"/>
        </w:rPr>
      </w:pPr>
    </w:p>
    <w:p>
      <w:pPr>
        <w:jc w:val="both"/>
        <w:ind w:left="1180" w:right="1179" w:firstLine="1532"/>
        <w:spacing w:after="0" w:line="263" w:lineRule="auto"/>
        <w:tabs>
          <w:tab w:leader="none" w:pos="323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No Closing of Books; Cooperation. </w:t>
      </w:r>
      <w:r>
        <w:rPr>
          <w:rFonts w:ascii="Arial" w:cs="Arial" w:eastAsia="Arial" w:hAnsi="Arial"/>
          <w:sz w:val="16"/>
          <w:szCs w:val="16"/>
          <w:color w:val="auto"/>
        </w:rPr>
        <w:t>The Corporation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close its books against the Transfer of shares of Non-Voting Common Stock or of shares of Voting Common Stock issued or issuable upon conversion of Non-Voting Common Stock in any manner which interferes with the timely conversion of Non-Voting Common Stock. The Corporation shall assist and cooperate with any Holder of Non-Voting Common Stock required to make any governmental filings or obtain any governmental approval or non-objection prior to or in connection with any conversion of Non-Voting Common Stock hereunder (including, without limitation, making any governmental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019"/>
          </w:cols>
          <w:pgMar w:left="1440" w:top="1226" w:right="1440" w:bottom="1440" w:gutter="0" w:footer="0" w:header="0"/>
        </w:sectPr>
      </w:pPr>
    </w:p>
    <w:bookmarkStart w:id="71" w:name="page72"/>
    <w:bookmarkEnd w:id="71"/>
    <w:p>
      <w:pPr>
        <w:ind w:left="1180" w:right="1179"/>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required to be made by the Corporation), but the Corporation shall not be obligated to reimburse any such Holder for expenses incurred in connection therewith.</w:t>
      </w:r>
    </w:p>
    <w:p>
      <w:pPr>
        <w:spacing w:after="0" w:line="113" w:lineRule="exact"/>
        <w:rPr>
          <w:sz w:val="20"/>
          <w:szCs w:val="20"/>
          <w:color w:val="auto"/>
        </w:rPr>
      </w:pPr>
    </w:p>
    <w:p>
      <w:pPr>
        <w:ind w:left="3220" w:hanging="508"/>
        <w:spacing w:after="0"/>
        <w:tabs>
          <w:tab w:leader="none" w:pos="3220" w:val="left"/>
        </w:tabs>
        <w:numPr>
          <w:ilvl w:val="2"/>
          <w:numId w:val="48"/>
        </w:numPr>
        <w:rPr>
          <w:rFonts w:ascii="Arial" w:cs="Arial" w:eastAsia="Arial" w:hAnsi="Arial"/>
          <w:sz w:val="17"/>
          <w:szCs w:val="17"/>
          <w:color w:val="auto"/>
        </w:rPr>
      </w:pPr>
      <w:r>
        <w:rPr>
          <w:rFonts w:ascii="Arial" w:cs="Arial" w:eastAsia="Arial" w:hAnsi="Arial"/>
          <w:sz w:val="17"/>
          <w:szCs w:val="17"/>
          <w:i w:val="1"/>
          <w:iCs w:val="1"/>
          <w:color w:val="auto"/>
        </w:rPr>
        <w:t>Taxes.</w:t>
      </w:r>
    </w:p>
    <w:p>
      <w:pPr>
        <w:spacing w:after="0" w:line="173" w:lineRule="exact"/>
        <w:rPr>
          <w:rFonts w:ascii="Arial" w:cs="Arial" w:eastAsia="Arial" w:hAnsi="Arial"/>
          <w:sz w:val="17"/>
          <w:szCs w:val="17"/>
          <w:color w:val="auto"/>
        </w:rPr>
      </w:pPr>
    </w:p>
    <w:p>
      <w:pPr>
        <w:jc w:val="both"/>
        <w:ind w:left="1180" w:right="1179" w:firstLine="2045"/>
        <w:spacing w:after="0" w:line="243" w:lineRule="auto"/>
        <w:tabs>
          <w:tab w:leader="none" w:pos="3742" w:val="left"/>
        </w:tabs>
        <w:numPr>
          <w:ilvl w:val="3"/>
          <w:numId w:val="48"/>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The Corporation shall pay any and all stock transfer, documentary, stamp and similar taxes that may be payable in respect of any issuance or delivery of shares of Non-Voting Common Stock or Voting Common Stock issued on account of Non-Voting Common Stock pursuant hereto or certificates representing such shares; provided, that the Corporation shall not be required to pay any such tax that may be payable in respect of any Transfer involved in the issuance or delivery of shares in a name other than that in which the shares of Non-Voting Common Stock involved were registered, or in respect of any payment to any Person other than a payment to the registered Holder thereof, and shall not be required to make any such issuance or delivery unless and until it is satisfied that any such tax for which the Corporation is not responsible has been or will be paid.</w:t>
      </w:r>
    </w:p>
    <w:p>
      <w:pPr>
        <w:spacing w:after="0" w:line="159" w:lineRule="exact"/>
        <w:rPr>
          <w:rFonts w:ascii="Arial" w:cs="Arial" w:eastAsia="Arial" w:hAnsi="Arial"/>
          <w:sz w:val="17"/>
          <w:szCs w:val="17"/>
          <w:color w:val="auto"/>
        </w:rPr>
      </w:pPr>
    </w:p>
    <w:p>
      <w:pPr>
        <w:jc w:val="both"/>
        <w:ind w:left="1180" w:right="1179" w:firstLine="2045"/>
        <w:spacing w:after="0" w:line="264" w:lineRule="auto"/>
        <w:tabs>
          <w:tab w:leader="none" w:pos="3741" w:val="left"/>
        </w:tabs>
        <w:numPr>
          <w:ilvl w:val="3"/>
          <w:numId w:val="4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All payments and distributions (or deemed distributions) on the shares of Non-Voting Common Stock (and on the shares of Voting Common Stock received upon their conversion) shall be subject to withholding and backup withholding of tax to the extent required by law, subject to applicable exemptions, and amounts withheld, if any, shall be treated as received by the Holders thereof.</w:t>
      </w:r>
    </w:p>
    <w:p>
      <w:pPr>
        <w:spacing w:after="0" w:line="140" w:lineRule="exact"/>
        <w:rPr>
          <w:rFonts w:ascii="Arial" w:cs="Arial" w:eastAsia="Arial" w:hAnsi="Arial"/>
          <w:sz w:val="16"/>
          <w:szCs w:val="16"/>
          <w:color w:val="auto"/>
        </w:rPr>
      </w:pPr>
    </w:p>
    <w:p>
      <w:pPr>
        <w:ind w:left="2200" w:hanging="513"/>
        <w:spacing w:after="0"/>
        <w:tabs>
          <w:tab w:leader="none" w:pos="220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Preferred Stock</w:t>
      </w:r>
    </w:p>
    <w:p>
      <w:pPr>
        <w:spacing w:after="0" w:line="167" w:lineRule="exact"/>
        <w:rPr>
          <w:rFonts w:ascii="Arial" w:cs="Arial" w:eastAsia="Arial" w:hAnsi="Arial"/>
          <w:sz w:val="17"/>
          <w:szCs w:val="17"/>
          <w:color w:val="auto"/>
        </w:rPr>
      </w:pPr>
    </w:p>
    <w:p>
      <w:pPr>
        <w:ind w:left="2720" w:hanging="521"/>
        <w:spacing w:after="0"/>
        <w:tabs>
          <w:tab w:leader="none" w:pos="272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General</w:t>
      </w:r>
    </w:p>
    <w:p>
      <w:pPr>
        <w:spacing w:after="0" w:line="178" w:lineRule="exact"/>
        <w:rPr>
          <w:sz w:val="20"/>
          <w:szCs w:val="20"/>
          <w:color w:val="auto"/>
        </w:rPr>
      </w:pPr>
    </w:p>
    <w:p>
      <w:pPr>
        <w:jc w:val="both"/>
        <w:ind w:left="1180" w:right="1179" w:firstLine="1024"/>
        <w:spacing w:after="0" w:line="242" w:lineRule="auto"/>
        <w:rPr>
          <w:sz w:val="20"/>
          <w:szCs w:val="20"/>
          <w:color w:val="auto"/>
        </w:rPr>
      </w:pPr>
      <w:r>
        <w:rPr>
          <w:rFonts w:ascii="Arial" w:cs="Arial" w:eastAsia="Arial" w:hAnsi="Arial"/>
          <w:sz w:val="17"/>
          <w:szCs w:val="17"/>
          <w:color w:val="auto"/>
        </w:rPr>
        <w:t>Subject to applicable law, to these Articles of Incorporation and to the Corporation's Bylaws, the Board of Directors is authorized, at any time or from time to time, to issue Preferred Stock and: (i) to provide for the issuance of shares of Preferred Stock in one or more classes or series, and any restrictions on the issuance or reissuance of any additional Preferred Stock; (ii) to determine the designation for any such classes or series by number, letter or title that shall distinguish such classes or series from any other classes or series, respectively, of Preferred Stock; (iii) to establish from time to time the number of shares to be included in any such class or series, including a determination that such class or series shall consist of a single share, or that the number of shares shall be decreased (but not below the number of shares thereof then outstanding); and (iv) to determine with respect to the shares of any class or series of Preferred Stock the terms, powers, preferences, qualifications, limitations, restrictions and relative, participating, optional or other special rights of the shares of such class or series of Preferred Stock, including, but not limited to:</w:t>
      </w:r>
    </w:p>
    <w:p>
      <w:pPr>
        <w:spacing w:after="0" w:line="153" w:lineRule="exact"/>
        <w:rPr>
          <w:sz w:val="20"/>
          <w:szCs w:val="20"/>
          <w:color w:val="auto"/>
        </w:rPr>
      </w:pPr>
    </w:p>
    <w:p>
      <w:pPr>
        <w:jc w:val="both"/>
        <w:ind w:left="1180" w:right="1179" w:firstLine="1532"/>
        <w:spacing w:after="0" w:line="253" w:lineRule="auto"/>
        <w:tabs>
          <w:tab w:leader="none" w:pos="3229"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whether, with respect to shares entitled to dividends, the holders thereof shall be entitled to cumulative, noncumulative or partially cumulative dividends, the dividend rate or rates (including the methods and procedures for determining such rate or rates), and any other terms and conditions relating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1232" w:right="1440" w:bottom="1440" w:gutter="0" w:footer="0" w:header="0"/>
        </w:sectPr>
      </w:pPr>
    </w:p>
    <w:bookmarkStart w:id="72" w:name="page73"/>
    <w:bookmarkEnd w:id="72"/>
    <w:p>
      <w:pPr>
        <w:ind w:left="1180" w:right="1179"/>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dividends (including the relation which such dividends shall bear to the dividends payable on any other class or series of the Corporation's capital stock);</w:t>
      </w:r>
    </w:p>
    <w:p>
      <w:pPr>
        <w:spacing w:after="0" w:line="119" w:lineRule="exact"/>
        <w:rPr>
          <w:sz w:val="20"/>
          <w:szCs w:val="20"/>
          <w:color w:val="auto"/>
        </w:rPr>
      </w:pPr>
    </w:p>
    <w:p>
      <w:pPr>
        <w:jc w:val="both"/>
        <w:ind w:left="1180" w:right="1179" w:firstLine="1532"/>
        <w:spacing w:after="0" w:line="248" w:lineRule="auto"/>
        <w:tabs>
          <w:tab w:leader="none" w:pos="32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and, if so, to what extent and upon what terms and conditions, the holders thereof shall be entitled to rights upon the voluntary or involuntary liquidation, dissolution or winding-up of, or upon any distribution of the assets of, the Corporation;</w:t>
      </w:r>
    </w:p>
    <w:p>
      <w:pPr>
        <w:spacing w:after="0" w:line="152" w:lineRule="exact"/>
        <w:rPr>
          <w:rFonts w:ascii="Arial" w:cs="Arial" w:eastAsia="Arial" w:hAnsi="Arial"/>
          <w:sz w:val="17"/>
          <w:szCs w:val="17"/>
          <w:color w:val="auto"/>
        </w:rPr>
      </w:pPr>
    </w:p>
    <w:p>
      <w:pPr>
        <w:ind w:left="1180" w:right="1179" w:firstLine="1532"/>
        <w:spacing w:after="0" w:line="261" w:lineRule="auto"/>
        <w:tabs>
          <w:tab w:leader="none" w:pos="32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and, if so, upon what terms and conditions, such shares shall be convertible into, or exchangeable for, other securities or property;</w:t>
      </w:r>
    </w:p>
    <w:p>
      <w:pPr>
        <w:spacing w:after="0" w:line="129" w:lineRule="exact"/>
        <w:rPr>
          <w:rFonts w:ascii="Arial" w:cs="Arial" w:eastAsia="Arial" w:hAnsi="Arial"/>
          <w:sz w:val="17"/>
          <w:szCs w:val="17"/>
          <w:color w:val="auto"/>
        </w:rPr>
      </w:pPr>
    </w:p>
    <w:p>
      <w:pPr>
        <w:ind w:left="1180" w:right="1179" w:firstLine="1532"/>
        <w:spacing w:after="0" w:line="274" w:lineRule="auto"/>
        <w:tabs>
          <w:tab w:leader="none" w:pos="32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and, if so, upon what terms and conditions, such shares shall be redeemable by the Corporation;</w:t>
      </w:r>
    </w:p>
    <w:p>
      <w:pPr>
        <w:spacing w:after="0" w:line="119" w:lineRule="exact"/>
        <w:rPr>
          <w:rFonts w:ascii="Arial" w:cs="Arial" w:eastAsia="Arial" w:hAnsi="Arial"/>
          <w:sz w:val="17"/>
          <w:szCs w:val="17"/>
          <w:color w:val="auto"/>
        </w:rPr>
      </w:pPr>
    </w:p>
    <w:p>
      <w:pPr>
        <w:jc w:val="both"/>
        <w:ind w:left="1180" w:right="1179" w:firstLine="1532"/>
        <w:spacing w:after="0" w:line="255" w:lineRule="auto"/>
        <w:tabs>
          <w:tab w:leader="none" w:pos="32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the shares shall be subject to any sinking fund provided for the purchase or redemption of such shares and, if so, the terms and amount of such fund;</w:t>
      </w:r>
    </w:p>
    <w:p>
      <w:pPr>
        <w:spacing w:after="0" w:line="134" w:lineRule="exact"/>
        <w:rPr>
          <w:rFonts w:ascii="Arial" w:cs="Arial" w:eastAsia="Arial" w:hAnsi="Arial"/>
          <w:sz w:val="17"/>
          <w:szCs w:val="17"/>
          <w:color w:val="auto"/>
        </w:rPr>
      </w:pPr>
    </w:p>
    <w:p>
      <w:pPr>
        <w:ind w:left="3220" w:hanging="508"/>
        <w:spacing w:after="0"/>
        <w:tabs>
          <w:tab w:leader="none" w:pos="3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the holders thereof shall be entitled to voting rights</w:t>
      </w:r>
    </w:p>
    <w:p>
      <w:pPr>
        <w:spacing w:after="0" w:line="19"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and, if so, the terms and conditions for the exercise thereof; and</w:t>
      </w:r>
    </w:p>
    <w:p>
      <w:pPr>
        <w:spacing w:after="0" w:line="155" w:lineRule="exact"/>
        <w:rPr>
          <w:rFonts w:ascii="Arial" w:cs="Arial" w:eastAsia="Arial" w:hAnsi="Arial"/>
          <w:sz w:val="17"/>
          <w:szCs w:val="17"/>
          <w:color w:val="auto"/>
        </w:rPr>
      </w:pPr>
    </w:p>
    <w:p>
      <w:pPr>
        <w:jc w:val="both"/>
        <w:ind w:left="1180" w:right="1179" w:firstLine="1532"/>
        <w:spacing w:after="0" w:line="255" w:lineRule="auto"/>
        <w:tabs>
          <w:tab w:leader="none" w:pos="32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whether the holders thereof shall be entitled to other relative, participating, optional or other special powers, preferences or rights and, if so, the qualifications, limitations and restrictions of such preferences or rights.</w:t>
      </w:r>
    </w:p>
    <w:p>
      <w:pPr>
        <w:spacing w:after="0" w:line="126"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ARTICLE IV</w:t>
      </w:r>
    </w:p>
    <w:p>
      <w:pPr>
        <w:spacing w:after="0" w:line="186"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The term for which the Corporation shall exist shall be perpetual.</w:t>
      </w:r>
    </w:p>
    <w:p>
      <w:pPr>
        <w:spacing w:after="0" w:line="159"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ARTICLE V</w:t>
      </w:r>
    </w:p>
    <w:p>
      <w:pPr>
        <w:spacing w:after="0" w:line="186" w:lineRule="exact"/>
        <w:rPr>
          <w:sz w:val="20"/>
          <w:szCs w:val="20"/>
          <w:color w:val="auto"/>
        </w:rPr>
      </w:pPr>
    </w:p>
    <w:p>
      <w:pPr>
        <w:jc w:val="both"/>
        <w:ind w:left="1180" w:right="1179" w:firstLine="507"/>
        <w:spacing w:after="0" w:line="248" w:lineRule="auto"/>
        <w:tabs>
          <w:tab w:leader="none" w:pos="2204"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Management.</w:t>
      </w:r>
      <w:r>
        <w:rPr>
          <w:rFonts w:ascii="Arial" w:cs="Arial" w:eastAsia="Arial" w:hAnsi="Arial"/>
          <w:sz w:val="17"/>
          <w:szCs w:val="17"/>
          <w:color w:val="auto"/>
        </w:rPr>
        <w:t xml:space="preserve"> The management of the business and the conduct of the affairs of the Corporation shall be vested in the Board of Directors. The initial Board of Directors of the Corporation shall consist of seven (7) directors. The name and street address of the initial director of this Corporation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32" w:right="1440" w:bottom="1440" w:gutter="0" w:footer="0" w:header="0"/>
        </w:sectPr>
      </w:pPr>
    </w:p>
    <w:bookmarkStart w:id="73" w:name="page74"/>
    <w:bookmarkEnd w:id="73"/>
    <w:tbl>
      <w:tblPr>
        <w:tblLayout w:type="fixed"/>
        <w:tblInd w:w="1260" w:type="dxa"/>
        <w:tblCellMar>
          <w:top w:w="0" w:type="dxa"/>
          <w:left w:w="0" w:type="dxa"/>
          <w:bottom w:w="0" w:type="dxa"/>
          <w:right w:w="0" w:type="dxa"/>
        </w:tblCellMar>
      </w:tblPr>
      <w:tr>
        <w:trPr>
          <w:trHeight w:val="198"/>
        </w:trPr>
        <w:tc>
          <w:tcPr>
            <w:tcW w:w="2740" w:type="dxa"/>
            <w:vAlign w:val="bottom"/>
            <w:gridSpan w:val="2"/>
          </w:tcPr>
          <w:p>
            <w:pPr>
              <w:spacing w:after="0"/>
              <w:rPr>
                <w:sz w:val="20"/>
                <w:szCs w:val="20"/>
                <w:color w:val="auto"/>
              </w:rPr>
            </w:pPr>
            <w:r>
              <w:rPr>
                <w:rFonts w:ascii="Arial" w:cs="Arial" w:eastAsia="Arial" w:hAnsi="Arial"/>
                <w:sz w:val="17"/>
                <w:szCs w:val="17"/>
                <w:color w:val="auto"/>
              </w:rPr>
              <w:t>Name</w:t>
            </w:r>
          </w:p>
        </w:tc>
        <w:tc>
          <w:tcPr>
            <w:tcW w:w="1580" w:type="dxa"/>
            <w:vAlign w:val="bottom"/>
            <w:gridSpan w:val="4"/>
          </w:tcPr>
          <w:p>
            <w:pPr>
              <w:ind w:left="720"/>
              <w:spacing w:after="0"/>
              <w:rPr>
                <w:sz w:val="20"/>
                <w:szCs w:val="20"/>
                <w:color w:val="auto"/>
              </w:rPr>
            </w:pPr>
            <w:r>
              <w:rPr>
                <w:rFonts w:ascii="Arial" w:cs="Arial" w:eastAsia="Arial" w:hAnsi="Arial"/>
                <w:sz w:val="17"/>
                <w:szCs w:val="17"/>
                <w:color w:val="auto"/>
              </w:rPr>
              <w:t>Address</w:t>
            </w:r>
          </w:p>
        </w:tc>
        <w:tc>
          <w:tcPr>
            <w:tcW w:w="460" w:type="dxa"/>
            <w:vAlign w:val="bottom"/>
            <w:vMerge w:val="restart"/>
          </w:tcPr>
          <w:p>
            <w:pPr>
              <w:ind w:left="60"/>
              <w:spacing w:after="0"/>
              <w:rPr>
                <w:sz w:val="20"/>
                <w:szCs w:val="20"/>
                <w:color w:val="auto"/>
              </w:rPr>
            </w:pPr>
            <w:r>
              <w:rPr>
                <w:rFonts w:ascii="Arial" w:cs="Arial" w:eastAsia="Arial" w:hAnsi="Arial"/>
                <w:sz w:val="17"/>
                <w:szCs w:val="17"/>
                <w:color w:val="auto"/>
              </w:rPr>
              <w:t>87th</w:t>
            </w:r>
          </w:p>
        </w:tc>
        <w:tc>
          <w:tcPr>
            <w:tcW w:w="760" w:type="dxa"/>
            <w:vAlign w:val="bottom"/>
            <w:vMerge w:val="restart"/>
          </w:tcPr>
          <w:p>
            <w:pPr>
              <w:ind w:left="60"/>
              <w:spacing w:after="0"/>
              <w:rPr>
                <w:sz w:val="20"/>
                <w:szCs w:val="20"/>
                <w:color w:val="auto"/>
              </w:rPr>
            </w:pPr>
            <w:r>
              <w:rPr>
                <w:rFonts w:ascii="Arial" w:cs="Arial" w:eastAsia="Arial" w:hAnsi="Arial"/>
                <w:sz w:val="17"/>
                <w:szCs w:val="17"/>
                <w:color w:val="auto"/>
              </w:rPr>
              <w:t>Avenue,</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auto"/>
              </w:rPr>
              <w:t>Doral,</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40" w:type="dxa"/>
            <w:vAlign w:val="bottom"/>
            <w:gridSpan w:val="2"/>
          </w:tcPr>
          <w:p>
            <w:pPr>
              <w:spacing w:after="0" w:line="176" w:lineRule="exact"/>
              <w:rPr>
                <w:sz w:val="20"/>
                <w:szCs w:val="20"/>
                <w:color w:val="auto"/>
              </w:rPr>
            </w:pPr>
            <w:r>
              <w:rPr>
                <w:rFonts w:ascii="Arial" w:cs="Arial" w:eastAsia="Arial" w:hAnsi="Arial"/>
                <w:sz w:val="17"/>
                <w:szCs w:val="17"/>
                <w:color w:val="auto"/>
              </w:rPr>
              <w:t>Luis de la Aguilera</w:t>
            </w:r>
          </w:p>
        </w:tc>
        <w:tc>
          <w:tcPr>
            <w:tcW w:w="720" w:type="dxa"/>
            <w:vAlign w:val="bottom"/>
            <w:vMerge w:val="continue"/>
          </w:tcPr>
          <w:p>
            <w:pPr>
              <w:spacing w:after="0"/>
              <w:rPr>
                <w:sz w:val="15"/>
                <w:szCs w:val="15"/>
                <w:color w:val="auto"/>
              </w:rPr>
            </w:pPr>
          </w:p>
        </w:tc>
        <w:tc>
          <w:tcPr>
            <w:tcW w:w="500" w:type="dxa"/>
            <w:vAlign w:val="bottom"/>
          </w:tcPr>
          <w:p>
            <w:pPr>
              <w:spacing w:after="0" w:line="176" w:lineRule="exact"/>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line="176" w:lineRule="exact"/>
              <w:rPr>
                <w:sz w:val="20"/>
                <w:szCs w:val="20"/>
                <w:color w:val="auto"/>
              </w:rPr>
            </w:pPr>
            <w:r>
              <w:rPr>
                <w:rFonts w:ascii="Arial" w:cs="Arial" w:eastAsia="Arial" w:hAnsi="Arial"/>
                <w:sz w:val="17"/>
                <w:szCs w:val="17"/>
                <w:color w:val="auto"/>
              </w:rPr>
              <w:t>NW</w:t>
            </w:r>
          </w:p>
        </w:tc>
        <w:tc>
          <w:tcPr>
            <w:tcW w:w="4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33172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Arial" w:cs="Arial" w:eastAsia="Arial" w:hAnsi="Arial"/>
                <w:sz w:val="17"/>
                <w:szCs w:val="17"/>
                <w:color w:val="auto"/>
              </w:rPr>
              <w:t>Aida Levitan</w:t>
            </w:r>
          </w:p>
        </w:tc>
        <w:tc>
          <w:tcPr>
            <w:tcW w:w="1220" w:type="dxa"/>
            <w:vAlign w:val="bottom"/>
            <w:gridSpan w:val="2"/>
          </w:tcPr>
          <w:p>
            <w:pPr>
              <w:ind w:left="720"/>
              <w:spacing w:after="0"/>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NW</w:t>
            </w:r>
          </w:p>
        </w:tc>
        <w:tc>
          <w:tcPr>
            <w:tcW w:w="460" w:type="dxa"/>
            <w:vAlign w:val="bottom"/>
          </w:tcPr>
          <w:p>
            <w:pPr>
              <w:ind w:left="60"/>
              <w:spacing w:after="0"/>
              <w:rPr>
                <w:sz w:val="20"/>
                <w:szCs w:val="20"/>
                <w:color w:val="auto"/>
              </w:rPr>
            </w:pPr>
            <w:r>
              <w:rPr>
                <w:rFonts w:ascii="Arial" w:cs="Arial" w:eastAsia="Arial" w:hAnsi="Arial"/>
                <w:sz w:val="17"/>
                <w:szCs w:val="17"/>
                <w:color w:val="auto"/>
              </w:rPr>
              <w:t>87th</w:t>
            </w:r>
          </w:p>
        </w:tc>
        <w:tc>
          <w:tcPr>
            <w:tcW w:w="760" w:type="dxa"/>
            <w:vAlign w:val="bottom"/>
          </w:tcPr>
          <w:p>
            <w:pPr>
              <w:ind w:left="60"/>
              <w:spacing w:after="0"/>
              <w:rPr>
                <w:sz w:val="20"/>
                <w:szCs w:val="20"/>
                <w:color w:val="auto"/>
              </w:rPr>
            </w:pPr>
            <w:r>
              <w:rPr>
                <w:rFonts w:ascii="Arial" w:cs="Arial" w:eastAsia="Arial" w:hAnsi="Arial"/>
                <w:sz w:val="17"/>
                <w:szCs w:val="17"/>
                <w:color w:val="auto"/>
              </w:rPr>
              <w:t>Avenue,</w:t>
            </w:r>
          </w:p>
        </w:tc>
        <w:tc>
          <w:tcPr>
            <w:tcW w:w="580" w:type="dxa"/>
            <w:vAlign w:val="bottom"/>
          </w:tcPr>
          <w:p>
            <w:pPr>
              <w:ind w:left="60"/>
              <w:spacing w:after="0"/>
              <w:rPr>
                <w:sz w:val="20"/>
                <w:szCs w:val="20"/>
                <w:color w:val="auto"/>
              </w:rPr>
            </w:pPr>
            <w:r>
              <w:rPr>
                <w:rFonts w:ascii="Arial" w:cs="Arial" w:eastAsia="Arial" w:hAnsi="Arial"/>
                <w:sz w:val="17"/>
                <w:szCs w:val="17"/>
                <w:color w:val="auto"/>
              </w:rPr>
              <w:t>Doral,</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33172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Arial" w:cs="Arial" w:eastAsia="Arial" w:hAnsi="Arial"/>
                <w:sz w:val="17"/>
                <w:szCs w:val="17"/>
                <w:color w:val="auto"/>
              </w:rPr>
              <w:t>Ramón Abadin</w:t>
            </w:r>
          </w:p>
        </w:tc>
        <w:tc>
          <w:tcPr>
            <w:tcW w:w="1220" w:type="dxa"/>
            <w:vAlign w:val="bottom"/>
            <w:gridSpan w:val="2"/>
          </w:tcPr>
          <w:p>
            <w:pPr>
              <w:ind w:left="720"/>
              <w:spacing w:after="0"/>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NW</w:t>
            </w:r>
          </w:p>
        </w:tc>
        <w:tc>
          <w:tcPr>
            <w:tcW w:w="460" w:type="dxa"/>
            <w:vAlign w:val="bottom"/>
          </w:tcPr>
          <w:p>
            <w:pPr>
              <w:ind w:left="60"/>
              <w:spacing w:after="0"/>
              <w:rPr>
                <w:sz w:val="20"/>
                <w:szCs w:val="20"/>
                <w:color w:val="auto"/>
              </w:rPr>
            </w:pPr>
            <w:r>
              <w:rPr>
                <w:rFonts w:ascii="Arial" w:cs="Arial" w:eastAsia="Arial" w:hAnsi="Arial"/>
                <w:sz w:val="17"/>
                <w:szCs w:val="17"/>
                <w:color w:val="auto"/>
              </w:rPr>
              <w:t>87th</w:t>
            </w:r>
          </w:p>
        </w:tc>
        <w:tc>
          <w:tcPr>
            <w:tcW w:w="760" w:type="dxa"/>
            <w:vAlign w:val="bottom"/>
          </w:tcPr>
          <w:p>
            <w:pPr>
              <w:ind w:left="60"/>
              <w:spacing w:after="0"/>
              <w:rPr>
                <w:sz w:val="20"/>
                <w:szCs w:val="20"/>
                <w:color w:val="auto"/>
              </w:rPr>
            </w:pPr>
            <w:r>
              <w:rPr>
                <w:rFonts w:ascii="Arial" w:cs="Arial" w:eastAsia="Arial" w:hAnsi="Arial"/>
                <w:sz w:val="17"/>
                <w:szCs w:val="17"/>
                <w:color w:val="auto"/>
              </w:rPr>
              <w:t>Avenue,</w:t>
            </w:r>
          </w:p>
        </w:tc>
        <w:tc>
          <w:tcPr>
            <w:tcW w:w="580" w:type="dxa"/>
            <w:vAlign w:val="bottom"/>
          </w:tcPr>
          <w:p>
            <w:pPr>
              <w:ind w:left="60"/>
              <w:spacing w:after="0"/>
              <w:rPr>
                <w:sz w:val="20"/>
                <w:szCs w:val="20"/>
                <w:color w:val="auto"/>
              </w:rPr>
            </w:pPr>
            <w:r>
              <w:rPr>
                <w:rFonts w:ascii="Arial" w:cs="Arial" w:eastAsia="Arial" w:hAnsi="Arial"/>
                <w:sz w:val="17"/>
                <w:szCs w:val="17"/>
                <w:color w:val="auto"/>
              </w:rPr>
              <w:t>Doral,</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33172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gridSpan w:val="2"/>
          </w:tcPr>
          <w:p>
            <w:pPr>
              <w:spacing w:after="0" w:line="192" w:lineRule="exact"/>
              <w:rPr>
                <w:sz w:val="20"/>
                <w:szCs w:val="20"/>
                <w:color w:val="auto"/>
              </w:rPr>
            </w:pPr>
            <w:r>
              <w:rPr>
                <w:rFonts w:ascii="Arial" w:cs="Arial" w:eastAsia="Arial" w:hAnsi="Arial"/>
                <w:sz w:val="17"/>
                <w:szCs w:val="17"/>
                <w:color w:val="auto"/>
              </w:rPr>
              <w:t>Howard P. Feinglas</w:t>
            </w: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NW</w:t>
            </w:r>
          </w:p>
        </w:tc>
        <w:tc>
          <w:tcPr>
            <w:tcW w:w="460" w:type="dxa"/>
            <w:vAlign w:val="bottom"/>
          </w:tcPr>
          <w:p>
            <w:pPr>
              <w:ind w:left="60"/>
              <w:spacing w:after="0" w:line="192" w:lineRule="exact"/>
              <w:rPr>
                <w:sz w:val="20"/>
                <w:szCs w:val="20"/>
                <w:color w:val="auto"/>
              </w:rPr>
            </w:pPr>
            <w:r>
              <w:rPr>
                <w:rFonts w:ascii="Arial" w:cs="Arial" w:eastAsia="Arial" w:hAnsi="Arial"/>
                <w:sz w:val="17"/>
                <w:szCs w:val="17"/>
                <w:color w:val="auto"/>
              </w:rPr>
              <w:t>87th</w:t>
            </w:r>
          </w:p>
        </w:tc>
        <w:tc>
          <w:tcPr>
            <w:tcW w:w="760" w:type="dxa"/>
            <w:vAlign w:val="bottom"/>
          </w:tcPr>
          <w:p>
            <w:pPr>
              <w:ind w:left="60"/>
              <w:spacing w:after="0" w:line="192" w:lineRule="exact"/>
              <w:rPr>
                <w:sz w:val="20"/>
                <w:szCs w:val="20"/>
                <w:color w:val="auto"/>
              </w:rPr>
            </w:pPr>
            <w:r>
              <w:rPr>
                <w:rFonts w:ascii="Arial" w:cs="Arial" w:eastAsia="Arial" w:hAnsi="Arial"/>
                <w:sz w:val="17"/>
                <w:szCs w:val="17"/>
                <w:color w:val="auto"/>
              </w:rPr>
              <w:t>Avenue,</w:t>
            </w:r>
          </w:p>
        </w:tc>
        <w:tc>
          <w:tcPr>
            <w:tcW w:w="580" w:type="dxa"/>
            <w:vAlign w:val="bottom"/>
          </w:tcPr>
          <w:p>
            <w:pPr>
              <w:ind w:left="60"/>
              <w:spacing w:after="0" w:line="192" w:lineRule="exact"/>
              <w:rPr>
                <w:sz w:val="20"/>
                <w:szCs w:val="20"/>
                <w:color w:val="auto"/>
              </w:rPr>
            </w:pPr>
            <w:r>
              <w:rPr>
                <w:rFonts w:ascii="Arial" w:cs="Arial" w:eastAsia="Arial" w:hAnsi="Arial"/>
                <w:sz w:val="17"/>
                <w:szCs w:val="17"/>
                <w:color w:val="auto"/>
              </w:rPr>
              <w:t>Doral,</w:t>
            </w:r>
          </w:p>
        </w:tc>
        <w:tc>
          <w:tcPr>
            <w:tcW w:w="600" w:type="dxa"/>
            <w:vAlign w:val="bottom"/>
          </w:tcPr>
          <w:p>
            <w:pPr>
              <w:ind w:left="80"/>
              <w:spacing w:after="0" w:line="192" w:lineRule="exact"/>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20" w:type="dxa"/>
            <w:vAlign w:val="bottom"/>
            <w:gridSpan w:val="2"/>
          </w:tcPr>
          <w:p>
            <w:pPr>
              <w:ind w:left="720"/>
              <w:spacing w:after="0"/>
              <w:rPr>
                <w:sz w:val="20"/>
                <w:szCs w:val="20"/>
                <w:color w:val="auto"/>
              </w:rPr>
            </w:pPr>
            <w:r>
              <w:rPr>
                <w:rFonts w:ascii="Arial" w:cs="Arial" w:eastAsia="Arial" w:hAnsi="Arial"/>
                <w:sz w:val="17"/>
                <w:szCs w:val="17"/>
                <w:color w:val="auto"/>
              </w:rPr>
              <w:t>33172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40" w:type="dxa"/>
            <w:vAlign w:val="bottom"/>
            <w:gridSpan w:val="2"/>
          </w:tcPr>
          <w:p>
            <w:pPr>
              <w:spacing w:after="0" w:line="192" w:lineRule="exact"/>
              <w:rPr>
                <w:sz w:val="20"/>
                <w:szCs w:val="20"/>
                <w:color w:val="auto"/>
              </w:rPr>
            </w:pPr>
            <w:r>
              <w:rPr>
                <w:rFonts w:ascii="Arial" w:cs="Arial" w:eastAsia="Arial" w:hAnsi="Arial"/>
                <w:sz w:val="17"/>
                <w:szCs w:val="17"/>
                <w:color w:val="auto"/>
              </w:rPr>
              <w:t>Bernardo Fernandez, M.D.</w:t>
            </w: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NW</w:t>
            </w:r>
          </w:p>
        </w:tc>
        <w:tc>
          <w:tcPr>
            <w:tcW w:w="460" w:type="dxa"/>
            <w:vAlign w:val="bottom"/>
          </w:tcPr>
          <w:p>
            <w:pPr>
              <w:ind w:left="60"/>
              <w:spacing w:after="0" w:line="192" w:lineRule="exact"/>
              <w:rPr>
                <w:sz w:val="20"/>
                <w:szCs w:val="20"/>
                <w:color w:val="auto"/>
              </w:rPr>
            </w:pPr>
            <w:r>
              <w:rPr>
                <w:rFonts w:ascii="Arial" w:cs="Arial" w:eastAsia="Arial" w:hAnsi="Arial"/>
                <w:sz w:val="17"/>
                <w:szCs w:val="17"/>
                <w:color w:val="auto"/>
              </w:rPr>
              <w:t>87th</w:t>
            </w:r>
          </w:p>
        </w:tc>
        <w:tc>
          <w:tcPr>
            <w:tcW w:w="760" w:type="dxa"/>
            <w:vAlign w:val="bottom"/>
          </w:tcPr>
          <w:p>
            <w:pPr>
              <w:ind w:left="60"/>
              <w:spacing w:after="0" w:line="192" w:lineRule="exact"/>
              <w:rPr>
                <w:sz w:val="20"/>
                <w:szCs w:val="20"/>
                <w:color w:val="auto"/>
              </w:rPr>
            </w:pPr>
            <w:r>
              <w:rPr>
                <w:rFonts w:ascii="Arial" w:cs="Arial" w:eastAsia="Arial" w:hAnsi="Arial"/>
                <w:sz w:val="17"/>
                <w:szCs w:val="17"/>
                <w:color w:val="auto"/>
              </w:rPr>
              <w:t>Avenue,</w:t>
            </w:r>
          </w:p>
        </w:tc>
        <w:tc>
          <w:tcPr>
            <w:tcW w:w="580" w:type="dxa"/>
            <w:vAlign w:val="bottom"/>
          </w:tcPr>
          <w:p>
            <w:pPr>
              <w:ind w:left="60"/>
              <w:spacing w:after="0" w:line="192" w:lineRule="exact"/>
              <w:rPr>
                <w:sz w:val="20"/>
                <w:szCs w:val="20"/>
                <w:color w:val="auto"/>
              </w:rPr>
            </w:pPr>
            <w:r>
              <w:rPr>
                <w:rFonts w:ascii="Arial" w:cs="Arial" w:eastAsia="Arial" w:hAnsi="Arial"/>
                <w:sz w:val="17"/>
                <w:szCs w:val="17"/>
                <w:color w:val="auto"/>
              </w:rPr>
              <w:t>Doral,</w:t>
            </w:r>
          </w:p>
        </w:tc>
        <w:tc>
          <w:tcPr>
            <w:tcW w:w="600" w:type="dxa"/>
            <w:vAlign w:val="bottom"/>
          </w:tcPr>
          <w:p>
            <w:pPr>
              <w:ind w:left="80"/>
              <w:spacing w:after="0" w:line="192" w:lineRule="exact"/>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20" w:type="dxa"/>
            <w:vAlign w:val="bottom"/>
            <w:gridSpan w:val="2"/>
          </w:tcPr>
          <w:p>
            <w:pPr>
              <w:ind w:left="720"/>
              <w:spacing w:after="0"/>
              <w:rPr>
                <w:sz w:val="20"/>
                <w:szCs w:val="20"/>
                <w:color w:val="auto"/>
              </w:rPr>
            </w:pPr>
            <w:r>
              <w:rPr>
                <w:rFonts w:ascii="Arial" w:cs="Arial" w:eastAsia="Arial" w:hAnsi="Arial"/>
                <w:sz w:val="17"/>
                <w:szCs w:val="17"/>
                <w:color w:val="auto"/>
              </w:rPr>
              <w:t>33172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740" w:type="dxa"/>
            <w:vAlign w:val="bottom"/>
            <w:gridSpan w:val="2"/>
          </w:tcPr>
          <w:p>
            <w:pPr>
              <w:spacing w:after="0" w:line="192" w:lineRule="exact"/>
              <w:rPr>
                <w:sz w:val="20"/>
                <w:szCs w:val="20"/>
                <w:color w:val="auto"/>
              </w:rPr>
            </w:pPr>
            <w:r>
              <w:rPr>
                <w:rFonts w:ascii="Arial" w:cs="Arial" w:eastAsia="Arial" w:hAnsi="Arial"/>
                <w:sz w:val="17"/>
                <w:szCs w:val="17"/>
                <w:color w:val="auto"/>
              </w:rPr>
              <w:t>Wayne K. Goldstein</w:t>
            </w: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NW</w:t>
            </w:r>
          </w:p>
        </w:tc>
        <w:tc>
          <w:tcPr>
            <w:tcW w:w="460" w:type="dxa"/>
            <w:vAlign w:val="bottom"/>
          </w:tcPr>
          <w:p>
            <w:pPr>
              <w:ind w:left="60"/>
              <w:spacing w:after="0" w:line="192" w:lineRule="exact"/>
              <w:rPr>
                <w:sz w:val="20"/>
                <w:szCs w:val="20"/>
                <w:color w:val="auto"/>
              </w:rPr>
            </w:pPr>
            <w:r>
              <w:rPr>
                <w:rFonts w:ascii="Arial" w:cs="Arial" w:eastAsia="Arial" w:hAnsi="Arial"/>
                <w:sz w:val="17"/>
                <w:szCs w:val="17"/>
                <w:color w:val="auto"/>
              </w:rPr>
              <w:t>87th</w:t>
            </w:r>
          </w:p>
        </w:tc>
        <w:tc>
          <w:tcPr>
            <w:tcW w:w="760" w:type="dxa"/>
            <w:vAlign w:val="bottom"/>
          </w:tcPr>
          <w:p>
            <w:pPr>
              <w:ind w:left="60"/>
              <w:spacing w:after="0" w:line="192" w:lineRule="exact"/>
              <w:rPr>
                <w:sz w:val="20"/>
                <w:szCs w:val="20"/>
                <w:color w:val="auto"/>
              </w:rPr>
            </w:pPr>
            <w:r>
              <w:rPr>
                <w:rFonts w:ascii="Arial" w:cs="Arial" w:eastAsia="Arial" w:hAnsi="Arial"/>
                <w:sz w:val="17"/>
                <w:szCs w:val="17"/>
                <w:color w:val="auto"/>
              </w:rPr>
              <w:t>Avenue,</w:t>
            </w:r>
          </w:p>
        </w:tc>
        <w:tc>
          <w:tcPr>
            <w:tcW w:w="580" w:type="dxa"/>
            <w:vAlign w:val="bottom"/>
          </w:tcPr>
          <w:p>
            <w:pPr>
              <w:ind w:left="60"/>
              <w:spacing w:after="0" w:line="192" w:lineRule="exact"/>
              <w:rPr>
                <w:sz w:val="20"/>
                <w:szCs w:val="20"/>
                <w:color w:val="auto"/>
              </w:rPr>
            </w:pPr>
            <w:r>
              <w:rPr>
                <w:rFonts w:ascii="Arial" w:cs="Arial" w:eastAsia="Arial" w:hAnsi="Arial"/>
                <w:sz w:val="17"/>
                <w:szCs w:val="17"/>
                <w:color w:val="auto"/>
              </w:rPr>
              <w:t>Doral,</w:t>
            </w:r>
          </w:p>
        </w:tc>
        <w:tc>
          <w:tcPr>
            <w:tcW w:w="600" w:type="dxa"/>
            <w:vAlign w:val="bottom"/>
          </w:tcPr>
          <w:p>
            <w:pPr>
              <w:ind w:left="80"/>
              <w:spacing w:after="0" w:line="192" w:lineRule="exact"/>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192"/>
        </w:trPr>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20" w:type="dxa"/>
            <w:vAlign w:val="bottom"/>
            <w:gridSpan w:val="2"/>
          </w:tcPr>
          <w:p>
            <w:pPr>
              <w:ind w:left="720"/>
              <w:spacing w:after="0" w:line="192" w:lineRule="exact"/>
              <w:rPr>
                <w:sz w:val="20"/>
                <w:szCs w:val="20"/>
                <w:color w:val="auto"/>
              </w:rPr>
            </w:pPr>
            <w:r>
              <w:rPr>
                <w:rFonts w:ascii="Arial" w:cs="Arial" w:eastAsia="Arial" w:hAnsi="Arial"/>
                <w:sz w:val="17"/>
                <w:szCs w:val="17"/>
                <w:color w:val="auto"/>
              </w:rPr>
              <w:t>33172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rPr>
                <w:sz w:val="20"/>
                <w:szCs w:val="20"/>
                <w:color w:val="auto"/>
              </w:rPr>
            </w:pPr>
            <w:r>
              <w:rPr>
                <w:rFonts w:ascii="Arial" w:cs="Arial" w:eastAsia="Arial" w:hAnsi="Arial"/>
                <w:sz w:val="17"/>
                <w:szCs w:val="17"/>
                <w:color w:val="auto"/>
              </w:rPr>
              <w:t>W. Kirk Wycoff</w:t>
            </w:r>
          </w:p>
        </w:tc>
        <w:tc>
          <w:tcPr>
            <w:tcW w:w="1220" w:type="dxa"/>
            <w:vAlign w:val="bottom"/>
            <w:gridSpan w:val="2"/>
          </w:tcPr>
          <w:p>
            <w:pPr>
              <w:ind w:left="720"/>
              <w:spacing w:after="0"/>
              <w:rPr>
                <w:sz w:val="20"/>
                <w:szCs w:val="20"/>
                <w:color w:val="auto"/>
              </w:rPr>
            </w:pPr>
            <w:r>
              <w:rPr>
                <w:rFonts w:ascii="Arial" w:cs="Arial" w:eastAsia="Arial" w:hAnsi="Arial"/>
                <w:sz w:val="17"/>
                <w:szCs w:val="17"/>
                <w:color w:val="auto"/>
              </w:rPr>
              <w:t>2301</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NW</w:t>
            </w:r>
          </w:p>
        </w:tc>
        <w:tc>
          <w:tcPr>
            <w:tcW w:w="460" w:type="dxa"/>
            <w:vAlign w:val="bottom"/>
          </w:tcPr>
          <w:p>
            <w:pPr>
              <w:ind w:left="60"/>
              <w:spacing w:after="0"/>
              <w:rPr>
                <w:sz w:val="20"/>
                <w:szCs w:val="20"/>
                <w:color w:val="auto"/>
              </w:rPr>
            </w:pPr>
            <w:r>
              <w:rPr>
                <w:rFonts w:ascii="Arial" w:cs="Arial" w:eastAsia="Arial" w:hAnsi="Arial"/>
                <w:sz w:val="17"/>
                <w:szCs w:val="17"/>
                <w:color w:val="auto"/>
              </w:rPr>
              <w:t>87th</w:t>
            </w:r>
          </w:p>
        </w:tc>
        <w:tc>
          <w:tcPr>
            <w:tcW w:w="760" w:type="dxa"/>
            <w:vAlign w:val="bottom"/>
          </w:tcPr>
          <w:p>
            <w:pPr>
              <w:ind w:left="60"/>
              <w:spacing w:after="0"/>
              <w:rPr>
                <w:sz w:val="20"/>
                <w:szCs w:val="20"/>
                <w:color w:val="auto"/>
              </w:rPr>
            </w:pPr>
            <w:r>
              <w:rPr>
                <w:rFonts w:ascii="Arial" w:cs="Arial" w:eastAsia="Arial" w:hAnsi="Arial"/>
                <w:sz w:val="17"/>
                <w:szCs w:val="17"/>
                <w:color w:val="auto"/>
              </w:rPr>
              <w:t>Avenue,</w:t>
            </w:r>
          </w:p>
        </w:tc>
        <w:tc>
          <w:tcPr>
            <w:tcW w:w="580" w:type="dxa"/>
            <w:vAlign w:val="bottom"/>
          </w:tcPr>
          <w:p>
            <w:pPr>
              <w:ind w:left="60"/>
              <w:spacing w:after="0"/>
              <w:rPr>
                <w:sz w:val="20"/>
                <w:szCs w:val="20"/>
                <w:color w:val="auto"/>
              </w:rPr>
            </w:pPr>
            <w:r>
              <w:rPr>
                <w:rFonts w:ascii="Arial" w:cs="Arial" w:eastAsia="Arial" w:hAnsi="Arial"/>
                <w:sz w:val="17"/>
                <w:szCs w:val="17"/>
                <w:color w:val="auto"/>
              </w:rPr>
              <w:t>Doral,</w:t>
            </w:r>
          </w:p>
        </w:tc>
        <w:tc>
          <w:tcPr>
            <w:tcW w:w="600" w:type="dxa"/>
            <w:vAlign w:val="bottom"/>
          </w:tcPr>
          <w:p>
            <w:pPr>
              <w:ind w:left="80"/>
              <w:spacing w:after="0"/>
              <w:rPr>
                <w:sz w:val="20"/>
                <w:szCs w:val="20"/>
                <w:color w:val="auto"/>
              </w:rPr>
            </w:pPr>
            <w:r>
              <w:rPr>
                <w:rFonts w:ascii="Arial" w:cs="Arial" w:eastAsia="Arial" w:hAnsi="Arial"/>
                <w:sz w:val="17"/>
                <w:szCs w:val="17"/>
                <w:color w:val="auto"/>
                <w:w w:val="96"/>
              </w:rPr>
              <w:t>Florida</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gridSpan w:val="2"/>
          </w:tcPr>
          <w:p>
            <w:pPr>
              <w:ind w:left="720"/>
              <w:spacing w:after="0"/>
              <w:rPr>
                <w:sz w:val="20"/>
                <w:szCs w:val="20"/>
                <w:color w:val="auto"/>
              </w:rPr>
            </w:pPr>
            <w:r>
              <w:rPr>
                <w:rFonts w:ascii="Arial" w:cs="Arial" w:eastAsia="Arial" w:hAnsi="Arial"/>
                <w:sz w:val="17"/>
                <w:szCs w:val="17"/>
                <w:color w:val="auto"/>
              </w:rPr>
              <w:t>33172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r>
    </w:p>
    <w:p>
      <w:pPr>
        <w:jc w:val="both"/>
        <w:ind w:left="1220" w:right="1179" w:firstLine="467"/>
        <w:spacing w:after="0" w:line="243" w:lineRule="auto"/>
        <w:tabs>
          <w:tab w:leader="none" w:pos="219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Number of Directors; Election; Tenn.</w:t>
      </w:r>
      <w:r>
        <w:rPr>
          <w:rFonts w:ascii="Arial" w:cs="Arial" w:eastAsia="Arial" w:hAnsi="Arial"/>
          <w:sz w:val="17"/>
          <w:szCs w:val="17"/>
          <w:color w:val="auto"/>
        </w:rPr>
        <w:t xml:space="preserve"> Subject to the rights of holders of any class or series of Preferred Stock with respect to the election of directors, the number of directors which shall constitute the whole Board of Directors shall be fixed by, or in the manner provided in, the Bylaws of the Corporation. Elections of directors need not be by written ballot unless the Bylaws of the Corporation shall so provide. Notwithstanding the foregoing provisions of this Section B, and subject to the rights of holders of any class or series of Preferred Stock with respect to the election of directors, each director shall serve until his or her successor is duly elected and qualified or until his or her earlier death, resignation or removal.</w:t>
      </w:r>
    </w:p>
    <w:p>
      <w:pPr>
        <w:spacing w:after="0" w:line="149" w:lineRule="exact"/>
        <w:rPr>
          <w:rFonts w:ascii="Arial" w:cs="Arial" w:eastAsia="Arial" w:hAnsi="Arial"/>
          <w:sz w:val="17"/>
          <w:szCs w:val="17"/>
          <w:color w:val="auto"/>
        </w:rPr>
      </w:pPr>
    </w:p>
    <w:p>
      <w:pPr>
        <w:jc w:val="both"/>
        <w:ind w:left="1220" w:right="1179" w:firstLine="467"/>
        <w:spacing w:after="0" w:line="248" w:lineRule="auto"/>
        <w:tabs>
          <w:tab w:leader="none" w:pos="219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Removal.</w:t>
      </w:r>
      <w:r>
        <w:rPr>
          <w:rFonts w:ascii="Arial" w:cs="Arial" w:eastAsia="Arial" w:hAnsi="Arial"/>
          <w:sz w:val="17"/>
          <w:szCs w:val="17"/>
          <w:color w:val="auto"/>
        </w:rPr>
        <w:t xml:space="preserve"> Subject to the rights of holders of any class or series of Preferred Stock with respect to the election of directors, a director may be removed from office by the affirmative vote of holders of shares of capital stock issued and outstanding and entitled to vote in an election of Directors representing at least a majority of the votes entitled to be cast thereon, and then, only for cause:</w:t>
      </w:r>
    </w:p>
    <w:p>
      <w:pPr>
        <w:spacing w:after="0" w:line="142" w:lineRule="exact"/>
        <w:rPr>
          <w:rFonts w:ascii="Arial" w:cs="Arial" w:eastAsia="Arial" w:hAnsi="Arial"/>
          <w:sz w:val="17"/>
          <w:szCs w:val="17"/>
          <w:color w:val="auto"/>
        </w:rPr>
      </w:pPr>
    </w:p>
    <w:p>
      <w:pPr>
        <w:jc w:val="both"/>
        <w:ind w:left="1220" w:right="1179" w:firstLine="467"/>
        <w:spacing w:after="0" w:line="255" w:lineRule="auto"/>
        <w:tabs>
          <w:tab w:leader="none" w:pos="219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Amendment of Bylaws.</w:t>
      </w:r>
      <w:r>
        <w:rPr>
          <w:rFonts w:ascii="Arial" w:cs="Arial" w:eastAsia="Arial" w:hAnsi="Arial"/>
          <w:sz w:val="17"/>
          <w:szCs w:val="17"/>
          <w:color w:val="auto"/>
        </w:rPr>
        <w:t xml:space="preserve"> Subject to the restrictions set forth in these Articles of Incorporation, the power to adopt, amend or repeal the Bylaws of the Corporation may be exercised by the Board of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175" w:lineRule="exact"/>
        <w:rPr>
          <w:sz w:val="20"/>
          <w:szCs w:val="20"/>
          <w:color w:val="auto"/>
        </w:rPr>
      </w:pPr>
    </w:p>
    <w:p>
      <w:pPr>
        <w:jc w:val="both"/>
        <w:ind w:left="1180" w:right="1179" w:firstLine="507"/>
        <w:spacing w:after="0" w:line="244" w:lineRule="auto"/>
        <w:tabs>
          <w:tab w:leader="none" w:pos="2204"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 Action by Written Consent of Shareholders.</w:t>
      </w:r>
      <w:r>
        <w:rPr>
          <w:rFonts w:ascii="Arial" w:cs="Arial" w:eastAsia="Arial" w:hAnsi="Arial"/>
          <w:sz w:val="17"/>
          <w:szCs w:val="17"/>
          <w:color w:val="auto"/>
        </w:rPr>
        <w:t xml:space="preserve"> Except as otherwise expressly provided by the terms of the Non-Voting Common Stock and any class or series of Preferred Stock permitting the holders of the Non-Voting Common Stock or such class or series of Preferred Stock, as the case may be, to act by written consent, any action required or permitted to be taken by shareholders of the Corporation must be effected at a duly called annual or special meeting of the shareholders and may not be effected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1232" w:right="1440" w:bottom="1440" w:gutter="0" w:footer="0" w:header="0"/>
        </w:sectPr>
      </w:pPr>
    </w:p>
    <w:bookmarkStart w:id="74" w:name="page75"/>
    <w:bookmarkEnd w:id="74"/>
    <w:p>
      <w:pPr>
        <w:jc w:val="both"/>
        <w:ind w:left="1220" w:right="1179" w:firstLine="467"/>
        <w:spacing w:after="0" w:line="245" w:lineRule="auto"/>
        <w:tabs>
          <w:tab w:leader="none" w:pos="219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Special Meetings.</w:t>
      </w:r>
      <w:r>
        <w:rPr>
          <w:rFonts w:ascii="Arial" w:cs="Arial" w:eastAsia="Arial" w:hAnsi="Arial"/>
          <w:sz w:val="17"/>
          <w:szCs w:val="17"/>
          <w:color w:val="auto"/>
        </w:rPr>
        <w:t xml:space="preserve"> Except as otherwise expressly provided by the terms of any class or series of Preferred Stock permitting the holders of such class or series of Preferred Stock to call a special meeting of the holders of such class or series, special meetings of shareholders of the Corporation may be called by the Board of Directors or any one or more shareholders owning, in the aggregate, not less than ten percent of the Voting Common Stock. The Board of Directors may cancel, postpone or reschedule any previously scheduled special meeting at any time, before or after the notice for such meeting has been sent to the shareholders.</w:t>
      </w:r>
    </w:p>
    <w:p>
      <w:pPr>
        <w:spacing w:after="0" w:line="142" w:lineRule="exact"/>
        <w:rPr>
          <w:rFonts w:ascii="Arial" w:cs="Arial" w:eastAsia="Arial" w:hAnsi="Arial"/>
          <w:sz w:val="17"/>
          <w:szCs w:val="17"/>
          <w:color w:val="auto"/>
        </w:rPr>
      </w:pPr>
    </w:p>
    <w:p>
      <w:pPr>
        <w:jc w:val="both"/>
        <w:ind w:left="1180" w:right="1179" w:firstLine="507"/>
        <w:spacing w:after="0" w:line="248" w:lineRule="auto"/>
        <w:tabs>
          <w:tab w:leader="none" w:pos="220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Shares of Common Stock or Preferred Stock may be issued in fractions of a share which shall entitle the holder thereof, in proportion to such holder's fractional shares, to exercise voting rights, receive dividends, participate in distributions and to have the benefit of all other rights of holders of shares of such Common Stock or Preferred Stock, as the case may be.</w:t>
      </w:r>
    </w:p>
    <w:p>
      <w:pPr>
        <w:spacing w:after="0" w:line="142" w:lineRule="exact"/>
        <w:rPr>
          <w:rFonts w:ascii="Arial" w:cs="Arial" w:eastAsia="Arial" w:hAnsi="Arial"/>
          <w:sz w:val="17"/>
          <w:szCs w:val="17"/>
          <w:color w:val="auto"/>
        </w:rPr>
      </w:pPr>
    </w:p>
    <w:p>
      <w:pPr>
        <w:jc w:val="both"/>
        <w:ind w:left="1180" w:right="1179" w:firstLine="507"/>
        <w:spacing w:after="0" w:line="255" w:lineRule="auto"/>
        <w:tabs>
          <w:tab w:leader="none" w:pos="220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 xml:space="preserve">Exclusion of Statutory Provisions Relating to Affiliate Transactions and </w:t>
      </w:r>
      <w:r>
        <w:rPr>
          <w:rFonts w:ascii="Arial" w:cs="Arial" w:eastAsia="Arial" w:hAnsi="Arial"/>
          <w:sz w:val="17"/>
          <w:szCs w:val="17"/>
          <w:color w:val="auto"/>
        </w:rPr>
        <w:t>Control Share Acquisitions. Sections 607.0901 and 607.0902 of the Florida Business Corporation Act shall not apply to the Corporation.</w:t>
      </w:r>
    </w:p>
    <w:p>
      <w:pPr>
        <w:spacing w:after="0" w:line="145" w:lineRule="exact"/>
        <w:rPr>
          <w:rFonts w:ascii="Arial" w:cs="Arial" w:eastAsia="Arial" w:hAnsi="Arial"/>
          <w:sz w:val="17"/>
          <w:szCs w:val="17"/>
          <w:color w:val="auto"/>
        </w:rPr>
      </w:pPr>
    </w:p>
    <w:p>
      <w:pPr>
        <w:jc w:val="both"/>
        <w:ind w:left="1180" w:right="1179" w:firstLine="507"/>
        <w:spacing w:after="0" w:line="243" w:lineRule="auto"/>
        <w:tabs>
          <w:tab w:leader="none" w:pos="220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Unless otherwise provided herein, all notices referred to herein shall be in writing, and, unless otherwise specified herein, all notices hereunder shall be deemed to have been given upon the earlier of receipt thereof or five days after its deposit in the U.S. mail if sent by registered or certified mail with postage prepaid, or the date shown on the return receipt if sent by registered or certified mail, return receipt requested, and the receipt is signed by or on behalf of the addressee, addressed: (i) if to the Corporation, to the principal executive office of the Corporation or to the transfer agent at its principal office in the United States of America,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175" w:lineRule="exact"/>
        <w:rPr>
          <w:sz w:val="20"/>
          <w:szCs w:val="20"/>
          <w:color w:val="auto"/>
        </w:rPr>
      </w:pPr>
    </w:p>
    <w:p>
      <w:pPr>
        <w:jc w:val="both"/>
        <w:ind w:left="1180" w:right="1179" w:firstLine="507"/>
        <w:spacing w:after="0" w:line="246" w:lineRule="auto"/>
        <w:tabs>
          <w:tab w:leader="none" w:pos="220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fullest extent permitted by applicable law, the Corporation is authorized to provide indemnification of (and advancement of expenses to) the directors, officers, employees and agents of the Corporation (and any other persons to which the applicable provisions of the Florida Business Corporation Act or any other applicable law not in conflict therewith permits the Corporation to provide indemnification) through Bylaw provisions, agreements with such agents or other persons, vote of shareholders or disinterested directors, or otherwise.</w:t>
      </w:r>
    </w:p>
    <w:p>
      <w:pPr>
        <w:spacing w:after="0" w:line="144" w:lineRule="exact"/>
        <w:rPr>
          <w:rFonts w:ascii="Arial" w:cs="Arial" w:eastAsia="Arial" w:hAnsi="Arial"/>
          <w:sz w:val="17"/>
          <w:szCs w:val="17"/>
          <w:color w:val="auto"/>
        </w:rPr>
      </w:pPr>
    </w:p>
    <w:p>
      <w:pPr>
        <w:jc w:val="both"/>
        <w:ind w:left="1180" w:right="1179" w:firstLine="507"/>
        <w:spacing w:after="0" w:line="264" w:lineRule="auto"/>
        <w:tabs>
          <w:tab w:leader="none" w:pos="220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Priority of Indemnification.</w:t>
      </w:r>
      <w:r>
        <w:rPr>
          <w:rFonts w:ascii="Arial" w:cs="Arial" w:eastAsia="Arial" w:hAnsi="Arial"/>
          <w:sz w:val="16"/>
          <w:szCs w:val="16"/>
          <w:color w:val="auto"/>
        </w:rPr>
        <w:t xml:space="preserve"> The Corporation acknowledges that the directors nominated by the Priam Capital Fund II, LP. ("Priam") and Patriot Financial Partners II, L.P. and Patriot Financial Partners Parallel II, L.P. (collectively, "Patriot") (each an "Investor Director") may have certain rights to indemnification, advancement of expenses and/or insurance provided by the Priam and Patriot and/or certain of their respective affiliates (collectively, the "Investor Indemnitors"). The Corporation hereby agrees (1)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1232" w:right="1440" w:bottom="1440" w:gutter="0" w:footer="0" w:header="0"/>
        </w:sectPr>
      </w:pPr>
    </w:p>
    <w:bookmarkStart w:id="75" w:name="page76"/>
    <w:bookmarkEnd w:id="75"/>
    <w:p>
      <w:pPr>
        <w:jc w:val="both"/>
        <w:ind w:left="1180" w:right="1179"/>
        <w:spacing w:after="0" w:line="24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it is the indemnitor of first resort (i.e., its obligations to each Investor Director are primary and any obligation of Investor Indemnitors to advance expenses or to provide indemnification for the same expenses or liabilities incurred by any Investor Director are secondary), and (2) that it shall be required to advance the full amount of expenses incurred by each Investor Director and shall be liable for the full amount of all expenses and liabilities, in each case, to the extent permitted by law, without regard to any rights an Investor Director may have against any Investor Indemnitor. The Corporation further agrees that no advancement or payment by any Investor Indemnitor on behalf of any Investor Director with respect to any claim for which such Investor Director has sought indemnification from the Corporation shall affect the foregoing and Investor Indemnitors shall have a right of contribution and/or be subrogated to the extent of such advancement or payment to all of the rights of recovery of such Investor Director against the Corporation.</w:t>
      </w:r>
    </w:p>
    <w:p>
      <w:pPr>
        <w:spacing w:after="0" w:line="148" w:lineRule="exact"/>
        <w:rPr>
          <w:sz w:val="20"/>
          <w:szCs w:val="20"/>
          <w:color w:val="auto"/>
        </w:rPr>
      </w:pPr>
    </w:p>
    <w:p>
      <w:pPr>
        <w:jc w:val="both"/>
        <w:ind w:left="1180" w:right="1179" w:firstLine="507"/>
        <w:spacing w:after="0" w:line="243" w:lineRule="auto"/>
        <w:tabs>
          <w:tab w:leader="none" w:pos="220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Limitation of Personal Liability.</w:t>
      </w:r>
      <w:r>
        <w:rPr>
          <w:rFonts w:ascii="Arial" w:cs="Arial" w:eastAsia="Arial" w:hAnsi="Arial"/>
          <w:sz w:val="17"/>
          <w:szCs w:val="17"/>
          <w:color w:val="auto"/>
        </w:rPr>
        <w:t xml:space="preserve"> To the fullest extent permitted by applicable law as the same exists or hereafter may be amended, no director of the Corporation shall be personally liable to the Corporation or its shareholders for monetary damages for breach of fiduciary duty as a director. If applicable provisions of the Florida Business Corporations Act or any other applicable law not in conflict therewith are amended to authorize corporate action further eliminating or limiting the personal liability of directors, then the liability of a director of the Corporation shall be eliminated or limited to the fullest extent permitted by the applicable provisions of the Florida Business Corporations Act and such other applicable law, as so amended. No amendment, modification or repeal of this paragraph or any adoption of any other provision of these Articles of Incorporation inconsistent with this paragraph shall apply to or adversely affect any right or protection of a director of the Corporation existing at the time of such amendment, modification, repeal or adoption with respect to any acts or omissions of such director occurring prior to such amendment, modification, repeal or adoption.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175" w:lineRule="exact"/>
        <w:rPr>
          <w:sz w:val="20"/>
          <w:szCs w:val="20"/>
          <w:color w:val="auto"/>
        </w:rPr>
      </w:pPr>
    </w:p>
    <w:p>
      <w:pPr>
        <w:jc w:val="both"/>
        <w:ind w:left="1180" w:right="1159" w:firstLine="1024"/>
        <w:spacing w:after="0" w:line="242" w:lineRule="auto"/>
        <w:rPr>
          <w:sz w:val="20"/>
          <w:szCs w:val="20"/>
          <w:color w:val="auto"/>
        </w:rPr>
      </w:pPr>
      <w:r>
        <w:rPr>
          <w:rFonts w:ascii="Arial" w:cs="Arial" w:eastAsia="Arial" w:hAnsi="Arial"/>
          <w:sz w:val="17"/>
          <w:szCs w:val="17"/>
          <w:color w:val="auto"/>
        </w:rPr>
        <w:t>The Corporation reserves the right to amend, alter, change or repeal any provision contained in these Articles of Incorporation (including any rights, preferences or other designations of Preferred Stock), in the manner now or hereafter prescribed by these Articles of Incorporation and the Florida Business Corporations Act; and all rights, preferences and privileges herein conferred upon shareholders by and pursuant to this Articles of Incorporation in its present form or as hereafter amended are granted subject to the right reserved in this Article VIII. Notwithstanding any other provision of these Articles of Incorporation to the contrary, and in addition to any other vote that may be required by law or the terms of these Articles of Incorporation, the affirmative vote of the holders of at least sixty six and two-thirds percent (66 2/3%) of the then outstanding shares of Voting Common Stock, voting together as a single class, shall be required to (i) amend, alter or repeal, or adopt any provision as part of this Articles of Incorporation inconsistent with the purpose and intent of, Article IV, Article V, Article VI, Article VII, this Article VIII or Article X (including, without limitation, any such Article as renumbered as a result of any amendment, alteration, change, repeal or adoption of any other Article) or</w:t>
      </w:r>
    </w:p>
    <w:p>
      <w:pPr>
        <w:spacing w:after="0" w:line="11" w:lineRule="exact"/>
        <w:rPr>
          <w:sz w:val="20"/>
          <w:szCs w:val="20"/>
          <w:color w:val="auto"/>
        </w:rPr>
      </w:pPr>
    </w:p>
    <w:p>
      <w:pPr>
        <w:ind w:left="1420" w:hanging="245"/>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amend, alter or repeal, or adopt any provision as part of these Articles of Incorporation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6"/>
          <w:szCs w:val="16"/>
          <w:color w:val="auto"/>
        </w:rPr>
        <w:t>15</w:t>
      </w:r>
    </w:p>
    <w:p>
      <w:pPr>
        <w:sectPr>
          <w:pgSz w:w="11900" w:h="16838" w:orient="portrait"/>
          <w:cols w:equalWidth="0" w:num="1">
            <w:col w:w="9019"/>
          </w:cols>
          <w:pgMar w:left="1440" w:top="1232" w:right="1440" w:bottom="1440" w:gutter="0" w:footer="0" w:header="0"/>
        </w:sectPr>
      </w:pPr>
    </w:p>
    <w:bookmarkStart w:id="76" w:name="page77"/>
    <w:bookmarkEnd w:id="76"/>
    <w:p>
      <w:pPr>
        <w:jc w:val="both"/>
        <w:ind w:left="1180" w:right="1179"/>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or the Corporation's Bylaws inconsistent with the purpose and intent of, Sections 2.1, 2.2 and 2.12 or Articles VII or IX (including, without limitation, any such Article or Section as renumbered as a result of any amendment, alteration, change, repeal or adoption of any other Article or Section) of the Corporation's Bylaws.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175" w:lineRule="exact"/>
        <w:rPr>
          <w:sz w:val="20"/>
          <w:szCs w:val="20"/>
          <w:color w:val="auto"/>
        </w:rPr>
      </w:pPr>
    </w:p>
    <w:p>
      <w:pPr>
        <w:jc w:val="both"/>
        <w:ind w:left="1180" w:right="1179" w:firstLine="1024"/>
        <w:spacing w:after="0" w:line="242" w:lineRule="auto"/>
        <w:rPr>
          <w:sz w:val="20"/>
          <w:szCs w:val="20"/>
          <w:color w:val="auto"/>
        </w:rPr>
      </w:pPr>
      <w:r>
        <w:rPr>
          <w:rFonts w:ascii="Arial" w:cs="Arial" w:eastAsia="Arial" w:hAnsi="Arial"/>
          <w:sz w:val="17"/>
          <w:szCs w:val="17"/>
          <w:color w:val="auto"/>
        </w:rPr>
        <w:t>Notwithstanding anything in these Articles to the contrary, the Corporation and the members of the Board of Directors (the "Directors") shall at all times comply with the requirements of Sections 655.0385 and 655.0386 of the Florida Statutes. The Corporation acknowledges that the Directors and their respective affiliates and related investment funds may review the business plans and related proprietary information of other enterprises which may have products or services which may or may not compete directly or indirectly with those of the Corporation and its subsidiaries, and may trade in the securities of such enterprises. No Directors, any of their respective affiliates or related investment funds shall be precluded or in any way restricted from investing or participating in any particular enterprise, or trading in the securities thereof whether or not such enterprise has products or services that compete with those of the Corporation and its subsidiaries and affiliates. The Corporation expressly acknowledges and agrees that: (a) the Directors and their respective affiliates have the right to, and shall have no duty (contractual or otherwise) not to, directly or indirectly, engage in the same or similar business activities or lines of business as the Corporation and its subsidiaries and affiliates; and (b) in the event that any Director or its affiliates acquires knowledge of a potential transaction or matter that may be a corporate opportunity for the Corporation or any of its subsidiaries or affiliates, such Director or its affiliate shall have no duty (contractual or otherwise) to communicate or present such corporate opportunity to the Corporation or any of its subsidiaries and affiliates, and, notwithstanding any provision of this Articles of Incorporation, the Bylaws or applicable law to the contrary, shall not be liable to the Corporation or any of its subsidiaries or affiliates or the shareholders of the Corporation for breach of any duty (contractual or otherwise) by reason of the fact that such Director or any of its affiliates thereof, directly or indirectly, pursues or acquires such opportunity for itself, directs such opportunity to another person, or does not present such opportunity to the Corporation.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175" w:lineRule="exact"/>
        <w:rPr>
          <w:sz w:val="20"/>
          <w:szCs w:val="20"/>
          <w:color w:val="auto"/>
        </w:rPr>
      </w:pPr>
    </w:p>
    <w:p>
      <w:pPr>
        <w:jc w:val="both"/>
        <w:ind w:left="1180" w:right="1179" w:firstLine="507"/>
        <w:spacing w:after="0" w:line="249" w:lineRule="auto"/>
        <w:tabs>
          <w:tab w:leader="none" w:pos="2204"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xml:space="preserve"> For purposes of this Article X, the following terms shall have the meanings indicated (and any references to any portions of Treasury Regulation</w:t>
      </w:r>
    </w:p>
    <w:p>
      <w:pPr>
        <w:spacing w:after="0" w:line="1" w:lineRule="exact"/>
        <w:rPr>
          <w:rFonts w:ascii="Arial" w:cs="Arial" w:eastAsia="Arial" w:hAnsi="Arial"/>
          <w:sz w:val="17"/>
          <w:szCs w:val="17"/>
          <w:color w:val="auto"/>
        </w:rPr>
      </w:pPr>
    </w:p>
    <w:p>
      <w:pPr>
        <w:ind w:left="1320" w:hanging="145"/>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1.3822T shall include any successor provisions):</w:t>
      </w:r>
    </w:p>
    <w:p>
      <w:pPr>
        <w:spacing w:after="0" w:line="155" w:lineRule="exact"/>
        <w:rPr>
          <w:rFonts w:ascii="Arial" w:cs="Arial" w:eastAsia="Arial" w:hAnsi="Arial"/>
          <w:sz w:val="17"/>
          <w:szCs w:val="17"/>
          <w:color w:val="auto"/>
        </w:rPr>
      </w:pPr>
    </w:p>
    <w:p>
      <w:pPr>
        <w:ind w:left="1180" w:right="1179" w:firstLine="1019"/>
        <w:spacing w:after="0" w:line="274" w:lineRule="auto"/>
        <w:tabs>
          <w:tab w:leader="none" w:pos="2717" w:val="left"/>
        </w:tabs>
        <w:numPr>
          <w:ilvl w:val="2"/>
          <w:numId w:val="59"/>
        </w:numPr>
        <w:rPr>
          <w:rFonts w:ascii="Arial" w:cs="Arial" w:eastAsia="Arial" w:hAnsi="Arial"/>
          <w:sz w:val="17"/>
          <w:szCs w:val="17"/>
          <w:color w:val="auto"/>
        </w:rPr>
      </w:pPr>
      <w:r>
        <w:rPr>
          <w:rFonts w:ascii="Arial" w:cs="Arial" w:eastAsia="Arial" w:hAnsi="Arial"/>
          <w:sz w:val="17"/>
          <w:szCs w:val="17"/>
          <w:color w:val="auto"/>
        </w:rPr>
        <w:t>"Affiliate" shall have the meanings set forth in Rule 12b-2 under the Securities Exchange Act of 1934, as amended.</w:t>
      </w:r>
    </w:p>
    <w:p>
      <w:pPr>
        <w:spacing w:after="0" w:line="119" w:lineRule="exact"/>
        <w:rPr>
          <w:rFonts w:ascii="Arial" w:cs="Arial" w:eastAsia="Arial" w:hAnsi="Arial"/>
          <w:sz w:val="17"/>
          <w:szCs w:val="17"/>
          <w:color w:val="auto"/>
        </w:rPr>
      </w:pPr>
    </w:p>
    <w:p>
      <w:pPr>
        <w:ind w:left="2660" w:hanging="461"/>
        <w:spacing w:after="0"/>
        <w:tabs>
          <w:tab w:leader="none" w:pos="2660" w:val="left"/>
        </w:tabs>
        <w:numPr>
          <w:ilvl w:val="2"/>
          <w:numId w:val="59"/>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w:t>
      </w:r>
    </w:p>
    <w:p>
      <w:pPr>
        <w:spacing w:after="0" w:line="30"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7"/>
          <w:szCs w:val="17"/>
          <w:color w:val="auto"/>
        </w:rPr>
        <w:t>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232" w:right="1440" w:bottom="1440" w:gutter="0" w:footer="0" w:header="0"/>
        </w:sectPr>
      </w:pPr>
    </w:p>
    <w:bookmarkStart w:id="77" w:name="page78"/>
    <w:bookmarkEnd w:id="77"/>
    <w:p>
      <w:pPr>
        <w:ind w:left="2660" w:hanging="461"/>
        <w:spacing w:after="0"/>
        <w:tabs>
          <w:tab w:leader="none" w:pos="2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"Entity" means an "entity" as defined in Treasury Regulation § 1.382-</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3(a).</w:t>
      </w:r>
    </w:p>
    <w:p>
      <w:pPr>
        <w:spacing w:after="0" w:line="155" w:lineRule="exact"/>
        <w:rPr>
          <w:sz w:val="20"/>
          <w:szCs w:val="20"/>
          <w:color w:val="auto"/>
        </w:rPr>
      </w:pPr>
    </w:p>
    <w:p>
      <w:pPr>
        <w:jc w:val="both"/>
        <w:ind w:left="1180" w:right="1179" w:firstLine="1019"/>
        <w:spacing w:after="0" w:line="246" w:lineRule="auto"/>
        <w:tabs>
          <w:tab w:leader="none" w:pos="2666" w:val="left"/>
        </w:tabs>
        <w:numPr>
          <w:ilvl w:val="1"/>
          <w:numId w:val="61"/>
        </w:numPr>
        <w:rPr>
          <w:rFonts w:ascii="Arial" w:cs="Arial" w:eastAsia="Arial" w:hAnsi="Arial"/>
          <w:sz w:val="17"/>
          <w:szCs w:val="17"/>
          <w:color w:val="auto"/>
        </w:rPr>
      </w:pPr>
      <w:r>
        <w:rPr>
          <w:rFonts w:ascii="Arial" w:cs="Arial" w:eastAsia="Arial" w:hAnsi="Arial"/>
          <w:sz w:val="17"/>
          <w:szCs w:val="17"/>
          <w:color w:val="auto"/>
        </w:rPr>
        <w:t>"Expiration Date" means the earlier of (A) January 1, 2035, (B) the repeal of Section 382 of the Code or any successor statute if the Board of Directors determines that this Article X is no longer necessary for the preservation of Tax Benefits and (C) the beginning of a taxable year of the Corporation to which the Board of Directors determines that no Tax Benefits may be carried forward, unless the Board of Directors shall fix an earlier or later date in accordance with Article X, Section G.</w:t>
      </w:r>
    </w:p>
    <w:p>
      <w:pPr>
        <w:spacing w:after="0" w:line="142" w:lineRule="exact"/>
        <w:rPr>
          <w:rFonts w:ascii="Arial" w:cs="Arial" w:eastAsia="Arial" w:hAnsi="Arial"/>
          <w:sz w:val="17"/>
          <w:szCs w:val="17"/>
          <w:color w:val="auto"/>
        </w:rPr>
      </w:pPr>
    </w:p>
    <w:p>
      <w:pPr>
        <w:jc w:val="both"/>
        <w:ind w:left="1180" w:right="1179" w:firstLine="1019"/>
        <w:spacing w:after="0" w:line="246" w:lineRule="auto"/>
        <w:tabs>
          <w:tab w:leader="none" w:pos="2666" w:val="left"/>
        </w:tabs>
        <w:numPr>
          <w:ilvl w:val="1"/>
          <w:numId w:val="61"/>
        </w:numPr>
        <w:rPr>
          <w:rFonts w:ascii="Arial" w:cs="Arial" w:eastAsia="Arial" w:hAnsi="Arial"/>
          <w:sz w:val="17"/>
          <w:szCs w:val="17"/>
          <w:color w:val="auto"/>
        </w:rPr>
      </w:pPr>
      <w:r>
        <w:rPr>
          <w:rFonts w:ascii="Arial" w:cs="Arial" w:eastAsia="Arial" w:hAnsi="Arial"/>
          <w:sz w:val="17"/>
          <w:szCs w:val="17"/>
          <w:color w:val="auto"/>
        </w:rPr>
        <w:t>"Five-Percent Shareholder" means an individual, an Entity or a Public Group" whose Ownership Interest Percentage is greater than or equal to 5% or who would be treated as a "5-percent shareholder" under Section 382 of the Code and applicable Treasury Regulations. For purposes of determining whether a Person is a Five-percent Shareholder, any options (as defined in Treasury Regulations) treated as owned by such Person shall be deemed exercised if the result is to cause such Person to be treated as a Five-percent Shareholder.</w:t>
      </w:r>
    </w:p>
    <w:p>
      <w:pPr>
        <w:spacing w:after="0" w:line="144" w:lineRule="exact"/>
        <w:rPr>
          <w:rFonts w:ascii="Arial" w:cs="Arial" w:eastAsia="Arial" w:hAnsi="Arial"/>
          <w:sz w:val="17"/>
          <w:szCs w:val="17"/>
          <w:color w:val="auto"/>
        </w:rPr>
      </w:pPr>
    </w:p>
    <w:p>
      <w:pPr>
        <w:ind w:left="1180" w:right="1179" w:firstLine="1019"/>
        <w:spacing w:after="0" w:line="274" w:lineRule="auto"/>
        <w:tabs>
          <w:tab w:leader="none" w:pos="2666" w:val="left"/>
        </w:tabs>
        <w:numPr>
          <w:ilvl w:val="1"/>
          <w:numId w:val="61"/>
        </w:numPr>
        <w:rPr>
          <w:rFonts w:ascii="Arial" w:cs="Arial" w:eastAsia="Arial" w:hAnsi="Arial"/>
          <w:sz w:val="17"/>
          <w:szCs w:val="17"/>
          <w:color w:val="auto"/>
        </w:rPr>
      </w:pPr>
      <w:r>
        <w:rPr>
          <w:rFonts w:ascii="Arial" w:cs="Arial" w:eastAsia="Arial" w:hAnsi="Arial"/>
          <w:sz w:val="17"/>
          <w:szCs w:val="17"/>
          <w:color w:val="auto"/>
        </w:rPr>
        <w:t>"Large Investor" means any Person that is identified as a Large Investor in a stock purchase agreement between such Person and the Corporation.</w:t>
      </w:r>
    </w:p>
    <w:p>
      <w:pPr>
        <w:spacing w:after="0" w:line="119" w:lineRule="exact"/>
        <w:rPr>
          <w:rFonts w:ascii="Arial" w:cs="Arial" w:eastAsia="Arial" w:hAnsi="Arial"/>
          <w:sz w:val="17"/>
          <w:szCs w:val="17"/>
          <w:color w:val="auto"/>
        </w:rPr>
      </w:pPr>
    </w:p>
    <w:p>
      <w:pPr>
        <w:ind w:left="1180" w:right="1179" w:firstLine="1019"/>
        <w:spacing w:after="0" w:line="261" w:lineRule="auto"/>
        <w:tabs>
          <w:tab w:leader="none" w:pos="2666" w:val="left"/>
        </w:tabs>
        <w:numPr>
          <w:ilvl w:val="1"/>
          <w:numId w:val="61"/>
        </w:numPr>
        <w:rPr>
          <w:rFonts w:ascii="Arial" w:cs="Arial" w:eastAsia="Arial" w:hAnsi="Arial"/>
          <w:sz w:val="17"/>
          <w:szCs w:val="17"/>
          <w:color w:val="auto"/>
        </w:rPr>
      </w:pPr>
      <w:r>
        <w:rPr>
          <w:rFonts w:ascii="Arial" w:cs="Arial" w:eastAsia="Arial" w:hAnsi="Arial"/>
          <w:sz w:val="17"/>
          <w:szCs w:val="17"/>
          <w:color w:val="auto"/>
        </w:rPr>
        <w:t>"Option" shall have the meaning set forth in Treasury Regulation §§1.382-2T(h)(4)(v) and 1.382-4(d)(9).</w:t>
      </w:r>
    </w:p>
    <w:p>
      <w:pPr>
        <w:spacing w:after="0" w:line="140" w:lineRule="exact"/>
        <w:rPr>
          <w:rFonts w:ascii="Arial" w:cs="Arial" w:eastAsia="Arial" w:hAnsi="Arial"/>
          <w:sz w:val="17"/>
          <w:szCs w:val="17"/>
          <w:color w:val="auto"/>
        </w:rPr>
      </w:pPr>
    </w:p>
    <w:p>
      <w:pPr>
        <w:jc w:val="both"/>
        <w:ind w:left="1180" w:right="1179" w:firstLine="1019"/>
        <w:spacing w:after="0" w:line="243" w:lineRule="auto"/>
        <w:tabs>
          <w:tab w:leader="none" w:pos="2666" w:val="left"/>
        </w:tabs>
        <w:numPr>
          <w:ilvl w:val="1"/>
          <w:numId w:val="61"/>
        </w:numPr>
        <w:rPr>
          <w:rFonts w:ascii="Arial" w:cs="Arial" w:eastAsia="Arial" w:hAnsi="Arial"/>
          <w:sz w:val="17"/>
          <w:szCs w:val="17"/>
          <w:color w:val="auto"/>
        </w:rPr>
      </w:pPr>
      <w:r>
        <w:rPr>
          <w:rFonts w:ascii="Arial" w:cs="Arial" w:eastAsia="Arial" w:hAnsi="Arial"/>
          <w:sz w:val="17"/>
          <w:szCs w:val="17"/>
          <w:color w:val="auto"/>
        </w:rPr>
        <w:t>"Ownership Interest Percentage" means, as of any determination date, the percentage of the Corporation's issued and outstanding Stock (not including treasury shares or shares subject to vesting in connection with compensatory arrangements with the Corporation) that an individual or Entity would be treated as owning for purposes of Section 382 of the Code, applying the following additional rules:</w:t>
      </w:r>
    </w:p>
    <w:p>
      <w:pPr>
        <w:spacing w:after="0" w:line="3" w:lineRule="exact"/>
        <w:rPr>
          <w:rFonts w:ascii="Arial" w:cs="Arial" w:eastAsia="Arial" w:hAnsi="Arial"/>
          <w:sz w:val="17"/>
          <w:szCs w:val="17"/>
          <w:color w:val="auto"/>
        </w:rPr>
      </w:pPr>
    </w:p>
    <w:p>
      <w:pPr>
        <w:jc w:val="both"/>
        <w:ind w:left="1180" w:right="1179" w:hanging="5"/>
        <w:spacing w:after="0" w:line="242" w:lineRule="auto"/>
        <w:tabs>
          <w:tab w:leader="none" w:pos="14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the event that such individual or Entity, or any Affiliate of such individual or Entity, owns or is party to an Option with respect to Stock (including, for the avoidance of doubt, any cash-settled derivative contract that gives such individual or Entity a "long" exposure with respect to Stock), such individual, Entity or affiliate will be treated as owning an amount of Stock equal to the number of shares referenced by such Option, (B) for purposes of applying Treasury Regulation § 1.382-2T(k)(2), the Corporation shall be treated as having "actual knowledge" of the beneficial ownership of all outstanding shares of Stock that would be attributed to any such individual or Entity, (C) Section 382(l)(3)(A)(ii)(II) of the Code shall not apply and (D) any additional rules the Board of Directors may establish from time to time.</w:t>
      </w:r>
    </w:p>
    <w:p>
      <w:pPr>
        <w:spacing w:after="0" w:line="150" w:lineRule="exact"/>
        <w:rPr>
          <w:rFonts w:ascii="Arial" w:cs="Arial" w:eastAsia="Arial" w:hAnsi="Arial"/>
          <w:sz w:val="17"/>
          <w:szCs w:val="17"/>
          <w:color w:val="auto"/>
        </w:rPr>
      </w:pPr>
    </w:p>
    <w:p>
      <w:pPr>
        <w:jc w:val="both"/>
        <w:ind w:left="1180" w:right="1179" w:firstLine="1019"/>
        <w:spacing w:after="0" w:line="248" w:lineRule="auto"/>
        <w:tabs>
          <w:tab w:leader="none" w:pos="2666" w:val="left"/>
        </w:tabs>
        <w:numPr>
          <w:ilvl w:val="1"/>
          <w:numId w:val="62"/>
        </w:numPr>
        <w:rPr>
          <w:rFonts w:ascii="Arial" w:cs="Arial" w:eastAsia="Arial" w:hAnsi="Arial"/>
          <w:sz w:val="17"/>
          <w:szCs w:val="17"/>
          <w:color w:val="auto"/>
        </w:rPr>
      </w:pPr>
      <w:r>
        <w:rPr>
          <w:rFonts w:ascii="Arial" w:cs="Arial" w:eastAsia="Arial" w:hAnsi="Arial"/>
          <w:sz w:val="17"/>
          <w:szCs w:val="17"/>
          <w:color w:val="auto"/>
        </w:rPr>
        <w:t>"Permissible Transferee" means a transferee that, immediately prior to any transfer, has an Ownership Interest Percentage equal to (A) zero percentage points, plus (B) any percentage attributable to a prior transfer from, or attribution of ownership from, a Large Investor or another Permissible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232" w:right="1440" w:bottom="1440" w:gutter="0" w:footer="0" w:header="0"/>
        </w:sectPr>
      </w:pPr>
    </w:p>
    <w:bookmarkStart w:id="78" w:name="page79"/>
    <w:bookmarkEnd w:id="78"/>
    <w:p>
      <w:pPr>
        <w:jc w:val="both"/>
        <w:ind w:left="1180" w:right="1179" w:firstLine="1019"/>
        <w:spacing w:after="0" w:line="278" w:lineRule="auto"/>
        <w:tabs>
          <w:tab w:leader="none" w:pos="2666" w:val="left"/>
        </w:tabs>
        <w:numPr>
          <w:ilvl w:val="2"/>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"Person" means any individual, Entity, firm, corporation, partnership, trust association, limited liability company, limited liability partnership, governmental entity or other entity and shall include any successor (by merger or otherwise) of any such entity.</w:t>
      </w:r>
    </w:p>
    <w:p>
      <w:pPr>
        <w:spacing w:after="0" w:line="118" w:lineRule="exact"/>
        <w:rPr>
          <w:rFonts w:ascii="Arial" w:cs="Arial" w:eastAsia="Arial" w:hAnsi="Arial"/>
          <w:sz w:val="16"/>
          <w:szCs w:val="16"/>
          <w:color w:val="auto"/>
        </w:rPr>
      </w:pPr>
    </w:p>
    <w:p>
      <w:pPr>
        <w:ind w:left="1180" w:right="1179" w:firstLine="1019"/>
        <w:spacing w:after="0" w:line="274" w:lineRule="auto"/>
        <w:tabs>
          <w:tab w:leader="none" w:pos="2665" w:val="left"/>
        </w:tabs>
        <w:numPr>
          <w:ilvl w:val="2"/>
          <w:numId w:val="63"/>
        </w:numPr>
        <w:rPr>
          <w:rFonts w:ascii="Arial" w:cs="Arial" w:eastAsia="Arial" w:hAnsi="Arial"/>
          <w:sz w:val="16"/>
          <w:szCs w:val="16"/>
          <w:color w:val="auto"/>
        </w:rPr>
      </w:pPr>
      <w:r>
        <w:rPr>
          <w:rFonts w:ascii="Arial" w:cs="Arial" w:eastAsia="Arial" w:hAnsi="Arial"/>
          <w:sz w:val="17"/>
          <w:szCs w:val="17"/>
          <w:color w:val="auto"/>
        </w:rPr>
        <w:t>"Prohibited Transfer" means any purported transfer of Stock to the extent that such transfer is prohibited under this Article X.</w:t>
      </w:r>
    </w:p>
    <w:p>
      <w:pPr>
        <w:spacing w:after="0" w:line="119" w:lineRule="exact"/>
        <w:rPr>
          <w:rFonts w:ascii="Arial" w:cs="Arial" w:eastAsia="Arial" w:hAnsi="Arial"/>
          <w:sz w:val="16"/>
          <w:szCs w:val="16"/>
          <w:color w:val="auto"/>
        </w:rPr>
      </w:pPr>
    </w:p>
    <w:p>
      <w:pPr>
        <w:ind w:left="1180" w:right="1199" w:firstLine="1019"/>
        <w:spacing w:after="0" w:line="274" w:lineRule="auto"/>
        <w:tabs>
          <w:tab w:leader="none" w:pos="2665" w:val="left"/>
        </w:tabs>
        <w:numPr>
          <w:ilvl w:val="2"/>
          <w:numId w:val="63"/>
        </w:numPr>
        <w:rPr>
          <w:rFonts w:ascii="Arial" w:cs="Arial" w:eastAsia="Arial" w:hAnsi="Arial"/>
          <w:sz w:val="16"/>
          <w:szCs w:val="16"/>
          <w:color w:val="auto"/>
        </w:rPr>
      </w:pPr>
      <w:r>
        <w:rPr>
          <w:rFonts w:ascii="Arial" w:cs="Arial" w:eastAsia="Arial" w:hAnsi="Arial"/>
          <w:sz w:val="17"/>
          <w:szCs w:val="17"/>
          <w:color w:val="auto"/>
        </w:rPr>
        <w:t>"Public Group" means a "public group" as defined in Treasury Regulation §1.382-2T(f)(13).</w:t>
      </w:r>
    </w:p>
    <w:p>
      <w:pPr>
        <w:spacing w:after="0" w:line="119" w:lineRule="exact"/>
        <w:rPr>
          <w:rFonts w:ascii="Arial" w:cs="Arial" w:eastAsia="Arial" w:hAnsi="Arial"/>
          <w:sz w:val="16"/>
          <w:szCs w:val="16"/>
          <w:color w:val="auto"/>
        </w:rPr>
      </w:pPr>
    </w:p>
    <w:p>
      <w:pPr>
        <w:jc w:val="both"/>
        <w:ind w:left="1180" w:right="1179" w:firstLine="1019"/>
        <w:spacing w:after="0" w:line="248" w:lineRule="auto"/>
        <w:tabs>
          <w:tab w:leader="none" w:pos="2665" w:val="left"/>
        </w:tabs>
        <w:numPr>
          <w:ilvl w:val="2"/>
          <w:numId w:val="63"/>
        </w:numPr>
        <w:rPr>
          <w:rFonts w:ascii="Arial" w:cs="Arial" w:eastAsia="Arial" w:hAnsi="Arial"/>
          <w:sz w:val="16"/>
          <w:szCs w:val="16"/>
          <w:color w:val="auto"/>
        </w:rPr>
      </w:pPr>
      <w:r>
        <w:rPr>
          <w:rFonts w:ascii="Arial" w:cs="Arial" w:eastAsia="Arial" w:hAnsi="Arial"/>
          <w:sz w:val="17"/>
          <w:szCs w:val="17"/>
          <w:color w:val="auto"/>
        </w:rPr>
        <w:t>"Stock" means (A) shares of Common Stock, (B) shares of Preferred Stock (other than shares of any class of Preferred Stock described in Section 1504(a)(4) of the Code) and (C) any other interest (other than any Option) that would be treated as "stock" of the Corporation pursuant to Treasury Regulation § 1.382-2T(f)(18).</w:t>
      </w:r>
    </w:p>
    <w:p>
      <w:pPr>
        <w:spacing w:after="0" w:line="152" w:lineRule="exact"/>
        <w:rPr>
          <w:rFonts w:ascii="Arial" w:cs="Arial" w:eastAsia="Arial" w:hAnsi="Arial"/>
          <w:sz w:val="16"/>
          <w:szCs w:val="16"/>
          <w:color w:val="auto"/>
        </w:rPr>
      </w:pPr>
    </w:p>
    <w:p>
      <w:pPr>
        <w:jc w:val="both"/>
        <w:ind w:left="1180" w:right="1179" w:firstLine="1019"/>
        <w:spacing w:after="0" w:line="245" w:lineRule="auto"/>
        <w:tabs>
          <w:tab w:leader="none" w:pos="2665" w:val="left"/>
        </w:tabs>
        <w:numPr>
          <w:ilvl w:val="2"/>
          <w:numId w:val="63"/>
        </w:numPr>
        <w:rPr>
          <w:rFonts w:ascii="Arial" w:cs="Arial" w:eastAsia="Arial" w:hAnsi="Arial"/>
          <w:sz w:val="16"/>
          <w:szCs w:val="16"/>
          <w:color w:val="auto"/>
        </w:rPr>
      </w:pPr>
      <w:r>
        <w:rPr>
          <w:rFonts w:ascii="Arial" w:cs="Arial" w:eastAsia="Arial" w:hAnsi="Arial"/>
          <w:sz w:val="17"/>
          <w:szCs w:val="17"/>
          <w:color w:val="auto"/>
        </w:rPr>
        <w:t>"Tax Benefit" means the net operating loss carryovers, capital loss carryovers, general business credit carryovers, alternative minimum tax credit carryovers and foreign tax credit carryovers, as well as any potential loss or deduction attributable to an existing "net unrealized built-in loss" within the meaning of Section 382 of the Code, of the Corporation or any direct or indirect subsidiary thereof.</w:t>
      </w:r>
    </w:p>
    <w:p>
      <w:pPr>
        <w:spacing w:after="0" w:line="154" w:lineRule="exact"/>
        <w:rPr>
          <w:rFonts w:ascii="Arial" w:cs="Arial" w:eastAsia="Arial" w:hAnsi="Arial"/>
          <w:sz w:val="16"/>
          <w:szCs w:val="16"/>
          <w:color w:val="auto"/>
        </w:rPr>
      </w:pPr>
    </w:p>
    <w:p>
      <w:pPr>
        <w:jc w:val="both"/>
        <w:ind w:left="1180" w:right="1179" w:firstLine="1019"/>
        <w:spacing w:after="0" w:line="243" w:lineRule="auto"/>
        <w:tabs>
          <w:tab w:leader="none" w:pos="2665" w:val="left"/>
        </w:tabs>
        <w:numPr>
          <w:ilvl w:val="2"/>
          <w:numId w:val="63"/>
        </w:numPr>
        <w:rPr>
          <w:rFonts w:ascii="Arial" w:cs="Arial" w:eastAsia="Arial" w:hAnsi="Arial"/>
          <w:sz w:val="16"/>
          <w:szCs w:val="16"/>
          <w:color w:val="auto"/>
        </w:rPr>
      </w:pPr>
      <w:r>
        <w:rPr>
          <w:rFonts w:ascii="Arial" w:cs="Arial" w:eastAsia="Arial" w:hAnsi="Arial"/>
          <w:sz w:val="17"/>
          <w:szCs w:val="17"/>
          <w:color w:val="auto"/>
        </w:rPr>
        <w:t>"Transfer" refers to any means of conveying record, beneficial or tax ownership (applying, in the case of tax ownership, applicable attribution rules for purposes of Section 382 of the Code) of Stock, whether such means is direct or indirect, voluntary or involuntary. A Transfer also shall include the creation or grant of an option (including an option within the meaning of Treasury Regulations § 1.382-2T(h)(4)(v) and</w:t>
      </w:r>
    </w:p>
    <w:p>
      <w:pPr>
        <w:spacing w:after="0" w:line="3" w:lineRule="exact"/>
        <w:rPr>
          <w:rFonts w:ascii="Arial" w:cs="Arial" w:eastAsia="Arial" w:hAnsi="Arial"/>
          <w:sz w:val="16"/>
          <w:szCs w:val="16"/>
          <w:color w:val="auto"/>
        </w:rPr>
      </w:pPr>
    </w:p>
    <w:p>
      <w:pPr>
        <w:ind w:left="1320" w:hanging="145"/>
        <w:spacing w:after="0"/>
        <w:tabs>
          <w:tab w:leader="none" w:pos="1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1.382-4(d)(9)).</w:t>
      </w:r>
    </w:p>
    <w:p>
      <w:pPr>
        <w:spacing w:after="0" w:line="155" w:lineRule="exact"/>
        <w:rPr>
          <w:rFonts w:ascii="Arial" w:cs="Arial" w:eastAsia="Arial" w:hAnsi="Arial"/>
          <w:sz w:val="17"/>
          <w:szCs w:val="17"/>
          <w:color w:val="auto"/>
        </w:rPr>
      </w:pPr>
    </w:p>
    <w:p>
      <w:pPr>
        <w:ind w:left="2660" w:hanging="461"/>
        <w:spacing w:after="0"/>
        <w:tabs>
          <w:tab w:leader="none" w:pos="2660" w:val="left"/>
        </w:tabs>
        <w:numPr>
          <w:ilvl w:val="2"/>
          <w:numId w:val="64"/>
        </w:numPr>
        <w:rPr>
          <w:rFonts w:ascii="Arial" w:cs="Arial" w:eastAsia="Arial" w:hAnsi="Arial"/>
          <w:sz w:val="16"/>
          <w:szCs w:val="16"/>
          <w:color w:val="auto"/>
        </w:rPr>
      </w:pPr>
      <w:r>
        <w:rPr>
          <w:rFonts w:ascii="Arial" w:cs="Arial" w:eastAsia="Arial" w:hAnsi="Arial"/>
          <w:sz w:val="17"/>
          <w:szCs w:val="17"/>
          <w:color w:val="auto"/>
        </w:rPr>
        <w:t>"Transferee" means any Person to whom any such security is</w:t>
      </w:r>
    </w:p>
    <w:p>
      <w:pPr>
        <w:spacing w:after="0" w:line="8"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7"/>
          <w:szCs w:val="17"/>
          <w:color w:val="auto"/>
        </w:rPr>
        <w:t>transferred.</w:t>
      </w:r>
    </w:p>
    <w:p>
      <w:pPr>
        <w:spacing w:after="0" w:line="165" w:lineRule="exact"/>
        <w:rPr>
          <w:rFonts w:ascii="Arial" w:cs="Arial" w:eastAsia="Arial" w:hAnsi="Arial"/>
          <w:sz w:val="16"/>
          <w:szCs w:val="16"/>
          <w:color w:val="auto"/>
        </w:rPr>
      </w:pPr>
    </w:p>
    <w:p>
      <w:pPr>
        <w:jc w:val="both"/>
        <w:ind w:left="1180" w:right="1179" w:firstLine="1019"/>
        <w:spacing w:after="0" w:line="255" w:lineRule="auto"/>
        <w:tabs>
          <w:tab w:leader="none" w:pos="2665" w:val="left"/>
        </w:tabs>
        <w:numPr>
          <w:ilvl w:val="2"/>
          <w:numId w:val="64"/>
        </w:numPr>
        <w:rPr>
          <w:rFonts w:ascii="Arial" w:cs="Arial" w:eastAsia="Arial" w:hAnsi="Arial"/>
          <w:sz w:val="16"/>
          <w:szCs w:val="16"/>
          <w:color w:val="auto"/>
        </w:rPr>
      </w:pPr>
      <w:r>
        <w:rPr>
          <w:rFonts w:ascii="Arial" w:cs="Arial" w:eastAsia="Arial" w:hAnsi="Arial"/>
          <w:sz w:val="17"/>
          <w:szCs w:val="17"/>
          <w:color w:val="auto"/>
        </w:rPr>
        <w:t>"Treasury Regulations" means the regulations, including temporary regulations or any successor regulations promulgated under the Code, as amended from time to time.</w:t>
      </w:r>
    </w:p>
    <w:p>
      <w:pPr>
        <w:spacing w:after="0" w:line="134" w:lineRule="exact"/>
        <w:rPr>
          <w:rFonts w:ascii="Arial" w:cs="Arial" w:eastAsia="Arial" w:hAnsi="Arial"/>
          <w:sz w:val="16"/>
          <w:szCs w:val="16"/>
          <w:color w:val="auto"/>
        </w:rPr>
      </w:pPr>
    </w:p>
    <w:p>
      <w:pPr>
        <w:jc w:val="both"/>
        <w:ind w:left="1180" w:right="1179" w:firstLine="507"/>
        <w:spacing w:after="0" w:line="246" w:lineRule="auto"/>
        <w:tabs>
          <w:tab w:leader="none" w:pos="220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xml:space="preserve"> Solely for the purpose of permitting the utilization of the Tax Benefits to which the Corporation (or any other member of the consolidated group of which the Corporation is the common parent for U.S. federal income tax purposes) is or may be entitled pursuant to the Code and the regulations thereunder, the following restrictions shall apply until the Expiration Date, unless the Board of Directors has waived any such restrictions in accordance with Article X, Section G:</w:t>
      </w:r>
    </w:p>
    <w:p>
      <w:pPr>
        <w:spacing w:after="0" w:line="152" w:lineRule="exact"/>
        <w:rPr>
          <w:rFonts w:ascii="Arial" w:cs="Arial" w:eastAsia="Arial" w:hAnsi="Arial"/>
          <w:sz w:val="17"/>
          <w:szCs w:val="17"/>
          <w:color w:val="auto"/>
        </w:rPr>
      </w:pPr>
    </w:p>
    <w:p>
      <w:pPr>
        <w:jc w:val="both"/>
        <w:ind w:left="1180" w:right="1179" w:firstLine="1019"/>
        <w:spacing w:after="0" w:line="264" w:lineRule="auto"/>
        <w:tabs>
          <w:tab w:leader="none" w:pos="2717" w:val="left"/>
        </w:tabs>
        <w:numPr>
          <w:ilvl w:val="2"/>
          <w:numId w:val="65"/>
        </w:numPr>
        <w:rPr>
          <w:rFonts w:ascii="Arial" w:cs="Arial" w:eastAsia="Arial" w:hAnsi="Arial"/>
          <w:sz w:val="16"/>
          <w:szCs w:val="16"/>
          <w:color w:val="auto"/>
        </w:rPr>
      </w:pPr>
      <w:r>
        <w:rPr>
          <w:rFonts w:ascii="Arial" w:cs="Arial" w:eastAsia="Arial" w:hAnsi="Arial"/>
          <w:sz w:val="16"/>
          <w:szCs w:val="16"/>
          <w:color w:val="auto"/>
        </w:rPr>
        <w:t>From and after the effective date of this Articles of Incorporation and prior to the Expiration Date, except as otherwise provided in this Article X, Section (B)(1), no individual or Entity other than the Corporation shall, except as provided in Article X, Section (C)(1) below, transfer to any individual or Entity any direct or indirect interest in any Stock or Options to acquire Stock to the extent that such transfer, if effective, would cause the Ownership Interest Percentage of the transferee or any other individual, Entity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232" w:right="1440" w:bottom="1440" w:gutter="0" w:footer="0" w:header="0"/>
        </w:sectPr>
      </w:pPr>
    </w:p>
    <w:bookmarkStart w:id="79" w:name="page80"/>
    <w:bookmarkEnd w:id="79"/>
    <w:p>
      <w:pPr>
        <w:jc w:val="both"/>
        <w:ind w:left="1180" w:right="1179"/>
        <w:spacing w:after="0" w:line="24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or Public Group to increase to 4.95 percent (4.95%) or above, or from 4.95% or above to a greater Ownership Interest Percentage or to the extent that such transfer would constitute a transfer to a Five-Percent Shareholder. Nothing in this Article X shall preclude the settlement of any transaction with respect to the Stock entered into through the facilities of any national securities exchange or over-the-counter market; provided, however, that the fact that the settlement of any transaction occurs shall not negate the effect of any other provision of this Article X and the securities involved in such transaction, and the purported transferor and Purported Acquiror (as defined below) thereof, shall remain subject to the provisions of this Article X in respect of such transaction.</w:t>
      </w:r>
    </w:p>
    <w:p>
      <w:pPr>
        <w:spacing w:after="0" w:line="147" w:lineRule="exact"/>
        <w:rPr>
          <w:sz w:val="20"/>
          <w:szCs w:val="20"/>
          <w:color w:val="auto"/>
        </w:rPr>
      </w:pPr>
    </w:p>
    <w:p>
      <w:pPr>
        <w:jc w:val="both"/>
        <w:ind w:left="1180" w:right="1179" w:firstLine="1019"/>
        <w:spacing w:after="0" w:line="244" w:lineRule="auto"/>
        <w:tabs>
          <w:tab w:leader="none" w:pos="2717" w:val="left"/>
        </w:tabs>
        <w:numPr>
          <w:ilvl w:val="1"/>
          <w:numId w:val="66"/>
        </w:numPr>
        <w:rPr>
          <w:rFonts w:ascii="Arial" w:cs="Arial" w:eastAsia="Arial" w:hAnsi="Arial"/>
          <w:sz w:val="17"/>
          <w:szCs w:val="17"/>
          <w:color w:val="auto"/>
        </w:rPr>
      </w:pPr>
      <w:r>
        <w:rPr>
          <w:rFonts w:ascii="Arial" w:cs="Arial" w:eastAsia="Arial" w:hAnsi="Arial"/>
          <w:sz w:val="17"/>
          <w:szCs w:val="17"/>
          <w:color w:val="auto"/>
        </w:rPr>
        <w:t>From and after the effective date of this Articles of Incorporation and prior to the Expiration Date, except as otherwise provided in this Article X, Section (C)(2), no Five-Percent Shareholder shall, except as provided in Article X, Section (C)(2) below, transfer to any individual or Entity any direct or indirect interest in any Stock or Options to acquire Stock owned by such Five-Percent Shareholder without the prior approval of the Board of Directors. Nothing in this Article X shall preclude the settlement of any transaction with respect to the Stock entered into through the facilities of any national securities exchange or over-the-counter market; provided, however, that the fact that the settlement of any transaction occurs shall not negate the effect of any other provision of this Article X, and the securities involved in such transaction, and the purported transferor and Purported Acquiror (as defined below) thereof, shall remain subject to the provisions of this Article X in respect of such transaction.</w:t>
      </w:r>
    </w:p>
    <w:p>
      <w:pPr>
        <w:spacing w:after="0" w:line="143" w:lineRule="exact"/>
        <w:rPr>
          <w:rFonts w:ascii="Arial" w:cs="Arial" w:eastAsia="Arial" w:hAnsi="Arial"/>
          <w:sz w:val="17"/>
          <w:szCs w:val="17"/>
          <w:color w:val="auto"/>
        </w:rPr>
      </w:pPr>
    </w:p>
    <w:p>
      <w:pPr>
        <w:ind w:left="2200" w:hanging="513"/>
        <w:spacing w:after="0"/>
        <w:tabs>
          <w:tab w:leader="none" w:pos="220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Permitted Transfers.</w:t>
      </w:r>
    </w:p>
    <w:p>
      <w:pPr>
        <w:spacing w:after="0" w:line="167" w:lineRule="exact"/>
        <w:rPr>
          <w:rFonts w:ascii="Arial" w:cs="Arial" w:eastAsia="Arial" w:hAnsi="Arial"/>
          <w:sz w:val="17"/>
          <w:szCs w:val="17"/>
          <w:color w:val="auto"/>
        </w:rPr>
      </w:pPr>
    </w:p>
    <w:p>
      <w:pPr>
        <w:jc w:val="both"/>
        <w:ind w:left="1180" w:right="1179" w:firstLine="1019"/>
        <w:spacing w:after="0" w:line="242" w:lineRule="auto"/>
        <w:tabs>
          <w:tab w:leader="none" w:pos="2717"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transfer that would otherwise be prohibited pursuant to Article X, Section (B)(1) shall nonetheless be permitted if (A) such transfer is made by a Large Investor to a Large Investor or a Permissible Transferee or by a Permissible Transferee to a Large Investor or a Permissible Transferee, (B) prior to such transfer being consummated (or, in the case of an involuntary transfer, as soon as practicable after the transaction is consummated), the Board of Directors, in its sole discretion, approves the transfer (such approval may relate to a transfer or series of identified transfers), (C) such transfer is pursuant to any transaction, including, but not limited to, a merger or consolidation, in which all holders of Stock receive, or are offered the same opportunity to receive, cash or other consideration for all such Stock, and upon the consummation of which the acquiror will own at least a majority of the outstanding shares of Stock, or (D) such transfer is a transfer by the Corporation to an underwriter or placement agent for distribution in a public offering, whether registered or conducted pursuant to an exception from registration; provided, however, that transfers by such underwriter or placement agent to purchasers in such offering remain subject to this Article X. In determining whether to approve a proposed transfer pursuant to Article X, Section (C)(1)(B), the Board of Directors may, in its sole discretion, require (at the expense of the transferor and/or transferee) an opinion of counsel or an independent nationally recognized accounting firm selected by the Board of Directors on any matter, which may include an opinion with respect to the transfer not causing an "ownership change" or an "owner shift" within the meaning of Section 382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232" w:right="1440" w:bottom="1440" w:gutter="0" w:footer="0" w:header="0"/>
        </w:sectPr>
      </w:pPr>
    </w:p>
    <w:bookmarkStart w:id="80" w:name="page81"/>
    <w:bookmarkEnd w:id="80"/>
    <w:p>
      <w:pPr>
        <w:jc w:val="both"/>
        <w:ind w:left="1180" w:right="1179" w:firstLine="1019"/>
        <w:spacing w:after="0" w:line="243" w:lineRule="auto"/>
        <w:tabs>
          <w:tab w:leader="none" w:pos="2717" w:val="left"/>
        </w:tabs>
        <w:numPr>
          <w:ilvl w:val="1"/>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Any transfer that would otherwise be prohibited pursuant to Article X, Section (B)(2) shall nonetheless be permitted, provided that it is otherwise permitted by Article X, Section (B)(1), if applicable, if (A) such transfer is made by a Large Investor or a Permissible Transferee, (B) prior to such transfer being consummated (or, in the case of an involuntary transfer, as soon as practicable after the transaction is consummated), the Board of Directors, in its sole discretion, approves the transfer (such approval may relate to a transfer or series of identified transfers) or (C) such transfer is pursuant to any transaction, including, but not limited to, a merger or consolidation, in which all holders of Stock receive, or are offered the same opportunity to receive, cash or other consideration for all such Stock, and upon the consummation of which the acquiror will own at least a majority of the outstanding shares of Stock. In determining whether to approve a proposed transfer pursuant to Article X, Section (C)(2)(B), the Board of Directors may, in its sole discretion, require (at the expense of the transferor and/or transferee) an opinion of counsel or an independent nationally recognized accounting firm selected by the Board of Directors on any matter, which may include an opinion with respect to the transfer not causing an "ownership change" or an "owner shift" within the meaning of Section 382 of the Code.</w:t>
      </w:r>
    </w:p>
    <w:p>
      <w:pPr>
        <w:spacing w:after="0" w:line="145" w:lineRule="exact"/>
        <w:rPr>
          <w:rFonts w:ascii="Arial" w:cs="Arial" w:eastAsia="Arial" w:hAnsi="Arial"/>
          <w:sz w:val="17"/>
          <w:szCs w:val="17"/>
          <w:color w:val="auto"/>
        </w:rPr>
      </w:pPr>
    </w:p>
    <w:p>
      <w:pPr>
        <w:jc w:val="both"/>
        <w:ind w:left="1180" w:right="1179" w:firstLine="1019"/>
        <w:spacing w:after="0" w:line="261" w:lineRule="auto"/>
        <w:tabs>
          <w:tab w:leader="none" w:pos="2717"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Board of Directors may exercise the authority granted by this Article X, Section C through duly authorized officers or agents of the Corporation. The Board of Directors may establish a committee to determine whether to approve a proposed transfer or for any other purpose relating to this Article X. As a condition to the Corporation's consideration of a request to approve a proposed transfer, the Board of Directors may require the transferor and/or transferee to reimburse or agree to reimburse the Corporation, on demand, for all costs and expenses incurred by the Corporation with respect to such proposed transfer, including, without limitation, the Corporation's costs and expenses incurred in determining whether to authorize such proposed transfer.</w:t>
      </w:r>
    </w:p>
    <w:p>
      <w:pPr>
        <w:spacing w:after="0" w:line="141" w:lineRule="exact"/>
        <w:rPr>
          <w:rFonts w:ascii="Arial" w:cs="Arial" w:eastAsia="Arial" w:hAnsi="Arial"/>
          <w:sz w:val="16"/>
          <w:szCs w:val="16"/>
          <w:color w:val="auto"/>
        </w:rPr>
      </w:pPr>
    </w:p>
    <w:p>
      <w:pPr>
        <w:jc w:val="both"/>
        <w:ind w:left="1180" w:right="1179" w:firstLine="507"/>
        <w:spacing w:after="0" w:line="243" w:lineRule="auto"/>
        <w:tabs>
          <w:tab w:leader="none" w:pos="220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Treatment of Prohibited Transfers.</w:t>
      </w:r>
      <w:r>
        <w:rPr>
          <w:rFonts w:ascii="Arial" w:cs="Arial" w:eastAsia="Arial" w:hAnsi="Arial"/>
          <w:sz w:val="17"/>
          <w:szCs w:val="17"/>
          <w:color w:val="auto"/>
        </w:rPr>
        <w:t xml:space="preserve"> Unless the transfer is permitted as provided in Article X, Section C, any attempted transfer of Stock or Options in excess of the Stock or Options that could be transferred to the transferee without restriction under Article X, Section (B)(1) shall be prohibited, shall be null and void ab initio and shall not be effective to transfer ownership of such excess Stock or Options (the "Prohibited Shares") to the purported acquiror thereof (the "Purported Acquiror"), who shall not be entitled to any rights as a shareholder of the Corporation with respect to such Prohibited Shares (including, without limitation, the right to vote or to receive dividends with respect thereto).</w:t>
      </w:r>
    </w:p>
    <w:p>
      <w:pPr>
        <w:spacing w:after="0" w:line="149" w:lineRule="exact"/>
        <w:rPr>
          <w:rFonts w:ascii="Arial" w:cs="Arial" w:eastAsia="Arial" w:hAnsi="Arial"/>
          <w:sz w:val="17"/>
          <w:szCs w:val="17"/>
          <w:color w:val="auto"/>
        </w:rPr>
      </w:pPr>
    </w:p>
    <w:p>
      <w:pPr>
        <w:jc w:val="both"/>
        <w:ind w:left="1180" w:right="1179" w:firstLine="1019"/>
        <w:spacing w:after="0" w:line="262" w:lineRule="auto"/>
        <w:tabs>
          <w:tab w:leader="none" w:pos="2717" w:val="left"/>
        </w:tabs>
        <w:numPr>
          <w:ilvl w:val="1"/>
          <w:numId w:val="69"/>
        </w:numPr>
        <w:rPr>
          <w:rFonts w:ascii="Arial" w:cs="Arial" w:eastAsia="Arial" w:hAnsi="Arial"/>
          <w:sz w:val="16"/>
          <w:szCs w:val="16"/>
          <w:color w:val="auto"/>
        </w:rPr>
      </w:pPr>
      <w:r>
        <w:rPr>
          <w:rFonts w:ascii="Arial" w:cs="Arial" w:eastAsia="Arial" w:hAnsi="Arial"/>
          <w:sz w:val="16"/>
          <w:szCs w:val="16"/>
          <w:color w:val="auto"/>
        </w:rPr>
        <w:t>Upon demand by the Corporation, the Purported Acquiror shall, within thirty (30) days of the date of such a demand, transfer or cause to be transferred any certificate or other evidence of purported ownership of Prohibited Shares within the Purported Acquiror's possession or control, along with any dividends or other distributions paid by the Corporation with respect to any Prohibited Shares that were received by the Purported Acquiror (the "Prohibited Distributions"), to such Person as the Corporation shall designate to act as transfer agent for such Prohibited Shares (the "Agent"). If the Purported Acquiror has sold any Prohibited Shares to an unrelated party in an arm's-length transaction after purportedly acquiring them, the Purported Acquiror shall be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1232" w:right="1440" w:bottom="1440" w:gutter="0" w:footer="0" w:header="0"/>
        </w:sectPr>
      </w:pPr>
    </w:p>
    <w:bookmarkStart w:id="81" w:name="page82"/>
    <w:bookmarkEnd w:id="81"/>
    <w:p>
      <w:pPr>
        <w:jc w:val="both"/>
        <w:ind w:left="1180" w:right="1179"/>
        <w:spacing w:after="0" w:line="24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deemed to have sold such Prohibited Shares for the Agent, and in lieu of transferring such Prohibited Shares (and Prohibited Distributions with respect thereto) to the Agent shall transfer to the Agent any such Prohibited Distributions and the proceeds of such sale (the "Resale Proceeds") except to the extent that the Agent grants written permission to the Purported Acquiror to retain a portion of such Resale Proceeds not exceeding the amount that would have been payable by the Agent to the Purported Acquiror pursuant to Article X, Section (D)(2) below if such Prohibited Shares had been sold by the Agent rather than by the Purported Acquiror. Any purported transfer of Prohibited Shares by the Purported Acquiror other than a transfer described in one of the first two sentences of this Article X, Section (D)(1) shall not be effective to transfer any ownership of such Prohibited Shares.</w:t>
      </w:r>
    </w:p>
    <w:p>
      <w:pPr>
        <w:spacing w:after="0" w:line="159" w:lineRule="exact"/>
        <w:rPr>
          <w:sz w:val="20"/>
          <w:szCs w:val="20"/>
          <w:color w:val="auto"/>
        </w:rPr>
      </w:pPr>
    </w:p>
    <w:p>
      <w:pPr>
        <w:jc w:val="both"/>
        <w:ind w:left="1180" w:right="1179" w:firstLine="1019"/>
        <w:spacing w:after="0" w:line="257" w:lineRule="auto"/>
        <w:tabs>
          <w:tab w:leader="none" w:pos="27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Agent shall sell in one or more arm's-length transactions any Prohibited Shares transferred to the Agent by the Purported Acquiror, provided, however, that any such sale must not constitute a Prohibited Transfer and provided, further, that the Agent shall effect such sale or sales in an orderly fashion and shall not be required to effect any such sale within any specific time frame if, in the Agent's discretion, such sale or sales would disrupt the market for the Stock or otherwise would adversely affect the value of the Stock. The proceeds of such sale (the "Sales Proceeds"), or the Resale Proceeds, if applicable, shall be used to pay the expenses of the Agent in connection with its duties under this Article X, Section D with respect to such Prohibited Shares, and any excess shall be allocated to the Purported Acquiror up to the following amount: (A) where applicable, the purported purchase price paid or value of consideration surrendered by the Purported Acquiror for such Prohibited Shares; and (B) where the purported transfer of Prohibited Shares to the Purported Acquiror was by gift, inheritance, or any similar purported transfer, the fair market value (as determined in good faith by the Board of Directors) of such Prohibited Shares at the time of such purported transfer. Subject to the succeeding provisions of this Article X, Section (D)(2), any Resale Proceeds or Sales Proceeds in excess of the amount allocable to the Purported Acquiror pursuant to the preceding sentence, together with any Prohibited Distributions, shall be transferred to an entity described in Section 501(c)(3) of the Code and selected by the Board of Directors or its designee; provided, however, that if the Prohibited Shares (including any Prohibited Shares arising from a previous Prohibited Transfer not sold by the Agent in a prior sale or sales) represent a 4.95% or greater Ownership Interest Percentage, then any such remaining amounts to the extent attributable to the disposition of the portion of such Prohibited Shares exceeding a 4.94% Ownership Interest Percentage shall be paid to two or more organizations qualifying under Section 501(c)(3) selected by the Board of Directors. In no event shall any such amounts described in the preceding sentence inure to the benefit of the Purported Acquiror, the Corporation or the Agent, but such amounts may be used to cover expenses incurred by the Agent in connection with its duties under this Article X, Section D with respect to the related Prohibited Shares. Notwithstanding anything in this Article X to the contrary, the Corporation shall at all times be entitled to make application to any court of equitable jurisdiction within the State of Florida for an adjudication of the respective rights and interests of any Person in and to any Sale Proceeds, Resale Proceeds and Prohibited Distributions pursuant to this Article X and applicable law and for leave to pay such amounts into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232" w:right="1440" w:bottom="1440" w:gutter="0" w:footer="0" w:header="0"/>
        </w:sectPr>
      </w:pPr>
    </w:p>
    <w:bookmarkStart w:id="82" w:name="page83"/>
    <w:bookmarkEnd w:id="82"/>
    <w:p>
      <w:pPr>
        <w:jc w:val="both"/>
        <w:ind w:left="1180" w:right="1179" w:firstLine="1019"/>
        <w:spacing w:after="0" w:line="243" w:lineRule="auto"/>
        <w:tabs>
          <w:tab w:leader="none" w:pos="2717" w:val="left"/>
        </w:tabs>
        <w:numPr>
          <w:ilvl w:val="1"/>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Within thirty (30) business days of learning of a purported transfer of Prohibited Shares to a Purported Acquiror, the Corporation through its Secretary shall demand that the Purported Acquiror surrender to the Agent the certificates representing the Prohibited Shares, or any Resale Proceeds, and any Prohibited Distributions, and if such surrender is not made by the Purported Acquiror, the Corporation may institute legal proceedings to compel such transfer; provided, however, that nothing in this Article X, Section (D)(3) shall preclude the Corporation in its discretion from immediately bringing legal proceedings without a prior demand, and provided, further that failure of the Corporation to act within the time periods set out in this paragraph (c) shall not constitute a waiver of any right of the Corporation to compel any transfer required by Article X, Section (D)(1).</w:t>
      </w:r>
    </w:p>
    <w:p>
      <w:pPr>
        <w:spacing w:after="0" w:line="159" w:lineRule="exact"/>
        <w:rPr>
          <w:rFonts w:ascii="Arial" w:cs="Arial" w:eastAsia="Arial" w:hAnsi="Arial"/>
          <w:sz w:val="17"/>
          <w:szCs w:val="17"/>
          <w:color w:val="auto"/>
        </w:rPr>
      </w:pPr>
    </w:p>
    <w:p>
      <w:pPr>
        <w:jc w:val="both"/>
        <w:ind w:left="1180" w:right="1179" w:firstLine="1019"/>
        <w:spacing w:after="0" w:line="246" w:lineRule="auto"/>
        <w:tabs>
          <w:tab w:leader="none" w:pos="2717" w:val="left"/>
        </w:tabs>
        <w:numPr>
          <w:ilvl w:val="1"/>
          <w:numId w:val="71"/>
        </w:numPr>
        <w:rPr>
          <w:rFonts w:ascii="Arial" w:cs="Arial" w:eastAsia="Arial" w:hAnsi="Arial"/>
          <w:sz w:val="17"/>
          <w:szCs w:val="17"/>
          <w:color w:val="auto"/>
        </w:rPr>
      </w:pPr>
      <w:r>
        <w:rPr>
          <w:rFonts w:ascii="Arial" w:cs="Arial" w:eastAsia="Arial" w:hAnsi="Arial"/>
          <w:sz w:val="17"/>
          <w:szCs w:val="17"/>
          <w:color w:val="auto"/>
        </w:rPr>
        <w:t>Upon a determination by the Corporation that there has been or is threatened a purported transfer of Prohibited Shares to a Purported Acquiror, the Corporation may take such action in addition to any action permitted by the preceding paragraph as it deems advisable to give effect to the provisions of this Article X, including, without limitation, refusing to give effect on the books of this Corporation to such purported transfer or instituting proceedings to enjoin such purported transfer.</w:t>
      </w:r>
    </w:p>
    <w:p>
      <w:pPr>
        <w:spacing w:after="0" w:line="142" w:lineRule="exact"/>
        <w:rPr>
          <w:rFonts w:ascii="Arial" w:cs="Arial" w:eastAsia="Arial" w:hAnsi="Arial"/>
          <w:sz w:val="17"/>
          <w:szCs w:val="17"/>
          <w:color w:val="auto"/>
        </w:rPr>
      </w:pPr>
    </w:p>
    <w:p>
      <w:pPr>
        <w:jc w:val="both"/>
        <w:ind w:left="1180" w:right="1179" w:firstLine="507"/>
        <w:spacing w:after="0" w:line="245" w:lineRule="auto"/>
        <w:tabs>
          <w:tab w:leader="none" w:pos="220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Transferee Information.</w:t>
      </w:r>
      <w:r>
        <w:rPr>
          <w:rFonts w:ascii="Arial" w:cs="Arial" w:eastAsia="Arial" w:hAnsi="Arial"/>
          <w:sz w:val="17"/>
          <w:szCs w:val="17"/>
          <w:color w:val="auto"/>
        </w:rPr>
        <w:t xml:space="preserve"> The Corporation may require as a condition to the approval of the transfer of any shares of its Stock or Options to acquire Stock pursuant to this Article X that the proposed transferee furnish to the Corporation all information requested by the Corporation and available to the proposed transferee and its affiliates with respect to the direct or indirect ownership interests of the proposed transferee (and of Persons to whom ownership interests of the proposed transferee would be attributed for purposes of Section 382 of the Code) in Stock or other options or rights to acquire Stock.</w:t>
      </w:r>
    </w:p>
    <w:p>
      <w:pPr>
        <w:spacing w:after="0" w:line="142" w:lineRule="exact"/>
        <w:rPr>
          <w:rFonts w:ascii="Arial" w:cs="Arial" w:eastAsia="Arial" w:hAnsi="Arial"/>
          <w:sz w:val="17"/>
          <w:szCs w:val="17"/>
          <w:color w:val="auto"/>
        </w:rPr>
      </w:pPr>
    </w:p>
    <w:p>
      <w:pPr>
        <w:jc w:val="both"/>
        <w:ind w:left="1180" w:right="1179" w:firstLine="507"/>
        <w:spacing w:after="0" w:line="255" w:lineRule="auto"/>
        <w:tabs>
          <w:tab w:leader="none" w:pos="220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Legend on Certificates.</w:t>
      </w:r>
      <w:r>
        <w:rPr>
          <w:rFonts w:ascii="Arial" w:cs="Arial" w:eastAsia="Arial" w:hAnsi="Arial"/>
          <w:sz w:val="17"/>
          <w:szCs w:val="17"/>
          <w:color w:val="auto"/>
        </w:rPr>
        <w:t xml:space="preserve"> All certificates evidencing ownership of shares of Stock that are subject to the restrictions on transfer contained in this Article X shall bear a conspicuous legend referencing the restrictions set forth in this Article X as follows:</w:t>
      </w:r>
    </w:p>
    <w:p>
      <w:pPr>
        <w:spacing w:after="0" w:line="134" w:lineRule="exact"/>
        <w:rPr>
          <w:sz w:val="20"/>
          <w:szCs w:val="20"/>
          <w:color w:val="auto"/>
        </w:rPr>
      </w:pPr>
    </w:p>
    <w:p>
      <w:pPr>
        <w:jc w:val="both"/>
        <w:ind w:left="1180" w:right="1179" w:firstLine="1024"/>
        <w:spacing w:after="0" w:line="259" w:lineRule="auto"/>
        <w:rPr>
          <w:sz w:val="20"/>
          <w:szCs w:val="20"/>
          <w:color w:val="auto"/>
        </w:rPr>
      </w:pPr>
      <w:r>
        <w:rPr>
          <w:rFonts w:ascii="Arial" w:cs="Arial" w:eastAsia="Arial" w:hAnsi="Arial"/>
          <w:sz w:val="16"/>
          <w:szCs w:val="16"/>
          <w:color w:val="auto"/>
        </w:rPr>
        <w:t>"THE ARTICLES OF INCORPORATION OF THE CORPORATION, AS AMENDED, CONTAIN RESTRICTIONS PROHIBITING THE TRANSFER OF STOCK (INCLUDING THE CREATION OR GRANT OF CERTAIN OPTIONS, RIGHTS AND WARRANTS) WITHOUT THE PRIOR AUTHORIZATION OF THE BOARD OF DIRECTORS OF THE CORPORATION IF SUCH TRANSFER AFFECTS THE PERCENTAGE OF STOCK OF THE CORPORATION THAT IS TREATED AS OWNED BY A FIVE-PERCENT SHAREHOLDER. IF THE TRANSFER RESTRICTIONS ARE VIOLATED, THEN THE TRANSFER WILL BE VOID AB INITIO AND THE PURPORTED ACQUIROR OF THE STOCK WILL BE REQUIRED TO TRANSFER SUFFICIENT SECURITIES TO CAUSE THE FIVE-PERCENT SHAREHOLDER TO NO LONGER BE IN VIOLATION OF THE TRANSFER RESTRICTIONS. THE CORPORATION WILL FURNISH WITHOUT CHARGE TO THE HOLDER OF RECORD OF THIS CERTIFICATE A COPY OF ITS ARTICLES OF INCORPORATION, CONTAINING THE ABOVE REFERENCED TRANSFER RESTRICTIONS, UPON WRITTEN REQUEST TO THE CORPORATION AT ITS PRINCIPAL PLACE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232" w:right="1440" w:bottom="1440" w:gutter="0" w:footer="0" w:header="0"/>
        </w:sectPr>
      </w:pPr>
    </w:p>
    <w:bookmarkStart w:id="83" w:name="page84"/>
    <w:bookmarkEnd w:id="83"/>
    <w:p>
      <w:pPr>
        <w:jc w:val="both"/>
        <w:ind w:left="1180" w:right="1179" w:firstLine="507"/>
        <w:spacing w:after="0" w:line="243" w:lineRule="auto"/>
        <w:tabs>
          <w:tab w:leader="none" w:pos="2204"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Waiver of Article X.</w:t>
      </w:r>
      <w:r>
        <w:rPr>
          <w:rFonts w:ascii="Arial" w:cs="Arial" w:eastAsia="Arial" w:hAnsi="Arial"/>
          <w:sz w:val="17"/>
          <w:szCs w:val="17"/>
          <w:color w:val="auto"/>
        </w:rPr>
        <w:t xml:space="preserve"> The Board of Directors may, at any time prior to the Expiration Date, waive this Article X in respect of any or all transfers notwithstanding the effect or potential effect of such waiver on the Tax Benefits if it determines that such waiver is in the best interests of the Corporation, including as may be necessary for the safety and soundness of the Corporation or to comply with any order issued by an applicable bank regulatory authority. Any such determination to waive this Article X in respect of any or all transfers shall be filed with the Secretary of the Corporation. Nothing in this Article X shall be construed to limit or restrict the Board of Directors in the exercise of its fiduciary duties under applicable law.</w:t>
      </w:r>
    </w:p>
    <w:p>
      <w:pPr>
        <w:spacing w:after="0" w:line="160" w:lineRule="exact"/>
        <w:rPr>
          <w:rFonts w:ascii="Arial" w:cs="Arial" w:eastAsia="Arial" w:hAnsi="Arial"/>
          <w:sz w:val="17"/>
          <w:szCs w:val="17"/>
          <w:color w:val="auto"/>
        </w:rPr>
      </w:pPr>
    </w:p>
    <w:p>
      <w:pPr>
        <w:ind w:left="2200" w:hanging="513"/>
        <w:spacing w:after="0"/>
        <w:tabs>
          <w:tab w:leader="none" w:pos="220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Board Authority.</w:t>
      </w:r>
    </w:p>
    <w:p>
      <w:pPr>
        <w:spacing w:after="0" w:line="167" w:lineRule="exact"/>
        <w:rPr>
          <w:rFonts w:ascii="Arial" w:cs="Arial" w:eastAsia="Arial" w:hAnsi="Arial"/>
          <w:sz w:val="17"/>
          <w:szCs w:val="17"/>
          <w:color w:val="auto"/>
        </w:rPr>
      </w:pPr>
    </w:p>
    <w:p>
      <w:pPr>
        <w:jc w:val="both"/>
        <w:ind w:left="1180" w:right="1179" w:firstLine="1019"/>
        <w:spacing w:after="0" w:line="242" w:lineRule="auto"/>
        <w:tabs>
          <w:tab w:leader="none" w:pos="2717"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Board of Directors shall have the power to determine, in its sole discretion, all matters necessary for assessing compliance with this Article X, including, without limitation, the identification of Five-Percent Shareholders with respect to the Corporation within the meaning of Section 382 of the Code and the regulations thereunder; the owner shifts, within the meaning of Section 382 of the Code, that have previously taken place; the magnitude of the owner shift that would result from the proposed transaction; the effect of any reasonably foreseeable transactions by the Corporation or any other Person (including any transfer of Stock or Options to acquire Stock that the Corporation has no power to prevent, without regard to any knowledge on the part of the Corporation as to the likelihood of such transfer); the possible effects of an ownership change within the meaning of Section 382 of the Code and any other matters which the Board of Directors determines to be relevant. Moreover, the Corporation and the Board of Directors shall be entitled to rely in good faith upon the information, opinions, reports or statements of the chief executive officer, the chief financial officer, and the chief accounting officer of the Corporation and of the Corporation's legal counsel, independent auditors, transfer agent, investment bankers, and other employees and agents in making the determinations and findings contemplated by this Article X to the fullest extent permitted by law. Any determination by the Board of Directors pursuant to this Article X shall be conclusive and binding on the Corporation, the Agent, and all other parties for all purposes of this Article X.</w:t>
      </w:r>
    </w:p>
    <w:p>
      <w:pPr>
        <w:spacing w:after="0" w:line="154" w:lineRule="exact"/>
        <w:rPr>
          <w:rFonts w:ascii="Arial" w:cs="Arial" w:eastAsia="Arial" w:hAnsi="Arial"/>
          <w:sz w:val="17"/>
          <w:szCs w:val="17"/>
          <w:color w:val="auto"/>
        </w:rPr>
      </w:pPr>
    </w:p>
    <w:p>
      <w:pPr>
        <w:jc w:val="both"/>
        <w:ind w:left="1180" w:right="1179" w:firstLine="1019"/>
        <w:spacing w:after="0" w:line="255" w:lineRule="auto"/>
        <w:tabs>
          <w:tab w:leader="none" w:pos="2717" w:val="left"/>
        </w:tabs>
        <w:numPr>
          <w:ilvl w:val="1"/>
          <w:numId w:val="73"/>
        </w:numPr>
        <w:rPr>
          <w:rFonts w:ascii="Arial" w:cs="Arial" w:eastAsia="Arial" w:hAnsi="Arial"/>
          <w:sz w:val="17"/>
          <w:szCs w:val="17"/>
          <w:color w:val="auto"/>
        </w:rPr>
      </w:pPr>
      <w:r>
        <w:rPr>
          <w:rFonts w:ascii="Arial" w:cs="Arial" w:eastAsia="Arial" w:hAnsi="Arial"/>
          <w:sz w:val="17"/>
          <w:szCs w:val="17"/>
          <w:color w:val="auto"/>
        </w:rPr>
        <w:t>Nothing contained in this Article X shall limit the authority of the Board of Directors to take such other action, in its sole discretion, to the extent permitted by law as it deems necessary or advisable to preserve the Tax Benefits.</w:t>
      </w:r>
    </w:p>
    <w:p>
      <w:pPr>
        <w:spacing w:after="0" w:line="145" w:lineRule="exact"/>
        <w:rPr>
          <w:rFonts w:ascii="Arial" w:cs="Arial" w:eastAsia="Arial" w:hAnsi="Arial"/>
          <w:sz w:val="17"/>
          <w:szCs w:val="17"/>
          <w:color w:val="auto"/>
        </w:rPr>
      </w:pPr>
    </w:p>
    <w:p>
      <w:pPr>
        <w:jc w:val="both"/>
        <w:ind w:left="1220" w:right="1179" w:firstLine="979"/>
        <w:spacing w:after="0" w:line="261" w:lineRule="auto"/>
        <w:tabs>
          <w:tab w:leader="none" w:pos="2706"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the case of an ambiguity in the application of any of the provisions of this Article X, including any definition used herein, the Board of Directors shall have the power to determine, in its sole discretion, the application of such provisions with respect to any situation based on its belief, understanding or knowledge of the circumstances. In the event this Article X requires an action by the Board of Directors but fails to provide specific guidance with respect to such action, the Board of Directors shall have the power to determine, in its sole discretion, the action to be taken so long as such action is not contrary to the provisions of this Article X. All such actions, calculations, interpretations and determinations which are done or made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019"/>
          </w:cols>
          <w:pgMar w:left="1440" w:top="1232" w:right="1440" w:bottom="1440" w:gutter="0" w:footer="0" w:header="0"/>
        </w:sectPr>
      </w:pPr>
    </w:p>
    <w:bookmarkStart w:id="84" w:name="page85"/>
    <w:bookmarkEnd w:id="84"/>
    <w:p>
      <w:pPr>
        <w:ind w:left="1220" w:right="1199"/>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shall be conclusive and binding on the Corporation, the Agent, and all other parties for all purposes of this Article X.</w:t>
      </w:r>
    </w:p>
    <w:p>
      <w:pPr>
        <w:spacing w:after="0" w:line="119" w:lineRule="exact"/>
        <w:rPr>
          <w:sz w:val="20"/>
          <w:szCs w:val="20"/>
          <w:color w:val="auto"/>
        </w:rPr>
      </w:pPr>
    </w:p>
    <w:p>
      <w:pPr>
        <w:jc w:val="both"/>
        <w:ind w:left="1180" w:right="1179" w:firstLine="507"/>
        <w:spacing w:after="0" w:line="243" w:lineRule="auto"/>
        <w:tabs>
          <w:tab w:leader="none" w:pos="220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Liability.</w:t>
      </w:r>
      <w:r>
        <w:rPr>
          <w:rFonts w:ascii="Arial" w:cs="Arial" w:eastAsia="Arial" w:hAnsi="Arial"/>
          <w:sz w:val="17"/>
          <w:szCs w:val="17"/>
          <w:color w:val="auto"/>
        </w:rPr>
        <w:t xml:space="preserve"> To the fullest extent permitted by law, any shareholder subject to the provisions of this Article X who knowingly violates the provisions of this Article X and any Persons controlling, controlled by or under common control with such shareholder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resulting from or that are in any way attributable to such violation.</w:t>
      </w:r>
    </w:p>
    <w:p>
      <w:pPr>
        <w:spacing w:after="0" w:line="160" w:lineRule="exact"/>
        <w:rPr>
          <w:rFonts w:ascii="Arial" w:cs="Arial" w:eastAsia="Arial" w:hAnsi="Arial"/>
          <w:sz w:val="17"/>
          <w:szCs w:val="17"/>
          <w:color w:val="auto"/>
        </w:rPr>
      </w:pPr>
    </w:p>
    <w:p>
      <w:pPr>
        <w:jc w:val="both"/>
        <w:ind w:left="1180" w:right="1179" w:firstLine="507"/>
        <w:spacing w:after="0" w:line="245" w:lineRule="auto"/>
        <w:tabs>
          <w:tab w:leader="none" w:pos="220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Article X or any application of such provision is determined to be invalid by any federal or state court having jurisdiction over the issue, the validity of the remaining provisions shall not be affected and other applications of such provision shall be affected only to the extent necessary to comply with the determination of such court.</w:t>
      </w:r>
    </w:p>
    <w:p>
      <w:pPr>
        <w:spacing w:after="0" w:line="154" w:lineRule="exact"/>
        <w:rPr>
          <w:rFonts w:ascii="Arial" w:cs="Arial" w:eastAsia="Arial" w:hAnsi="Arial"/>
          <w:sz w:val="17"/>
          <w:szCs w:val="17"/>
          <w:color w:val="auto"/>
        </w:rPr>
      </w:pPr>
    </w:p>
    <w:p>
      <w:pPr>
        <w:jc w:val="both"/>
        <w:ind w:left="1180" w:right="1199" w:firstLine="507"/>
        <w:spacing w:after="0" w:line="248" w:lineRule="auto"/>
        <w:tabs>
          <w:tab w:leader="none" w:pos="2204"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Benefits of Article X.</w:t>
      </w:r>
      <w:r>
        <w:rPr>
          <w:rFonts w:ascii="Arial" w:cs="Arial" w:eastAsia="Arial" w:hAnsi="Arial"/>
          <w:sz w:val="17"/>
          <w:szCs w:val="17"/>
          <w:color w:val="auto"/>
        </w:rPr>
        <w:t xml:space="preserve"> Nothing in this Article X shall be construed to give to any Person other than the Corporation or the Agent any legal or equitable right, remedy or claim under this Article X. This Article X shall be for the sole and exclusive benefit of the Corporation and the Agent.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186" w:lineRule="exact"/>
        <w:rPr>
          <w:sz w:val="20"/>
          <w:szCs w:val="20"/>
          <w:color w:val="auto"/>
        </w:rPr>
      </w:pPr>
    </w:p>
    <w:p>
      <w:pPr>
        <w:jc w:val="both"/>
        <w:ind w:left="1180" w:right="1179" w:firstLine="512"/>
        <w:spacing w:after="0" w:line="246" w:lineRule="auto"/>
        <w:rPr>
          <w:sz w:val="20"/>
          <w:szCs w:val="20"/>
          <w:color w:val="auto"/>
        </w:rPr>
      </w:pPr>
      <w:r>
        <w:rPr>
          <w:rFonts w:ascii="Arial" w:cs="Arial" w:eastAsia="Arial" w:hAnsi="Arial"/>
          <w:sz w:val="17"/>
          <w:szCs w:val="17"/>
          <w:color w:val="auto"/>
        </w:rPr>
        <w:t>The initial registered office of this Corporation shall be located at the City of Doral, the County of Miami-Dade, State of Florida, and its address there shall be, at present, 2301 N.W. 87th Avenue, Doral, Florida 33172, and the initial registered agent of the Corporation at that address shall be Jalal Shehadeh. The Corporation may change its registered agent or the location of its registered office, or both, from time to time without amendment of these Articles of Incorporation.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175" w:lineRule="exact"/>
        <w:rPr>
          <w:sz w:val="20"/>
          <w:szCs w:val="20"/>
          <w:color w:val="auto"/>
        </w:rPr>
      </w:pPr>
    </w:p>
    <w:p>
      <w:pPr>
        <w:jc w:val="both"/>
        <w:ind w:left="1180" w:right="1199" w:firstLine="512"/>
        <w:spacing w:after="0" w:line="274" w:lineRule="auto"/>
        <w:rPr>
          <w:sz w:val="20"/>
          <w:szCs w:val="20"/>
          <w:color w:val="auto"/>
        </w:rPr>
      </w:pPr>
      <w:r>
        <w:rPr>
          <w:rFonts w:ascii="Arial" w:cs="Arial" w:eastAsia="Arial" w:hAnsi="Arial"/>
          <w:sz w:val="17"/>
          <w:szCs w:val="17"/>
          <w:color w:val="auto"/>
        </w:rPr>
        <w:t>The name and street address of the person signing these Articles of Incorporation as Incorporator are: 2301 N.W. 87th Avenue, Doral, Florida 33172.</w:t>
      </w:r>
    </w:p>
    <w:p>
      <w:pPr>
        <w:spacing w:after="0" w:line="119" w:lineRule="exact"/>
        <w:rPr>
          <w:sz w:val="20"/>
          <w:szCs w:val="20"/>
          <w:color w:val="auto"/>
        </w:rPr>
      </w:pPr>
    </w:p>
    <w:p>
      <w:pPr>
        <w:jc w:val="both"/>
        <w:ind w:left="1180" w:right="1179" w:firstLine="512"/>
        <w:spacing w:after="0" w:line="255" w:lineRule="auto"/>
        <w:rPr>
          <w:sz w:val="20"/>
          <w:szCs w:val="20"/>
          <w:color w:val="auto"/>
        </w:rPr>
      </w:pPr>
      <w:r>
        <w:rPr>
          <w:rFonts w:ascii="Arial" w:cs="Arial" w:eastAsia="Arial" w:hAnsi="Arial"/>
          <w:sz w:val="17"/>
          <w:szCs w:val="17"/>
          <w:color w:val="auto"/>
        </w:rPr>
        <w:t>IN WITNESS WHEREOF, the undersigned does hereby make and file these Articles of Incorporation declaring and certifying that the facts stated here are true, and hereby subscribes thereto and hereunto sets his hand this 18 day of November, 2021.</w:t>
      </w:r>
    </w:p>
    <w:p>
      <w:pPr>
        <w:spacing w:after="0" w:line="200" w:lineRule="exact"/>
        <w:rPr>
          <w:sz w:val="20"/>
          <w:szCs w:val="20"/>
          <w:color w:val="auto"/>
        </w:rPr>
      </w:pPr>
    </w:p>
    <w:p>
      <w:pPr>
        <w:spacing w:after="0" w:line="308"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 Luis de la Aguilera</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Luis de la Aguilera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019"/>
          </w:cols>
          <w:pgMar w:left="1440" w:top="1232" w:right="1440" w:bottom="1440" w:gutter="0" w:footer="0" w:header="0"/>
        </w:sectPr>
      </w:pPr>
    </w:p>
    <w:bookmarkStart w:id="85" w:name="page86"/>
    <w:bookmarkEnd w:id="85"/>
    <w:p>
      <w:pPr>
        <w:jc w:val="both"/>
        <w:ind w:left="1180" w:right="1199" w:firstLine="512"/>
        <w:spacing w:after="0" w:line="28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213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60895" cy="10521315"/>
                    </a:xfrm>
                    <a:prstGeom prst="rect">
                      <a:avLst/>
                    </a:prstGeom>
                    <a:noFill/>
                  </pic:spPr>
                </pic:pic>
              </a:graphicData>
            </a:graphic>
          </wp:anchor>
        </w:drawing>
        <w:t>IN WITNESS WHEREOF, the Corporation has caused these Articles of Amendment to the Articles of Incorporation to be signed by its duly authorized officer this 24th day of May, 2023.</w:t>
      </w:r>
    </w:p>
    <w:p>
      <w:pPr>
        <w:spacing w:after="0" w:line="120"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USCB FINANCIAL HOLDINGS, INC.</w:t>
      </w:r>
    </w:p>
    <w:p>
      <w:pPr>
        <w:spacing w:after="0" w:line="359" w:lineRule="exact"/>
        <w:rPr>
          <w:sz w:val="20"/>
          <w:szCs w:val="20"/>
          <w:color w:val="auto"/>
        </w:rPr>
      </w:pPr>
    </w:p>
    <w:p>
      <w:pPr>
        <w:ind w:left="4240"/>
        <w:spacing w:after="0"/>
        <w:tabs>
          <w:tab w:leader="none" w:pos="4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Jalal Shehadeh</w:t>
      </w:r>
    </w:p>
    <w:p>
      <w:pPr>
        <w:spacing w:after="0" w:line="5"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Name: Jalal Shehadeh</w:t>
      </w:r>
    </w:p>
    <w:p>
      <w:pPr>
        <w:ind w:left="4240"/>
        <w:spacing w:after="0" w:line="236" w:lineRule="auto"/>
        <w:tabs>
          <w:tab w:leader="none" w:pos="4740" w:val="left"/>
        </w:tabs>
        <w:rPr>
          <w:sz w:val="20"/>
          <w:szCs w:val="20"/>
          <w:color w:val="auto"/>
        </w:rPr>
      </w:pPr>
      <w:r>
        <w:rPr>
          <w:rFonts w:ascii="Arial" w:cs="Arial" w:eastAsia="Arial" w:hAnsi="Arial"/>
          <w:sz w:val="16"/>
          <w:szCs w:val="16"/>
          <w:color w:val="auto"/>
        </w:rPr>
        <w:t>Title:</w:t>
        <w:tab/>
        <w:t>Executive Vice President and General</w:t>
      </w:r>
    </w:p>
    <w:p>
      <w:pPr>
        <w:ind w:left="1180"/>
        <w:spacing w:after="0"/>
        <w:rPr>
          <w:sz w:val="20"/>
          <w:szCs w:val="20"/>
          <w:color w:val="auto"/>
        </w:rPr>
      </w:pPr>
      <w:r>
        <w:rPr>
          <w:rFonts w:ascii="Arial" w:cs="Arial" w:eastAsia="Arial" w:hAnsi="Arial"/>
          <w:sz w:val="16"/>
          <w:szCs w:val="16"/>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1236" w:right="1440" w:bottom="1440" w:gutter="0" w:footer="0" w:header="0"/>
        </w:sectPr>
      </w:pPr>
    </w:p>
    <w:bookmarkStart w:id="86" w:name="page87"/>
    <w:bookmarkEnd w:id="86"/>
    <w:p>
      <w:pPr>
        <w:ind w:left="20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CERTIFICATE DESIGNATING PLACE OF BUSINESS FOR THE</w:t>
      </w:r>
    </w:p>
    <w:p>
      <w:pPr>
        <w:spacing w:after="0" w:line="1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SERVICE OF PROCESS WITHIN FLORIDA AND REGISTERED</w:t>
      </w:r>
    </w:p>
    <w:p>
      <w:pPr>
        <w:ind w:left="2500"/>
        <w:spacing w:after="0"/>
        <w:rPr>
          <w:sz w:val="20"/>
          <w:szCs w:val="20"/>
          <w:color w:val="auto"/>
        </w:rPr>
      </w:pPr>
      <w:r>
        <w:rPr>
          <w:rFonts w:ascii="Arial" w:cs="Arial" w:eastAsia="Arial" w:hAnsi="Arial"/>
          <w:sz w:val="17"/>
          <w:szCs w:val="17"/>
          <w:b w:val="1"/>
          <w:bCs w:val="1"/>
          <w:color w:val="auto"/>
        </w:rPr>
        <w:t>AGENT UPON WHOM PROCESS MAY BE SERVED</w:t>
      </w:r>
    </w:p>
    <w:p>
      <w:pPr>
        <w:spacing w:after="0" w:line="187" w:lineRule="exact"/>
        <w:rPr>
          <w:sz w:val="20"/>
          <w:szCs w:val="20"/>
          <w:color w:val="auto"/>
        </w:rPr>
      </w:pPr>
    </w:p>
    <w:p>
      <w:pPr>
        <w:jc w:val="both"/>
        <w:ind w:left="1180" w:right="1159" w:firstLine="512"/>
        <w:spacing w:after="0" w:line="274" w:lineRule="auto"/>
        <w:rPr>
          <w:sz w:val="20"/>
          <w:szCs w:val="20"/>
          <w:color w:val="auto"/>
        </w:rPr>
      </w:pPr>
      <w:r>
        <w:rPr>
          <w:rFonts w:ascii="Arial" w:cs="Arial" w:eastAsia="Arial" w:hAnsi="Arial"/>
          <w:sz w:val="17"/>
          <w:szCs w:val="17"/>
          <w:color w:val="auto"/>
        </w:rPr>
        <w:t>In compliance with Sections 48.091 and 607.0501. Florida Statutes, the following is submitted:</w:t>
      </w:r>
    </w:p>
    <w:p>
      <w:pPr>
        <w:spacing w:after="0" w:line="119" w:lineRule="exact"/>
        <w:rPr>
          <w:sz w:val="20"/>
          <w:szCs w:val="20"/>
          <w:color w:val="auto"/>
        </w:rPr>
      </w:pPr>
    </w:p>
    <w:p>
      <w:pPr>
        <w:jc w:val="both"/>
        <w:ind w:left="1180" w:right="1159" w:firstLine="512"/>
        <w:spacing w:after="0" w:line="248" w:lineRule="auto"/>
        <w:rPr>
          <w:sz w:val="20"/>
          <w:szCs w:val="20"/>
          <w:color w:val="auto"/>
        </w:rPr>
      </w:pPr>
      <w:r>
        <w:rPr>
          <w:rFonts w:ascii="Arial" w:cs="Arial" w:eastAsia="Arial" w:hAnsi="Arial"/>
          <w:sz w:val="17"/>
          <w:szCs w:val="17"/>
          <w:color w:val="auto"/>
        </w:rPr>
        <w:t>USCB Financial Holdings, Inc. (the "Corporation") desiring to organize as a domestic corporation or qualify under the laws of the State of Florida has named and designated Jalal Shehadeh as its Registered Agent to accept service of process within the State of Florida with its registered office located at 2301 NW 87th Avenue, Doral, Florida 33172.</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ACKNOWLEDGMENT</w:t>
      </w:r>
    </w:p>
    <w:p>
      <w:pPr>
        <w:spacing w:after="0" w:line="175" w:lineRule="exact"/>
        <w:rPr>
          <w:sz w:val="20"/>
          <w:szCs w:val="20"/>
          <w:color w:val="auto"/>
        </w:rPr>
      </w:pPr>
    </w:p>
    <w:p>
      <w:pPr>
        <w:jc w:val="both"/>
        <w:ind w:left="1180" w:right="1159" w:firstLine="512"/>
        <w:spacing w:after="0" w:line="246" w:lineRule="auto"/>
        <w:rPr>
          <w:sz w:val="20"/>
          <w:szCs w:val="20"/>
          <w:color w:val="auto"/>
        </w:rPr>
      </w:pPr>
      <w:r>
        <w:rPr>
          <w:rFonts w:ascii="Arial" w:cs="Arial" w:eastAsia="Arial" w:hAnsi="Arial"/>
          <w:sz w:val="17"/>
          <w:szCs w:val="17"/>
          <w:color w:val="auto"/>
        </w:rPr>
        <w:t>Having been named as Registered Agent for the Corporation at the place designated in this Certificate, I hereby agree to act in this capacity; and I am familiar with and accept the obligations relating to service as a registered agent, as the same may apply to the Corporation; and I further agree to comply with the provisions of Florida Statutes, Section 48,091 and all other statutes, all as the same may apply to the Corporation relating to the proper and complete performance of my duties as Registered Agent.</w:t>
      </w:r>
    </w:p>
    <w:p>
      <w:pPr>
        <w:spacing w:after="0" w:line="1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Dated this 18th day of November, 2021.</w:t>
      </w:r>
    </w:p>
    <w:p>
      <w:pPr>
        <w:spacing w:after="0" w:line="200" w:lineRule="exact"/>
        <w:rPr>
          <w:sz w:val="20"/>
          <w:szCs w:val="20"/>
          <w:color w:val="auto"/>
        </w:rPr>
      </w:pPr>
    </w:p>
    <w:p>
      <w:pPr>
        <w:spacing w:after="0" w:line="36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/s/ Jalal Shehadeh</w:t>
      </w:r>
    </w:p>
    <w:p>
      <w:pPr>
        <w:spacing w:after="0" w:line="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Jalal Shehadeh, Registered Agent</w:t>
      </w:r>
    </w:p>
    <w:p>
      <w:pPr>
        <w:sectPr>
          <w:pgSz w:w="11900" w:h="16838" w:orient="portrait"/>
          <w:cols w:equalWidth="0" w:num="1">
            <w:col w:w="9019"/>
          </w:cols>
          <w:pgMar w:left="1440" w:top="1427" w:right="1440" w:bottom="1440" w:gutter="0" w:footer="0" w:header="0"/>
        </w:sectPr>
      </w:pPr>
    </w:p>
    <w:bookmarkStart w:id="87" w:name="page88"/>
    <w:bookmarkEnd w:id="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0" w:lineRule="auto"/>
        <w:tabs>
          <w:tab w:leader="none" w:pos="641"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jc w:val="both"/>
        <w:ind w:left="660" w:right="679" w:hanging="253"/>
        <w:spacing w:after="0" w:line="252" w:lineRule="auto"/>
        <w:tabs>
          <w:tab w:leader="none" w:pos="641"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4"/>
          <w:szCs w:val="14"/>
          <w:color w:val="auto"/>
        </w:rPr>
      </w:pPr>
    </w:p>
    <w:p>
      <w:pPr>
        <w:ind w:left="660" w:right="679" w:hanging="253"/>
        <w:spacing w:after="0" w:line="267" w:lineRule="auto"/>
        <w:tabs>
          <w:tab w:leader="none" w:pos="639"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32"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180" w:right="679" w:hanging="261"/>
        <w:spacing w:after="0" w:line="252" w:lineRule="auto"/>
        <w:tabs>
          <w:tab w:leader="none" w:pos="11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4"/>
          <w:szCs w:val="14"/>
          <w:color w:val="auto"/>
        </w:rPr>
      </w:pPr>
    </w:p>
    <w:p>
      <w:pPr>
        <w:jc w:val="both"/>
        <w:ind w:left="1180" w:right="679" w:hanging="261"/>
        <w:spacing w:after="0" w:line="253" w:lineRule="auto"/>
        <w:tabs>
          <w:tab w:leader="none" w:pos="1181" w:val="left"/>
        </w:tabs>
        <w:numPr>
          <w:ilvl w:val="1"/>
          <w:numId w:val="75"/>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auto"/>
        </w:rPr>
      </w:pPr>
    </w:p>
    <w:p>
      <w:pPr>
        <w:jc w:val="both"/>
        <w:ind w:left="660" w:right="679" w:hanging="253"/>
        <w:spacing w:after="0" w:line="252" w:lineRule="auto"/>
        <w:tabs>
          <w:tab w:leader="none" w:pos="639"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4"/>
          <w:szCs w:val="14"/>
          <w:color w:val="auto"/>
        </w:rPr>
      </w:pPr>
    </w:p>
    <w:p>
      <w:pPr>
        <w:jc w:val="both"/>
        <w:ind w:left="1180" w:right="679" w:hanging="261"/>
        <w:spacing w:after="0" w:line="260" w:lineRule="auto"/>
        <w:tabs>
          <w:tab w:leader="none" w:pos="1168" w:val="left"/>
        </w:tabs>
        <w:numPr>
          <w:ilvl w:val="1"/>
          <w:numId w:val="7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4"/>
          <w:szCs w:val="14"/>
          <w:color w:val="auto"/>
        </w:rPr>
      </w:pPr>
    </w:p>
    <w:p>
      <w:pPr>
        <w:ind w:left="1180" w:right="679" w:hanging="261"/>
        <w:spacing w:after="0" w:line="283" w:lineRule="auto"/>
        <w:tabs>
          <w:tab w:leader="none" w:pos="1180" w:val="left"/>
        </w:tabs>
        <w:numPr>
          <w:ilvl w:val="1"/>
          <w:numId w:val="7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August 11, 2023</w:t>
      </w:r>
    </w:p>
    <w:p>
      <w:pPr>
        <w:sectPr>
          <w:pgSz w:w="11900" w:h="16838" w:orient="portrait"/>
          <w:cols w:equalWidth="0" w:num="1">
            <w:col w:w="9019"/>
          </w:cols>
          <w:pgMar w:left="1440" w:top="719" w:right="1440" w:bottom="1440" w:gutter="0" w:footer="0" w:header="0"/>
        </w:sectPr>
      </w:pPr>
    </w:p>
    <w:bookmarkStart w:id="89" w:name="page90"/>
    <w:bookmarkEnd w:id="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0" w:lineRule="auto"/>
        <w:tabs>
          <w:tab w:leader="none" w:pos="641"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jc w:val="both"/>
        <w:ind w:left="660" w:right="679" w:hanging="253"/>
        <w:spacing w:after="0" w:line="252" w:lineRule="auto"/>
        <w:tabs>
          <w:tab w:leader="none" w:pos="641"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4"/>
          <w:szCs w:val="14"/>
          <w:color w:val="auto"/>
        </w:rPr>
      </w:pPr>
    </w:p>
    <w:p>
      <w:pPr>
        <w:ind w:left="660" w:right="679" w:hanging="253"/>
        <w:spacing w:after="0" w:line="267" w:lineRule="auto"/>
        <w:tabs>
          <w:tab w:leader="none" w:pos="639"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32"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7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14"/>
          <w:szCs w:val="14"/>
          <w:color w:val="auto"/>
        </w:rPr>
      </w:pPr>
    </w:p>
    <w:p>
      <w:pPr>
        <w:jc w:val="both"/>
        <w:ind w:left="1180" w:right="679" w:hanging="261"/>
        <w:spacing w:after="0" w:line="252" w:lineRule="auto"/>
        <w:tabs>
          <w:tab w:leader="none" w:pos="1180" w:val="left"/>
        </w:tabs>
        <w:numPr>
          <w:ilvl w:val="1"/>
          <w:numId w:val="7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4"/>
          <w:szCs w:val="14"/>
          <w:color w:val="auto"/>
        </w:rPr>
      </w:pPr>
    </w:p>
    <w:p>
      <w:pPr>
        <w:jc w:val="both"/>
        <w:ind w:left="1180" w:right="679" w:hanging="261"/>
        <w:spacing w:after="0" w:line="253" w:lineRule="auto"/>
        <w:tabs>
          <w:tab w:leader="none" w:pos="1181" w:val="left"/>
        </w:tabs>
        <w:numPr>
          <w:ilvl w:val="1"/>
          <w:numId w:val="7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auto"/>
        </w:rPr>
      </w:pPr>
    </w:p>
    <w:p>
      <w:pPr>
        <w:jc w:val="both"/>
        <w:ind w:left="660" w:right="679" w:hanging="253"/>
        <w:spacing w:after="0" w:line="252" w:lineRule="auto"/>
        <w:tabs>
          <w:tab w:leader="none" w:pos="639"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4"/>
          <w:szCs w:val="14"/>
          <w:color w:val="auto"/>
        </w:rPr>
      </w:pPr>
    </w:p>
    <w:p>
      <w:pPr>
        <w:jc w:val="both"/>
        <w:ind w:left="1180" w:right="679" w:hanging="261"/>
        <w:spacing w:after="0" w:line="260" w:lineRule="auto"/>
        <w:tabs>
          <w:tab w:leader="none" w:pos="1168" w:val="left"/>
        </w:tabs>
        <w:numPr>
          <w:ilvl w:val="1"/>
          <w:numId w:val="7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4"/>
          <w:szCs w:val="14"/>
          <w:color w:val="auto"/>
        </w:rPr>
      </w:pPr>
    </w:p>
    <w:p>
      <w:pPr>
        <w:ind w:left="1180" w:right="679" w:hanging="261"/>
        <w:spacing w:after="0" w:line="283" w:lineRule="auto"/>
        <w:tabs>
          <w:tab w:leader="none" w:pos="1168" w:val="left"/>
        </w:tabs>
        <w:numPr>
          <w:ilvl w:val="1"/>
          <w:numId w:val="7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August 11, 2023</w:t>
      </w:r>
    </w:p>
    <w:p>
      <w:pPr>
        <w:sectPr>
          <w:pgSz w:w="11900" w:h="16838" w:orient="portrait"/>
          <w:cols w:equalWidth="0" w:num="1">
            <w:col w:w="9019"/>
          </w:cols>
          <w:pgMar w:left="1440" w:top="719" w:right="1440" w:bottom="144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June 30, 2023, as filed with the Securities and Exchange Commission on the date hereof (the “Report”), I, Luis de la Aguilera, as President and Chief Executive Officer of the Company, certify, to the best of my knowledge, pursuant to 18 U.S.C. §1350, as adopted pursuant to Section 906 of the Sarbanes-Oxley Act of 2002, that:</w:t>
      </w:r>
    </w:p>
    <w:p>
      <w:pPr>
        <w:spacing w:after="0" w:line="143" w:lineRule="exact"/>
        <w:rPr>
          <w:sz w:val="20"/>
          <w:szCs w:val="20"/>
          <w:color w:val="auto"/>
        </w:rPr>
      </w:pPr>
    </w:p>
    <w:p>
      <w:pPr>
        <w:ind w:left="1440" w:right="679" w:hanging="265"/>
        <w:spacing w:after="0" w:line="267" w:lineRule="auto"/>
        <w:tabs>
          <w:tab w:leader="none" w:pos="1428"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32" w:lineRule="exact"/>
        <w:rPr>
          <w:rFonts w:ascii="Arial" w:cs="Arial" w:eastAsia="Arial" w:hAnsi="Arial"/>
          <w:sz w:val="14"/>
          <w:szCs w:val="14"/>
          <w:color w:val="auto"/>
        </w:rPr>
      </w:pPr>
    </w:p>
    <w:p>
      <w:pPr>
        <w:ind w:left="1440" w:right="679" w:hanging="265"/>
        <w:spacing w:after="0" w:line="267" w:lineRule="auto"/>
        <w:tabs>
          <w:tab w:leader="none" w:pos="1428"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11, 2023</w:t>
      </w:r>
    </w:p>
    <w:p>
      <w:pPr>
        <w:sectPr>
          <w:pgSz w:w="11900" w:h="16838" w:orient="portrait"/>
          <w:cols w:equalWidth="0" w:num="1">
            <w:col w:w="9019"/>
          </w:cols>
          <w:pgMar w:left="1440" w:top="719" w:right="1440" w:bottom="1440" w:gutter="0" w:footer="0" w:header="0"/>
        </w:sectPr>
      </w:pPr>
    </w:p>
    <w:bookmarkStart w:id="93" w:name="page94"/>
    <w:bookmarkEnd w:id="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60"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June 30, 2023,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43" w:lineRule="exact"/>
        <w:rPr>
          <w:sz w:val="20"/>
          <w:szCs w:val="20"/>
          <w:color w:val="auto"/>
        </w:rPr>
      </w:pPr>
    </w:p>
    <w:p>
      <w:pPr>
        <w:ind w:left="1440" w:right="679" w:hanging="265"/>
        <w:spacing w:after="0" w:line="267" w:lineRule="auto"/>
        <w:tabs>
          <w:tab w:leader="none" w:pos="1428"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32" w:lineRule="exact"/>
        <w:rPr>
          <w:rFonts w:ascii="Arial" w:cs="Arial" w:eastAsia="Arial" w:hAnsi="Arial"/>
          <w:sz w:val="14"/>
          <w:szCs w:val="14"/>
          <w:color w:val="auto"/>
        </w:rPr>
      </w:pPr>
    </w:p>
    <w:p>
      <w:pPr>
        <w:ind w:left="1440" w:right="679" w:hanging="265"/>
        <w:spacing w:after="0" w:line="267" w:lineRule="auto"/>
        <w:tabs>
          <w:tab w:leader="none" w:pos="1428"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August 11, 2023</w:t>
      </w:r>
    </w:p>
    <w:p>
      <w:pPr>
        <w:sectPr>
          <w:pgSz w:w="11900" w:h="16838" w:orient="portrait"/>
          <w:cols w:equalWidth="0" w:num="1">
            <w:col w:w="9019"/>
          </w:cols>
          <w:pgMar w:left="1440" w:top="719" w:right="1440" w:bottom="1440"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2"/>
    </w:lvl>
  </w:abstractNum>
  <w:abstractNum w:abstractNumId="3">
    <w:nsid w:val="153EA438"/>
    <w:multiLevelType w:val="hybridMultilevel"/>
    <w:lvl w:ilvl="0">
      <w:lvlJc w:val="left"/>
      <w:lvlText w:val="%1."/>
      <w:numFmt w:val="decimal"/>
      <w:start w:val="3"/>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lvl w:ilvl="1">
      <w:lvlJc w:val="left"/>
      <w:lvlText w:val="(%2)"/>
      <w:numFmt w:val="decimal"/>
      <w:start w:val="1"/>
    </w:lvl>
  </w:abstractNum>
  <w:abstractNum w:abstractNumId="6">
    <w:nsid w:val="6A2342EC"/>
    <w:multiLevelType w:val="hybridMultilevel"/>
    <w:lvl w:ilvl="0">
      <w:lvlJc w:val="left"/>
      <w:lvlText w:val="(%1)"/>
      <w:numFmt w:val="decimal"/>
      <w:start w:val="3"/>
    </w:lvl>
    <w:lvl w:ilvl="1">
      <w:lvlJc w:val="left"/>
      <w:lvlText w:val="%2"/>
      <w:numFmt w:val="decimal"/>
      <w:start w:val="1"/>
    </w:lvl>
  </w:abstractNum>
  <w:abstractNum w:abstractNumId="7">
    <w:nsid w:val="2A487CB0"/>
    <w:multiLevelType w:val="hybridMultilevel"/>
    <w:lvl w:ilvl="0">
      <w:lvlJc w:val="left"/>
      <w:lvlText w:val="%1."/>
      <w:numFmt w:val="decimal"/>
      <w:start w:val="4"/>
    </w:lvl>
  </w:abstractNum>
  <w:abstractNum w:abstractNumId="8">
    <w:nsid w:val="1D4ED43B"/>
    <w:multiLevelType w:val="hybridMultilevel"/>
    <w:lvl w:ilvl="0">
      <w:lvlJc w:val="left"/>
      <w:lvlText w:val="%1."/>
      <w:numFmt w:val="decimal"/>
      <w:start w:val="5"/>
    </w:lvl>
  </w:abstractNum>
  <w:abstractNum w:abstractNumId="9">
    <w:nsid w:val="725A06FB"/>
    <w:multiLevelType w:val="hybridMultilevel"/>
    <w:lvl w:ilvl="0">
      <w:lvlJc w:val="left"/>
      <w:lvlText w:val="%1."/>
      <w:numFmt w:val="decimal"/>
      <w:start w:val="6"/>
    </w:lvl>
  </w:abstractNum>
  <w:abstractNum w:abstractNumId="10">
    <w:nsid w:val="2CD89A32"/>
    <w:multiLevelType w:val="hybridMultilevel"/>
    <w:lvl w:ilvl="0">
      <w:lvlJc w:val="left"/>
      <w:lvlText w:val="%1."/>
      <w:numFmt w:val="decimal"/>
      <w:start w:val="7"/>
    </w:lvl>
  </w:abstractNum>
  <w:abstractNum w:abstractNumId="11">
    <w:nsid w:val="57E4CCAF"/>
    <w:multiLevelType w:val="hybridMultilevel"/>
    <w:lvl w:ilvl="0">
      <w:lvlJc w:val="left"/>
      <w:lvlText w:val="%1."/>
      <w:numFmt w:val="decimal"/>
      <w:start w:val="8"/>
    </w:lvl>
  </w:abstractNum>
  <w:abstractNum w:abstractNumId="12">
    <w:nsid w:val="7A6D8D3C"/>
    <w:multiLevelType w:val="hybridMultilevel"/>
    <w:lvl w:ilvl="0">
      <w:lvlJc w:val="left"/>
      <w:lvlText w:val="%1."/>
      <w:numFmt w:val="decimal"/>
      <w:start w:val="9"/>
    </w:lvl>
  </w:abstractNum>
  <w:abstractNum w:abstractNumId="13">
    <w:nsid w:val="4B588F54"/>
    <w:multiLevelType w:val="hybridMultilevel"/>
    <w:lvl w:ilvl="0">
      <w:lvlJc w:val="left"/>
      <w:lvlText w:val="%1."/>
      <w:numFmt w:val="decimal"/>
      <w:start w:val="10"/>
    </w:lvl>
  </w:abstractNum>
  <w:abstractNum w:abstractNumId="14">
    <w:nsid w:val="542289EC"/>
    <w:multiLevelType w:val="hybridMultilevel"/>
    <w:lvl w:ilvl="0">
      <w:lvlJc w:val="left"/>
      <w:lvlText w:val="%1."/>
      <w:numFmt w:val="decimal"/>
      <w:start w:val="1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1"/>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1"/>
      <w:numFmt w:val="decimal"/>
      <w:start w:val="104"/>
    </w:lvl>
    <w:lvl w:ilvl="1">
      <w:lvlJc w:val="left"/>
      <w:lvlText w:val="*"/>
      <w:numFmt w:val="bullet"/>
      <w:start w:val="1"/>
    </w:lvl>
  </w:abstractNum>
  <w:abstractNum w:abstractNumId="30">
    <w:nsid w:val="4F4EF005"/>
    <w:multiLevelType w:val="hybridMultilevel"/>
    <w:lvl w:ilvl="0">
      <w:lvlJc w:val="left"/>
      <w:lvlText w:val="%1"/>
      <w:numFmt w:val="decimal"/>
      <w:start w:val="1"/>
    </w:lvl>
    <w:lvl w:ilvl="1">
      <w:lvlJc w:val="left"/>
      <w:lvlText w:val="**"/>
      <w:numFmt w:val="bullet"/>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1."/>
      <w:numFmt w:val="upperLetter"/>
      <w:start w:val="1"/>
    </w:lvl>
  </w:abstractNum>
  <w:abstractNum w:abstractNumId="33">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393865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4"/>
    </w:lvl>
  </w:abstractNum>
  <w:abstractNum w:abstractNumId="35">
    <w:nsid w:val="1CF10FD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7">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8">
    <w:nsid w:val="47398C89"/>
    <w:multiLevelType w:val="hybridMultilevel"/>
    <w:lvl w:ilvl="0">
      <w:lvlJc w:val="left"/>
      <w:lvlText w:val="%1"/>
      <w:numFmt w:val="lowerLetter"/>
      <w:start w:val="1"/>
    </w:lvl>
    <w:lvl w:ilvl="1">
      <w:lvlJc w:val="left"/>
      <w:lvlText w:val="(%2)"/>
      <w:numFmt w:val="lowerLetter"/>
      <w:start w:val="35"/>
    </w:lvl>
  </w:abstractNum>
  <w:abstractNum w:abstractNumId="39">
    <w:nsid w:val="354FE9F9"/>
    <w:multiLevelType w:val="hybridMultilevel"/>
    <w:lvl w:ilvl="0">
      <w:lvlJc w:val="left"/>
      <w:lvlText w:val="(%1)"/>
      <w:numFmt w:val="lowerLetter"/>
      <w:start w:val="2"/>
    </w:lvl>
    <w:lvl w:ilvl="1">
      <w:lvlJc w:val="left"/>
      <w:lvlText w:val="(%2)"/>
      <w:numFmt w:val="lowerLetter"/>
      <w:start w:val="9"/>
    </w:lvl>
  </w:abstractNum>
  <w:abstractNum w:abstractNumId="40">
    <w:nsid w:val="15B5AF5C"/>
    <w:multiLevelType w:val="hybridMultilevel"/>
    <w:lvl w:ilvl="0">
      <w:lvlJc w:val="left"/>
      <w:lvlText w:val="%1"/>
      <w:numFmt w:val="lowerLetter"/>
      <w:start w:val="1"/>
    </w:lvl>
    <w:lvl w:ilvl="1">
      <w:lvlJc w:val="left"/>
      <w:lvlText w:val="(%2)"/>
      <w:numFmt w:val="lowerLetter"/>
      <w:start w:val="35"/>
    </w:lvl>
  </w:abstractNum>
  <w:abstractNum w:abstractNumId="41">
    <w:nsid w:val="741226BB"/>
    <w:multiLevelType w:val="hybridMultilevel"/>
    <w:lvl w:ilvl="0">
      <w:lvlJc w:val="left"/>
      <w:lvlText w:val="(%1)"/>
      <w:numFmt w:val="lowerLetter"/>
      <w:start w:val="3"/>
    </w:lvl>
    <w:lvl w:ilvl="1">
      <w:lvlJc w:val="left"/>
      <w:lvlText w:val="(%2)"/>
      <w:numFmt w:val="lowerLetter"/>
      <w:start w:val="9"/>
    </w:lvl>
  </w:abstractNum>
  <w:abstractNum w:abstractNumId="42">
    <w:nsid w:val="D34B6A8"/>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43">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44">
    <w:nsid w:val="3F6AB60F"/>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45">
    <w:nsid w:val="61574095"/>
    <w:multiLevelType w:val="hybridMultilevel"/>
    <w:lvl w:ilvl="0">
      <w:lvlJc w:val="left"/>
      <w:lvlText w:val="(%1)"/>
      <w:numFmt w:val="lowerLetter"/>
      <w:start w:val="5"/>
    </w:lvl>
  </w:abstractNum>
  <w:abstractNum w:abstractNumId="46">
    <w:nsid w:val="7E0C57B1"/>
    <w:multiLevelType w:val="hybridMultilevel"/>
    <w:lvl w:ilvl="0">
      <w:lvlJc w:val="left"/>
      <w:lvlText w:val="(%1)"/>
      <w:numFmt w:val="lowerLetter"/>
      <w:start w:val="8"/>
    </w:lvl>
    <w:lvl w:ilvl="1">
      <w:lvlJc w:val="left"/>
      <w:lvlText w:val="(%2)"/>
      <w:numFmt w:val="lowerRoman"/>
      <w:start w:val="1"/>
    </w:lvl>
  </w:abstractNum>
  <w:abstractNum w:abstractNumId="47">
    <w:nsid w:val="77AE35E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2"/>
    </w:lvl>
    <w:lvl w:ilvl="3">
      <w:lvlJc w:val="left"/>
      <w:lvlText w:val="(%4)"/>
      <w:numFmt w:val="lowerRoman"/>
      <w:start w:val="1"/>
    </w:lvl>
  </w:abstractNum>
  <w:abstractNum w:abstractNumId="48">
    <w:nsid w:val="579BE4F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2"/>
    </w:lvl>
  </w:abstractNum>
  <w:abstractNum w:abstractNumId="51">
    <w:nsid w:val="2F305DEF"/>
    <w:multiLevelType w:val="hybridMultilevel"/>
    <w:lvl w:ilvl="0">
      <w:lvlJc w:val="left"/>
      <w:lvlText w:val="%1."/>
      <w:numFmt w:val="upperLetter"/>
      <w:start w:val="1"/>
    </w:lvl>
  </w:abstractNum>
  <w:abstractNum w:abstractNumId="52">
    <w:nsid w:val="25A70BF7"/>
    <w:multiLevelType w:val="hybridMultilevel"/>
    <w:lvl w:ilvl="0">
      <w:lvlJc w:val="left"/>
      <w:lvlText w:val="%1."/>
      <w:numFmt w:val="upperLetter"/>
      <w:start w:val="2"/>
    </w:lvl>
  </w:abstractNum>
  <w:abstractNum w:abstractNumId="53">
    <w:nsid w:val="1DBABF00"/>
    <w:multiLevelType w:val="hybridMultilevel"/>
    <w:lvl w:ilvl="0">
      <w:lvlJc w:val="left"/>
      <w:lvlText w:val="%1."/>
      <w:numFmt w:val="upperLetter"/>
      <w:start w:val="1"/>
    </w:lvl>
  </w:abstractNum>
  <w:abstractNum w:abstractNumId="54">
    <w:nsid w:val="4AD084E9"/>
    <w:multiLevelType w:val="hybridMultilevel"/>
    <w:lvl w:ilvl="0">
      <w:lvlJc w:val="left"/>
      <w:lvlText w:val="%1."/>
      <w:numFmt w:val="upperLetter"/>
      <w:start w:val="2"/>
    </w:lvl>
  </w:abstractNum>
  <w:abstractNum w:abstractNumId="55">
    <w:nsid w:val="1F48EAA1"/>
    <w:multiLevelType w:val="hybridMultilevel"/>
    <w:lvl w:ilvl="0">
      <w:lvlJc w:val="left"/>
      <w:lvlText w:val="%1."/>
      <w:numFmt w:val="upperLetter"/>
      <w:start w:val="1"/>
    </w:lvl>
  </w:abstractNum>
  <w:abstractNum w:abstractNumId="56">
    <w:nsid w:val="1381823A"/>
    <w:multiLevelType w:val="hybridMultilevel"/>
    <w:lvl w:ilvl="0">
      <w:lvlJc w:val="left"/>
      <w:lvlText w:val="%1."/>
      <w:numFmt w:val="upperLetter"/>
      <w:start w:val="3"/>
    </w:lvl>
  </w:abstractNum>
  <w:abstractNum w:abstractNumId="57">
    <w:nsid w:val="5DB70AE5"/>
    <w:multiLevelType w:val="hybridMultilevel"/>
    <w:lvl w:ilvl="0">
      <w:lvlJc w:val="left"/>
      <w:lvlText w:val="(%1)"/>
      <w:numFmt w:val="lowerRoman"/>
      <w:start w:val="2"/>
    </w:lvl>
  </w:abstractNum>
  <w:abstractNum w:abstractNumId="58">
    <w:nsid w:val="100F8FCA"/>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59">
    <w:nsid w:val="6590700B"/>
    <w:multiLevelType w:val="hybridMultilevel"/>
    <w:lvl w:ilvl="0">
      <w:lvlJc w:val="left"/>
      <w:lvlText w:val="%1."/>
      <w:numFmt w:val="decimal"/>
      <w:start w:val="3"/>
    </w:lvl>
  </w:abstractNum>
  <w:abstractNum w:abstractNumId="60">
    <w:nsid w:val="15014ACB"/>
    <w:multiLevelType w:val="hybridMultilevel"/>
    <w:lvl w:ilvl="0">
      <w:lvlJc w:val="left"/>
      <w:lvlText w:val="%1"/>
      <w:numFmt w:val="upperLetter"/>
      <w:start w:val="1"/>
    </w:lvl>
    <w:lvl w:ilvl="1">
      <w:lvlJc w:val="left"/>
      <w:lvlText w:val="%2."/>
      <w:numFmt w:val="decimal"/>
      <w:start w:val="4"/>
    </w:lvl>
  </w:abstractNum>
  <w:abstractNum w:abstractNumId="61">
    <w:nsid w:val="5F5E7FD0"/>
    <w:multiLevelType w:val="hybridMultilevel"/>
    <w:lvl w:ilvl="0">
      <w:lvlJc w:val="left"/>
      <w:lvlText w:val="(%1)"/>
      <w:numFmt w:val="upperLetter"/>
      <w:start w:val="1"/>
    </w:lvl>
    <w:lvl w:ilvl="1">
      <w:lvlJc w:val="left"/>
      <w:lvlText w:val="%2."/>
      <w:numFmt w:val="decimal"/>
      <w:start w:val="9"/>
    </w:lvl>
  </w:abstractNum>
  <w:abstractNum w:abstractNumId="62">
    <w:nsid w:val="98A3148"/>
    <w:multiLevelType w:val="hybridMultilevel"/>
    <w:lvl w:ilvl="0">
      <w:lvlJc w:val="left"/>
      <w:lvlText w:val="§"/>
      <w:numFmt w:val="bullet"/>
      <w:start w:val="1"/>
    </w:lvl>
    <w:lvl w:ilvl="1">
      <w:lvlJc w:val="left"/>
      <w:lvlText w:val="%2"/>
      <w:numFmt w:val="upperLetter"/>
      <w:start w:val="1"/>
    </w:lvl>
    <w:lvl w:ilvl="2">
      <w:lvlJc w:val="left"/>
      <w:lvlText w:val="%3."/>
      <w:numFmt w:val="decimal"/>
      <w:start w:val="10"/>
    </w:lvl>
  </w:abstractNum>
  <w:abstractNum w:abstractNumId="63">
    <w:nsid w:val="799D0247"/>
    <w:multiLevelType w:val="hybridMultilevel"/>
    <w:lvl w:ilvl="0">
      <w:lvlJc w:val="left"/>
      <w:lvlText w:val="§"/>
      <w:numFmt w:val="bullet"/>
      <w:start w:val="1"/>
    </w:lvl>
    <w:lvl w:ilvl="1">
      <w:lvlJc w:val="left"/>
      <w:lvlText w:val="%2"/>
      <w:numFmt w:val="upperLetter"/>
      <w:start w:val="1"/>
    </w:lvl>
    <w:lvl w:ilvl="2">
      <w:lvlJc w:val="left"/>
      <w:lvlText w:val="%3."/>
      <w:numFmt w:val="decimal"/>
      <w:start w:val="16"/>
    </w:lvl>
  </w:abstractNum>
  <w:abstractNum w:abstractNumId="64">
    <w:nsid w:val="6B94764"/>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abstractNum>
  <w:abstractNum w:abstractNumId="65">
    <w:nsid w:val="42C296BD"/>
    <w:multiLevelType w:val="hybridMultilevel"/>
    <w:lvl w:ilvl="0">
      <w:lvlJc w:val="left"/>
      <w:lvlText w:val="%1"/>
      <w:numFmt w:val="upperLetter"/>
      <w:start w:val="1"/>
    </w:lvl>
    <w:lvl w:ilvl="1">
      <w:lvlJc w:val="left"/>
      <w:lvlText w:val="%2."/>
      <w:numFmt w:val="decimal"/>
      <w:start w:val="2"/>
    </w:lvl>
  </w:abstractNum>
  <w:abstractNum w:abstractNumId="66">
    <w:nsid w:val="168E121F"/>
    <w:multiLevelType w:val="hybridMultilevel"/>
    <w:lvl w:ilvl="0">
      <w:lvlJc w:val="left"/>
      <w:lvlText w:val="%1."/>
      <w:numFmt w:val="upperLetter"/>
      <w:start w:val="3"/>
    </w:lvl>
    <w:lvl w:ilvl="1">
      <w:lvlJc w:val="left"/>
      <w:lvlText w:val="%2."/>
      <w:numFmt w:val="decimal"/>
      <w:start w:val="1"/>
    </w:lvl>
  </w:abstractNum>
  <w:abstractNum w:abstractNumId="67">
    <w:nsid w:val="1EBA5D23"/>
    <w:multiLevelType w:val="hybridMultilevel"/>
    <w:lvl w:ilvl="0">
      <w:lvlJc w:val="left"/>
      <w:lvlText w:val="%1"/>
      <w:numFmt w:val="upperLetter"/>
      <w:start w:val="1"/>
    </w:lvl>
    <w:lvl w:ilvl="1">
      <w:lvlJc w:val="left"/>
      <w:lvlText w:val="%2."/>
      <w:numFmt w:val="decimal"/>
      <w:start w:val="2"/>
    </w:lvl>
  </w:abstractNum>
  <w:abstractNum w:abstractNumId="68">
    <w:nsid w:val="661E3F1E"/>
    <w:multiLevelType w:val="hybridMultilevel"/>
    <w:lvl w:ilvl="0">
      <w:lvlJc w:val="left"/>
      <w:lvlText w:val="%1."/>
      <w:numFmt w:val="upperLetter"/>
      <w:start w:val="4"/>
    </w:lvl>
    <w:lvl w:ilvl="1">
      <w:lvlJc w:val="left"/>
      <w:lvlText w:val="%2."/>
      <w:numFmt w:val="decimal"/>
      <w:start w:val="1"/>
    </w:lvl>
  </w:abstractNum>
  <w:abstractNum w:abstractNumId="69">
    <w:nsid w:val="5DC79EA8"/>
    <w:multiLevelType w:val="hybridMultilevel"/>
    <w:lvl w:ilvl="0">
      <w:lvlJc w:val="left"/>
      <w:lvlText w:val="%1."/>
      <w:numFmt w:val="decimal"/>
      <w:start w:val="2"/>
    </w:lvl>
  </w:abstractNum>
  <w:abstractNum w:abstractNumId="70">
    <w:nsid w:val="540A471C"/>
    <w:multiLevelType w:val="hybridMultilevel"/>
    <w:lvl w:ilvl="0">
      <w:lvlJc w:val="left"/>
      <w:lvlText w:val="%1"/>
      <w:numFmt w:val="upperLetter"/>
      <w:start w:val="1"/>
    </w:lvl>
    <w:lvl w:ilvl="1">
      <w:lvlJc w:val="left"/>
      <w:lvlText w:val="%2."/>
      <w:numFmt w:val="decimal"/>
      <w:start w:val="3"/>
    </w:lvl>
  </w:abstractNum>
  <w:abstractNum w:abstractNumId="71">
    <w:nsid w:val="7BD3EE7B"/>
    <w:multiLevelType w:val="hybridMultilevel"/>
    <w:lvl w:ilvl="0">
      <w:lvlJc w:val="left"/>
      <w:lvlText w:val="%1."/>
      <w:numFmt w:val="upperLetter"/>
      <w:start w:val="5"/>
    </w:lvl>
    <w:lvl w:ilvl="1">
      <w:lvlJc w:val="left"/>
      <w:lvlText w:val="%2"/>
      <w:numFmt w:val="decimal"/>
      <w:start w:val="1"/>
    </w:lvl>
  </w:abstractNum>
  <w:abstractNum w:abstractNumId="72">
    <w:nsid w:val="51D9C564"/>
    <w:multiLevelType w:val="hybridMultilevel"/>
    <w:lvl w:ilvl="0">
      <w:lvlJc w:val="left"/>
      <w:lvlText w:val="%1."/>
      <w:numFmt w:val="upperLetter"/>
      <w:start w:val="7"/>
    </w:lvl>
    <w:lvl w:ilvl="1">
      <w:lvlJc w:val="left"/>
      <w:lvlText w:val="%2."/>
      <w:numFmt w:val="decimal"/>
      <w:start w:val="1"/>
    </w:lvl>
  </w:abstractNum>
  <w:abstractNum w:abstractNumId="73">
    <w:nsid w:val="613EFDC5"/>
    <w:multiLevelType w:val="hybridMultilevel"/>
    <w:lvl w:ilvl="0">
      <w:lvlJc w:val="left"/>
      <w:lvlText w:val="%1."/>
      <w:numFmt w:val="upperLetter"/>
      <w:start w:val="9"/>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67" Type="http://schemas.openxmlformats.org/officeDocument/2006/relationships/hyperlink" Target="http://www.sec.gov/Archives/edgar/data/0001901637/000119312521369812/d628417dex21.htm" TargetMode="External"/><Relationship Id="rId68" Type="http://schemas.openxmlformats.org/officeDocument/2006/relationships/hyperlink" Target="http://www.sec.gov/Archives/edgar/data/1901637/000092708923000110/ex_549234.htm" TargetMode="External"/><Relationship Id="rId69" Type="http://schemas.openxmlformats.org/officeDocument/2006/relationships/hyperlink" Target="http://www.sec.gov/Archives/edgar/data/0001901637/000119312521369812/d628417dex41.htm" TargetMode="External"/><Relationship Id="rId70" Type="http://schemas.openxmlformats.org/officeDocument/2006/relationships/hyperlink" Target="http://www.sec.gov/Archives/edgar/data/0001901637/000119312521369812/d628417dex42.htm" TargetMode="External"/><Relationship Id="rId71" Type="http://schemas.openxmlformats.org/officeDocument/2006/relationships/hyperlink" Target="http://www.sec.gov/Archives/edgar/data/0001901637/000119312521369812/d628417dex43.htm" TargetMode="External"/><Relationship Id="rId72" Type="http://schemas.openxmlformats.org/officeDocument/2006/relationships/hyperlink" Target="http://www.sec.gov/Archives/edgar/data/1901637/000156276222000137/exhibit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2023-08-11T12:26:38Z</dcterms:created>
  <dcterms:modified xsi:type="dcterms:W3CDTF">2023-08-11T12:26:38Z</dcterms:modified>
</cp:coreProperties>
</file>