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142875</wp:posOffset>
            </wp:positionV>
            <wp:extent cx="7160895" cy="10461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895" cy="10461625"/>
                    </a:xfrm>
                    <a:prstGeom prst="rect">
                      <a:avLst/>
                    </a:prstGeom>
                    <a:noFill/>
                  </pic:spPr>
                </pic:pic>
              </a:graphicData>
            </a:graphic>
          </wp:anchor>
        </w:drawing>
        <w:t>UNITED STATES SECURITIES AND EXCHANGE COMMISSION</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Washington, D.C. 20549</w:t>
      </w:r>
    </w:p>
    <w:p>
      <w:pPr>
        <w:spacing w:after="0" w:line="6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10-K/A</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(Amendment No. 1)</w:t>
      </w:r>
    </w:p>
    <w:p>
      <w:pPr>
        <w:spacing w:after="0" w:line="16" w:lineRule="exact"/>
        <w:rPr>
          <w:sz w:val="24"/>
          <w:szCs w:val="24"/>
          <w:color w:val="auto"/>
        </w:rPr>
      </w:pPr>
    </w:p>
    <w:p>
      <w:pPr>
        <w:ind w:left="1660" w:hanging="559"/>
        <w:spacing w:after="0"/>
        <w:tabs>
          <w:tab w:leader="none" w:pos="1660" w:val="left"/>
        </w:tabs>
        <w:numPr>
          <w:ilvl w:val="0"/>
          <w:numId w:val="1"/>
        </w:numPr>
        <w:rPr>
          <w:rFonts w:ascii="MS PGothic" w:cs="MS PGothic" w:eastAsia="MS PGothic" w:hAnsi="MS PGothic"/>
          <w:sz w:val="23"/>
          <w:szCs w:val="23"/>
          <w:color w:val="auto"/>
          <w:vertAlign w:val="superscript"/>
        </w:rPr>
      </w:pPr>
      <w:r>
        <w:rPr>
          <w:rFonts w:ascii="Arial" w:cs="Arial" w:eastAsia="Arial" w:hAnsi="Arial"/>
          <w:sz w:val="11"/>
          <w:szCs w:val="11"/>
          <w:b w:val="1"/>
          <w:bCs w:val="1"/>
          <w:color w:val="auto"/>
        </w:rPr>
        <w:t>ANNUAL REPORT PURSUANT TO SECTION 13 OR 15(d) OF THE SECURITIES EXCHANGE ACT OF 1934</w:t>
      </w:r>
    </w:p>
    <w:p>
      <w:pPr>
        <w:spacing w:after="0" w:line="119"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For the fiscal year ended December 31, 2022</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1"/>
          <w:szCs w:val="11"/>
          <w:b w:val="1"/>
          <w:bCs w:val="1"/>
          <w:color w:val="auto"/>
        </w:rPr>
        <w:t>OR</w:t>
      </w:r>
    </w:p>
    <w:p>
      <w:pPr>
        <w:spacing w:after="0" w:line="30" w:lineRule="exact"/>
        <w:rPr>
          <w:sz w:val="24"/>
          <w:szCs w:val="24"/>
          <w:color w:val="auto"/>
        </w:rPr>
      </w:pPr>
    </w:p>
    <w:p>
      <w:pPr>
        <w:ind w:left="1600" w:hanging="531"/>
        <w:spacing w:after="0"/>
        <w:tabs>
          <w:tab w:leader="none" w:pos="1600" w:val="left"/>
        </w:tabs>
        <w:numPr>
          <w:ilvl w:val="0"/>
          <w:numId w:val="2"/>
        </w:numPr>
        <w:rPr>
          <w:rFonts w:ascii="MS PGothic" w:cs="MS PGothic" w:eastAsia="MS PGothic" w:hAnsi="MS PGothic"/>
          <w:sz w:val="23"/>
          <w:szCs w:val="23"/>
          <w:color w:val="auto"/>
          <w:vertAlign w:val="superscript"/>
        </w:rPr>
      </w:pPr>
      <w:r>
        <w:rPr>
          <w:rFonts w:ascii="Arial" w:cs="Arial" w:eastAsia="Arial" w:hAnsi="Arial"/>
          <w:sz w:val="11"/>
          <w:szCs w:val="11"/>
          <w:b w:val="1"/>
          <w:bCs w:val="1"/>
          <w:color w:val="auto"/>
        </w:rPr>
        <w:t>TRANSITION REPORT PURSUANT TO SECTION 13 OR 15(d) OF THE SECURITIES EXCHANGE ACT OF 1934</w:t>
      </w:r>
    </w:p>
    <w:p>
      <w:pPr>
        <w:spacing w:after="0" w:line="119" w:lineRule="exact"/>
        <w:rPr>
          <w:sz w:val="24"/>
          <w:szCs w:val="24"/>
          <w:color w:val="auto"/>
        </w:rPr>
      </w:pPr>
    </w:p>
    <w:tbl>
      <w:tblPr>
        <w:tblLayout w:type="fixed"/>
        <w:tblInd w:w="820" w:type="dxa"/>
        <w:tblCellMar>
          <w:top w:w="0" w:type="dxa"/>
          <w:left w:w="0" w:type="dxa"/>
          <w:bottom w:w="0" w:type="dxa"/>
          <w:right w:w="0" w:type="dxa"/>
        </w:tblCellMar>
      </w:tblPr>
      <w:tr>
        <w:trPr>
          <w:trHeight w:val="152"/>
        </w:trPr>
        <w:tc>
          <w:tcPr>
            <w:tcW w:w="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80" w:type="dxa"/>
            <w:vAlign w:val="bottom"/>
            <w:gridSpan w:val="3"/>
          </w:tcPr>
          <w:p>
            <w:pPr>
              <w:jc w:val="center"/>
              <w:ind w:left="1"/>
              <w:spacing w:after="0"/>
              <w:rPr>
                <w:sz w:val="20"/>
                <w:szCs w:val="20"/>
                <w:color w:val="auto"/>
              </w:rPr>
            </w:pPr>
            <w:r>
              <w:rPr>
                <w:rFonts w:ascii="Arial" w:cs="Arial" w:eastAsia="Arial" w:hAnsi="Arial"/>
                <w:sz w:val="11"/>
                <w:szCs w:val="11"/>
                <w:b w:val="1"/>
                <w:bCs w:val="1"/>
                <w:color w:val="auto"/>
              </w:rPr>
              <w:t>For the transition period from _____to_____</w:t>
            </w:r>
          </w:p>
        </w:tc>
        <w:tc>
          <w:tcPr>
            <w:tcW w:w="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7"/>
        </w:trPr>
        <w:tc>
          <w:tcPr>
            <w:tcW w:w="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80" w:type="dxa"/>
            <w:vAlign w:val="bottom"/>
            <w:gridSpan w:val="3"/>
          </w:tcPr>
          <w:p>
            <w:pPr>
              <w:jc w:val="center"/>
              <w:ind w:left="1"/>
              <w:spacing w:after="0"/>
              <w:rPr>
                <w:sz w:val="20"/>
                <w:szCs w:val="20"/>
                <w:color w:val="auto"/>
              </w:rPr>
            </w:pPr>
            <w:r>
              <w:rPr>
                <w:rFonts w:ascii="Arial" w:cs="Arial" w:eastAsia="Arial" w:hAnsi="Arial"/>
                <w:sz w:val="11"/>
                <w:szCs w:val="11"/>
                <w:b w:val="1"/>
                <w:bCs w:val="1"/>
                <w:color w:val="auto"/>
              </w:rPr>
              <w:t>Commission File Number: 001-41196</w:t>
            </w:r>
          </w:p>
        </w:tc>
        <w:tc>
          <w:tcPr>
            <w:tcW w:w="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661"/>
        </w:trPr>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80" w:type="dxa"/>
            <w:vAlign w:val="bottom"/>
            <w:gridSpan w:val="3"/>
          </w:tcPr>
          <w:p>
            <w:pPr>
              <w:jc w:val="center"/>
              <w:ind w:left="1"/>
              <w:spacing w:after="0"/>
              <w:rPr>
                <w:sz w:val="20"/>
                <w:szCs w:val="20"/>
                <w:color w:val="auto"/>
              </w:rPr>
            </w:pPr>
            <w:r>
              <w:rPr>
                <w:rFonts w:ascii="Arial" w:cs="Arial" w:eastAsia="Arial" w:hAnsi="Arial"/>
                <w:sz w:val="14"/>
                <w:szCs w:val="14"/>
                <w:b w:val="1"/>
                <w:bCs w:val="1"/>
                <w:color w:val="auto"/>
              </w:rPr>
              <w:t>USCB Financial Holdings, Inc.</w:t>
            </w: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0"/>
        </w:trPr>
        <w:tc>
          <w:tcPr>
            <w:tcW w:w="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80" w:type="dxa"/>
            <w:vAlign w:val="bottom"/>
            <w:gridSpan w:val="3"/>
          </w:tcPr>
          <w:p>
            <w:pPr>
              <w:jc w:val="center"/>
              <w:spacing w:after="0"/>
              <w:rPr>
                <w:sz w:val="20"/>
                <w:szCs w:val="20"/>
                <w:color w:val="auto"/>
              </w:rPr>
            </w:pPr>
            <w:r>
              <w:rPr>
                <w:rFonts w:ascii="Arial" w:cs="Arial" w:eastAsia="Arial" w:hAnsi="Arial"/>
                <w:sz w:val="11"/>
                <w:szCs w:val="11"/>
                <w:i w:val="1"/>
                <w:iCs w:val="1"/>
                <w:color w:val="auto"/>
              </w:rPr>
              <w:t>(Exact name of registrant as specified in its charter)</w:t>
            </w:r>
          </w:p>
        </w:tc>
        <w:tc>
          <w:tcPr>
            <w:tcW w:w="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56"/>
        </w:trPr>
        <w:tc>
          <w:tcPr>
            <w:tcW w:w="640" w:type="dxa"/>
            <w:vAlign w:val="bottom"/>
          </w:tcPr>
          <w:p>
            <w:pPr>
              <w:spacing w:after="0"/>
              <w:rPr>
                <w:sz w:val="22"/>
                <w:szCs w:val="22"/>
                <w:color w:val="auto"/>
              </w:rPr>
            </w:pPr>
          </w:p>
        </w:tc>
        <w:tc>
          <w:tcPr>
            <w:tcW w:w="1680" w:type="dxa"/>
            <w:vAlign w:val="bottom"/>
            <w:gridSpan w:val="2"/>
          </w:tcPr>
          <w:p>
            <w:pPr>
              <w:jc w:val="center"/>
              <w:ind w:right="683"/>
              <w:spacing w:after="0"/>
              <w:rPr>
                <w:sz w:val="20"/>
                <w:szCs w:val="20"/>
                <w:color w:val="auto"/>
              </w:rPr>
            </w:pPr>
            <w:r>
              <w:rPr>
                <w:rFonts w:ascii="Arial" w:cs="Arial" w:eastAsia="Arial" w:hAnsi="Arial"/>
                <w:sz w:val="11"/>
                <w:szCs w:val="11"/>
                <w:b w:val="1"/>
                <w:bCs w:val="1"/>
                <w:color w:val="auto"/>
              </w:rPr>
              <w:t>Florida</w:t>
            </w:r>
          </w:p>
        </w:tc>
        <w:tc>
          <w:tcPr>
            <w:tcW w:w="8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440" w:type="dxa"/>
            <w:vAlign w:val="bottom"/>
            <w:gridSpan w:val="3"/>
          </w:tcPr>
          <w:p>
            <w:pPr>
              <w:jc w:val="center"/>
              <w:ind w:left="23"/>
              <w:spacing w:after="0"/>
              <w:rPr>
                <w:sz w:val="20"/>
                <w:szCs w:val="20"/>
                <w:color w:val="auto"/>
              </w:rPr>
            </w:pPr>
            <w:r>
              <w:rPr>
                <w:rFonts w:ascii="Arial" w:cs="Arial" w:eastAsia="Arial" w:hAnsi="Arial"/>
                <w:sz w:val="11"/>
                <w:szCs w:val="11"/>
                <w:b w:val="1"/>
                <w:bCs w:val="1"/>
                <w:color w:val="auto"/>
              </w:rPr>
              <w:t>87-4070846</w:t>
            </w:r>
          </w:p>
        </w:tc>
        <w:tc>
          <w:tcPr>
            <w:tcW w:w="20" w:type="dxa"/>
            <w:vAlign w:val="bottom"/>
          </w:tcPr>
          <w:p>
            <w:pPr>
              <w:spacing w:after="0"/>
              <w:rPr>
                <w:sz w:val="22"/>
                <w:szCs w:val="22"/>
                <w:color w:val="auto"/>
              </w:rPr>
            </w:pPr>
          </w:p>
        </w:tc>
      </w:tr>
      <w:tr>
        <w:trPr>
          <w:trHeight w:val="149"/>
        </w:trPr>
        <w:tc>
          <w:tcPr>
            <w:tcW w:w="2320" w:type="dxa"/>
            <w:vAlign w:val="bottom"/>
            <w:gridSpan w:val="3"/>
          </w:tcPr>
          <w:p>
            <w:pPr>
              <w:jc w:val="center"/>
              <w:ind w:right="43"/>
              <w:spacing w:after="0"/>
              <w:rPr>
                <w:sz w:val="20"/>
                <w:szCs w:val="20"/>
                <w:color w:val="auto"/>
              </w:rPr>
            </w:pPr>
            <w:r>
              <w:rPr>
                <w:rFonts w:ascii="Arial" w:cs="Arial" w:eastAsia="Arial" w:hAnsi="Arial"/>
                <w:sz w:val="11"/>
                <w:szCs w:val="11"/>
                <w:i w:val="1"/>
                <w:iCs w:val="1"/>
                <w:color w:val="auto"/>
              </w:rPr>
              <w:t>(State or other jurisdiction of</w:t>
            </w: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20" w:type="dxa"/>
            <w:vAlign w:val="bottom"/>
            <w:gridSpan w:val="3"/>
          </w:tcPr>
          <w:p>
            <w:pPr>
              <w:jc w:val="center"/>
              <w:spacing w:after="0"/>
              <w:rPr>
                <w:sz w:val="20"/>
                <w:szCs w:val="20"/>
                <w:color w:val="auto"/>
              </w:rPr>
            </w:pPr>
            <w:r>
              <w:rPr>
                <w:rFonts w:ascii="Arial" w:cs="Arial" w:eastAsia="Arial" w:hAnsi="Arial"/>
                <w:sz w:val="11"/>
                <w:szCs w:val="11"/>
                <w:i w:val="1"/>
                <w:iCs w:val="1"/>
                <w:color w:val="auto"/>
              </w:rPr>
              <w:t>(I.R.S. Employer</w:t>
            </w:r>
          </w:p>
        </w:tc>
      </w:tr>
      <w:tr>
        <w:trPr>
          <w:trHeight w:val="150"/>
        </w:trPr>
        <w:tc>
          <w:tcPr>
            <w:tcW w:w="2320" w:type="dxa"/>
            <w:vAlign w:val="bottom"/>
            <w:gridSpan w:val="3"/>
          </w:tcPr>
          <w:p>
            <w:pPr>
              <w:jc w:val="center"/>
              <w:ind w:right="23"/>
              <w:spacing w:after="0"/>
              <w:rPr>
                <w:sz w:val="20"/>
                <w:szCs w:val="20"/>
                <w:color w:val="auto"/>
              </w:rPr>
            </w:pPr>
            <w:r>
              <w:rPr>
                <w:rFonts w:ascii="Arial" w:cs="Arial" w:eastAsia="Arial" w:hAnsi="Arial"/>
                <w:sz w:val="11"/>
                <w:szCs w:val="11"/>
                <w:i w:val="1"/>
                <w:iCs w:val="1"/>
                <w:color w:val="auto"/>
              </w:rPr>
              <w:t>incorporation or organization)</w:t>
            </w:r>
          </w:p>
        </w:tc>
        <w:tc>
          <w:tcPr>
            <w:tcW w:w="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20" w:type="dxa"/>
            <w:vAlign w:val="bottom"/>
            <w:gridSpan w:val="3"/>
          </w:tcPr>
          <w:p>
            <w:pPr>
              <w:jc w:val="center"/>
              <w:spacing w:after="0"/>
              <w:rPr>
                <w:sz w:val="20"/>
                <w:szCs w:val="20"/>
                <w:color w:val="auto"/>
              </w:rPr>
            </w:pPr>
            <w:r>
              <w:rPr>
                <w:rFonts w:ascii="Arial" w:cs="Arial" w:eastAsia="Arial" w:hAnsi="Arial"/>
                <w:sz w:val="11"/>
                <w:szCs w:val="11"/>
                <w:i w:val="1"/>
                <w:iCs w:val="1"/>
                <w:color w:val="auto"/>
              </w:rPr>
              <w:t>Identification No.)</w:t>
            </w:r>
          </w:p>
        </w:tc>
      </w:tr>
      <w:tr>
        <w:trPr>
          <w:trHeight w:val="160"/>
        </w:trPr>
        <w:tc>
          <w:tcPr>
            <w:tcW w:w="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80" w:type="dxa"/>
            <w:vAlign w:val="bottom"/>
            <w:gridSpan w:val="3"/>
          </w:tcPr>
          <w:p>
            <w:pPr>
              <w:jc w:val="center"/>
              <w:spacing w:after="0"/>
              <w:rPr>
                <w:sz w:val="20"/>
                <w:szCs w:val="20"/>
                <w:color w:val="auto"/>
              </w:rPr>
            </w:pPr>
            <w:r>
              <w:rPr>
                <w:rFonts w:ascii="Arial" w:cs="Arial" w:eastAsia="Arial" w:hAnsi="Arial"/>
                <w:sz w:val="11"/>
                <w:szCs w:val="11"/>
                <w:b w:val="1"/>
                <w:bCs w:val="1"/>
                <w:color w:val="auto"/>
              </w:rPr>
              <w:t>2301 NW 87th Avenue, Doral, FL 33172</w:t>
            </w:r>
          </w:p>
        </w:tc>
        <w:tc>
          <w:tcPr>
            <w:tcW w:w="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1"/>
        </w:trPr>
        <w:tc>
          <w:tcPr>
            <w:tcW w:w="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80" w:type="dxa"/>
            <w:vAlign w:val="bottom"/>
            <w:gridSpan w:val="3"/>
          </w:tcPr>
          <w:p>
            <w:pPr>
              <w:jc w:val="center"/>
              <w:spacing w:after="0"/>
              <w:rPr>
                <w:sz w:val="20"/>
                <w:szCs w:val="20"/>
                <w:color w:val="auto"/>
              </w:rPr>
            </w:pPr>
            <w:r>
              <w:rPr>
                <w:rFonts w:ascii="Arial" w:cs="Arial" w:eastAsia="Arial" w:hAnsi="Arial"/>
                <w:sz w:val="11"/>
                <w:szCs w:val="11"/>
                <w:i w:val="1"/>
                <w:iCs w:val="1"/>
                <w:color w:val="auto"/>
              </w:rPr>
              <w:t>(Address of principal executive offices) (zip code)</w:t>
            </w:r>
          </w:p>
        </w:tc>
        <w:tc>
          <w:tcPr>
            <w:tcW w:w="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3"/>
        </w:trPr>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720" w:type="dxa"/>
            <w:vAlign w:val="bottom"/>
            <w:gridSpan w:val="6"/>
          </w:tcPr>
          <w:p>
            <w:pPr>
              <w:jc w:val="center"/>
              <w:ind w:right="543"/>
              <w:spacing w:after="0"/>
              <w:rPr>
                <w:sz w:val="20"/>
                <w:szCs w:val="20"/>
                <w:color w:val="auto"/>
              </w:rPr>
            </w:pPr>
            <w:r>
              <w:rPr>
                <w:rFonts w:ascii="Arial" w:cs="Arial" w:eastAsia="Arial" w:hAnsi="Arial"/>
                <w:sz w:val="11"/>
                <w:szCs w:val="11"/>
                <w:color w:val="auto"/>
              </w:rPr>
              <w:t xml:space="preserve">Registrant’s telephone number, including area code: </w:t>
            </w:r>
            <w:r>
              <w:rPr>
                <w:rFonts w:ascii="Arial" w:cs="Arial" w:eastAsia="Arial" w:hAnsi="Arial"/>
                <w:sz w:val="11"/>
                <w:szCs w:val="11"/>
                <w:b w:val="1"/>
                <w:bCs w:val="1"/>
                <w:color w:val="auto"/>
              </w:rPr>
              <w:t>(305) 715-5200</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720" w:type="dxa"/>
            <w:vAlign w:val="bottom"/>
            <w:gridSpan w:val="6"/>
          </w:tcPr>
          <w:p>
            <w:pPr>
              <w:jc w:val="center"/>
              <w:ind w:right="523"/>
              <w:spacing w:after="0"/>
              <w:rPr>
                <w:sz w:val="20"/>
                <w:szCs w:val="20"/>
                <w:color w:val="auto"/>
              </w:rPr>
            </w:pPr>
            <w:r>
              <w:rPr>
                <w:rFonts w:ascii="Arial" w:cs="Arial" w:eastAsia="Arial" w:hAnsi="Arial"/>
                <w:sz w:val="11"/>
                <w:szCs w:val="11"/>
                <w:color w:val="auto"/>
              </w:rPr>
              <w:t>Securities registered pursuant to Section 12(b) of the Act:</w:t>
            </w: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1"/>
        </w:trPr>
        <w:tc>
          <w:tcPr>
            <w:tcW w:w="6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1"/>
                <w:szCs w:val="11"/>
                <w:b w:val="1"/>
                <w:bCs w:val="1"/>
                <w:color w:val="auto"/>
              </w:rPr>
              <w:t>Title of each class</w:t>
            </w: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20" w:type="dxa"/>
            <w:vAlign w:val="bottom"/>
            <w:gridSpan w:val="2"/>
          </w:tcPr>
          <w:p>
            <w:pPr>
              <w:jc w:val="center"/>
              <w:ind w:right="820"/>
              <w:spacing w:after="0"/>
              <w:rPr>
                <w:sz w:val="20"/>
                <w:szCs w:val="20"/>
                <w:color w:val="auto"/>
              </w:rPr>
            </w:pPr>
            <w:r>
              <w:rPr>
                <w:rFonts w:ascii="Arial" w:cs="Arial" w:eastAsia="Arial" w:hAnsi="Arial"/>
                <w:sz w:val="11"/>
                <w:szCs w:val="11"/>
                <w:b w:val="1"/>
                <w:bCs w:val="1"/>
                <w:color w:val="auto"/>
              </w:rPr>
              <w:t>Trading Symbol(s)</w:t>
            </w:r>
          </w:p>
        </w:tc>
        <w:tc>
          <w:tcPr>
            <w:tcW w:w="2460" w:type="dxa"/>
            <w:vAlign w:val="bottom"/>
            <w:gridSpan w:val="4"/>
          </w:tcPr>
          <w:p>
            <w:pPr>
              <w:jc w:val="center"/>
              <w:spacing w:after="0"/>
              <w:rPr>
                <w:sz w:val="20"/>
                <w:szCs w:val="20"/>
                <w:color w:val="auto"/>
              </w:rPr>
            </w:pPr>
            <w:r>
              <w:rPr>
                <w:rFonts w:ascii="Arial" w:cs="Arial" w:eastAsia="Arial" w:hAnsi="Arial"/>
                <w:sz w:val="11"/>
                <w:szCs w:val="11"/>
                <w:b w:val="1"/>
                <w:bCs w:val="1"/>
                <w:color w:val="auto"/>
              </w:rPr>
              <w:t>Name of each exchange on which registered</w:t>
            </w:r>
          </w:p>
        </w:tc>
      </w:tr>
      <w:tr>
        <w:trPr>
          <w:trHeight w:val="20"/>
        </w:trPr>
        <w:tc>
          <w:tcPr>
            <w:tcW w:w="6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4"/>
        </w:trPr>
        <w:tc>
          <w:tcPr>
            <w:tcW w:w="2320" w:type="dxa"/>
            <w:vAlign w:val="bottom"/>
            <w:gridSpan w:val="3"/>
          </w:tcPr>
          <w:p>
            <w:pPr>
              <w:spacing w:after="0"/>
              <w:rPr>
                <w:sz w:val="20"/>
                <w:szCs w:val="20"/>
                <w:color w:val="auto"/>
              </w:rPr>
            </w:pPr>
            <w:r>
              <w:rPr>
                <w:rFonts w:ascii="Arial" w:cs="Arial" w:eastAsia="Arial" w:hAnsi="Arial"/>
                <w:sz w:val="11"/>
                <w:szCs w:val="11"/>
                <w:color w:val="auto"/>
              </w:rPr>
              <w:t>Class A Common Stock, $1.00 par value per</w:t>
            </w:r>
          </w:p>
        </w:tc>
        <w:tc>
          <w:tcPr>
            <w:tcW w:w="860" w:type="dxa"/>
            <w:vAlign w:val="bottom"/>
          </w:tcPr>
          <w:p>
            <w:pPr>
              <w:spacing w:after="0"/>
              <w:rPr>
                <w:sz w:val="15"/>
                <w:szCs w:val="15"/>
                <w:color w:val="auto"/>
              </w:rPr>
            </w:pPr>
          </w:p>
        </w:tc>
        <w:tc>
          <w:tcPr>
            <w:tcW w:w="1820" w:type="dxa"/>
            <w:vAlign w:val="bottom"/>
            <w:gridSpan w:val="2"/>
          </w:tcPr>
          <w:p>
            <w:pPr>
              <w:jc w:val="center"/>
              <w:ind w:right="820"/>
              <w:spacing w:after="0"/>
              <w:rPr>
                <w:sz w:val="20"/>
                <w:szCs w:val="20"/>
                <w:color w:val="auto"/>
              </w:rPr>
            </w:pPr>
            <w:r>
              <w:rPr>
                <w:rFonts w:ascii="Arial" w:cs="Arial" w:eastAsia="Arial" w:hAnsi="Arial"/>
                <w:sz w:val="11"/>
                <w:szCs w:val="11"/>
                <w:color w:val="auto"/>
              </w:rPr>
              <w:t>USCB</w:t>
            </w:r>
          </w:p>
        </w:tc>
        <w:tc>
          <w:tcPr>
            <w:tcW w:w="40" w:type="dxa"/>
            <w:vAlign w:val="bottom"/>
          </w:tcPr>
          <w:p>
            <w:pPr>
              <w:spacing w:after="0"/>
              <w:rPr>
                <w:sz w:val="15"/>
                <w:szCs w:val="15"/>
                <w:color w:val="auto"/>
              </w:rPr>
            </w:pPr>
          </w:p>
        </w:tc>
        <w:tc>
          <w:tcPr>
            <w:tcW w:w="2420" w:type="dxa"/>
            <w:vAlign w:val="bottom"/>
            <w:gridSpan w:val="3"/>
          </w:tcPr>
          <w:p>
            <w:pPr>
              <w:jc w:val="center"/>
              <w:ind w:right="20"/>
              <w:spacing w:after="0"/>
              <w:rPr>
                <w:sz w:val="20"/>
                <w:szCs w:val="20"/>
                <w:color w:val="auto"/>
              </w:rPr>
            </w:pPr>
            <w:r>
              <w:rPr>
                <w:rFonts w:ascii="Arial" w:cs="Arial" w:eastAsia="Arial" w:hAnsi="Arial"/>
                <w:sz w:val="11"/>
                <w:szCs w:val="11"/>
                <w:color w:val="auto"/>
              </w:rPr>
              <w:t>The Nasdaq Stock Market LLC</w:t>
            </w:r>
          </w:p>
        </w:tc>
      </w:tr>
      <w:tr>
        <w:trPr>
          <w:trHeight w:val="139"/>
        </w:trPr>
        <w:tc>
          <w:tcPr>
            <w:tcW w:w="640" w:type="dxa"/>
            <w:vAlign w:val="bottom"/>
          </w:tcPr>
          <w:p>
            <w:pPr>
              <w:spacing w:after="0"/>
              <w:rPr>
                <w:sz w:val="12"/>
                <w:szCs w:val="12"/>
                <w:color w:val="auto"/>
              </w:rPr>
            </w:pPr>
          </w:p>
        </w:tc>
        <w:tc>
          <w:tcPr>
            <w:tcW w:w="1680" w:type="dxa"/>
            <w:vAlign w:val="bottom"/>
            <w:gridSpan w:val="2"/>
          </w:tcPr>
          <w:p>
            <w:pPr>
              <w:jc w:val="center"/>
              <w:ind w:right="643"/>
              <w:spacing w:after="0"/>
              <w:rPr>
                <w:sz w:val="20"/>
                <w:szCs w:val="20"/>
                <w:color w:val="auto"/>
              </w:rPr>
            </w:pPr>
            <w:r>
              <w:rPr>
                <w:rFonts w:ascii="Arial" w:cs="Arial" w:eastAsia="Arial" w:hAnsi="Arial"/>
                <w:sz w:val="11"/>
                <w:szCs w:val="11"/>
                <w:color w:val="auto"/>
              </w:rPr>
              <w:t>share</w:t>
            </w: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56"/>
        </w:trPr>
        <w:tc>
          <w:tcPr>
            <w:tcW w:w="5000" w:type="dxa"/>
            <w:vAlign w:val="bottom"/>
            <w:gridSpan w:val="6"/>
          </w:tcPr>
          <w:p>
            <w:pPr>
              <w:ind w:left="100"/>
              <w:spacing w:after="0"/>
              <w:rPr>
                <w:sz w:val="20"/>
                <w:szCs w:val="20"/>
                <w:color w:val="auto"/>
              </w:rPr>
            </w:pPr>
            <w:r>
              <w:rPr>
                <w:rFonts w:ascii="Arial" w:cs="Arial" w:eastAsia="Arial" w:hAnsi="Arial"/>
                <w:sz w:val="11"/>
                <w:szCs w:val="11"/>
                <w:color w:val="auto"/>
              </w:rPr>
              <w:t xml:space="preserve">Securities registered pursuant to Section 12(g) of the Act: </w:t>
            </w:r>
            <w:r>
              <w:rPr>
                <w:rFonts w:ascii="Arial" w:cs="Arial" w:eastAsia="Arial" w:hAnsi="Arial"/>
                <w:sz w:val="11"/>
                <w:szCs w:val="11"/>
                <w:b w:val="1"/>
                <w:bCs w:val="1"/>
                <w:color w:val="auto"/>
              </w:rPr>
              <w:t>None</w:t>
            </w:r>
          </w:p>
        </w:tc>
        <w:tc>
          <w:tcPr>
            <w:tcW w:w="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97"/>
        </w:trPr>
        <w:tc>
          <w:tcPr>
            <w:tcW w:w="6340" w:type="dxa"/>
            <w:vAlign w:val="bottom"/>
            <w:gridSpan w:val="8"/>
          </w:tcPr>
          <w:p>
            <w:pPr>
              <w:ind w:left="100"/>
              <w:spacing w:after="0" w:line="197" w:lineRule="exact"/>
              <w:rPr>
                <w:sz w:val="20"/>
                <w:szCs w:val="20"/>
                <w:color w:val="auto"/>
              </w:rPr>
            </w:pPr>
            <w:r>
              <w:rPr>
                <w:rFonts w:ascii="Arial" w:cs="Arial" w:eastAsia="Arial" w:hAnsi="Arial"/>
                <w:sz w:val="11"/>
                <w:szCs w:val="11"/>
                <w:color w:val="auto"/>
              </w:rPr>
              <w:t xml:space="preserve">Indicate by check mark if the registrant is a well-knownseasoned issuer, as defined in Rule 405 of the Securities Act. </w:t>
            </w:r>
            <w:r>
              <w:rPr>
                <w:rFonts w:ascii="MS PGothic" w:cs="MS PGothic" w:eastAsia="MS PGothic" w:hAnsi="MS PGothic"/>
                <w:sz w:val="22"/>
                <w:szCs w:val="22"/>
                <w:color w:val="auto"/>
                <w:vertAlign w:val="superscript"/>
              </w:rPr>
              <w:t>☐</w:t>
            </w:r>
            <w:r>
              <w:rPr>
                <w:rFonts w:ascii="Arial" w:cs="Arial" w:eastAsia="Arial" w:hAnsi="Arial"/>
                <w:sz w:val="11"/>
                <w:szCs w:val="11"/>
                <w:color w:val="auto"/>
              </w:rPr>
              <w:t xml:space="preserve"> Yes</w:t>
            </w:r>
          </w:p>
        </w:tc>
        <w:tc>
          <w:tcPr>
            <w:tcW w:w="1120" w:type="dxa"/>
            <w:vAlign w:val="bottom"/>
            <w:gridSpan w:val="2"/>
          </w:tcPr>
          <w:p>
            <w:pPr>
              <w:jc w:val="center"/>
              <w:ind w:right="720"/>
              <w:spacing w:after="0" w:line="197" w:lineRule="exact"/>
              <w:rPr>
                <w:sz w:val="20"/>
                <w:szCs w:val="20"/>
                <w:color w:val="auto"/>
              </w:rPr>
            </w:pPr>
            <w:r>
              <w:rPr>
                <w:rFonts w:ascii="Arial" w:cs="Arial" w:eastAsia="Arial" w:hAnsi="Arial"/>
                <w:sz w:val="11"/>
                <w:szCs w:val="11"/>
                <w:color w:val="auto"/>
                <w:w w:val="87"/>
              </w:rPr>
              <w:t xml:space="preserve">No </w:t>
            </w:r>
            <w:r>
              <w:rPr>
                <w:rFonts w:ascii="MS PGothic" w:cs="MS PGothic" w:eastAsia="MS PGothic" w:hAnsi="MS PGothic"/>
                <w:sz w:val="22"/>
                <w:szCs w:val="22"/>
                <w:color w:val="auto"/>
                <w:w w:val="87"/>
                <w:vertAlign w:val="superscript"/>
              </w:rPr>
              <w:t>☒</w:t>
            </w:r>
          </w:p>
        </w:tc>
      </w:tr>
      <w:tr>
        <w:trPr>
          <w:trHeight w:val="221"/>
        </w:trPr>
        <w:tc>
          <w:tcPr>
            <w:tcW w:w="6340" w:type="dxa"/>
            <w:vAlign w:val="bottom"/>
            <w:gridSpan w:val="8"/>
          </w:tcPr>
          <w:p>
            <w:pPr>
              <w:ind w:left="100"/>
              <w:spacing w:after="0"/>
              <w:rPr>
                <w:sz w:val="20"/>
                <w:szCs w:val="20"/>
                <w:color w:val="auto"/>
              </w:rPr>
            </w:pPr>
            <w:r>
              <w:rPr>
                <w:rFonts w:ascii="Arial" w:cs="Arial" w:eastAsia="Arial" w:hAnsi="Arial"/>
                <w:sz w:val="11"/>
                <w:szCs w:val="11"/>
                <w:color w:val="auto"/>
              </w:rPr>
              <w:t>Indicate by check mark if the registrant is not requiredto file reports pursuant to Section 13 or Section15(d) of the Act. Yes</w:t>
            </w:r>
          </w:p>
        </w:tc>
        <w:tc>
          <w:tcPr>
            <w:tcW w:w="1120" w:type="dxa"/>
            <w:vAlign w:val="bottom"/>
            <w:gridSpan w:val="2"/>
          </w:tcPr>
          <w:p>
            <w:pPr>
              <w:jc w:val="center"/>
              <w:ind w:right="680"/>
              <w:spacing w:after="0" w:line="221" w:lineRule="exact"/>
              <w:rPr>
                <w:sz w:val="20"/>
                <w:szCs w:val="20"/>
                <w:color w:val="auto"/>
              </w:rPr>
            </w:pPr>
            <w:r>
              <w:rPr>
                <w:rFonts w:ascii="MS PGothic" w:cs="MS PGothic" w:eastAsia="MS PGothic" w:hAnsi="MS PGothic"/>
                <w:sz w:val="11"/>
                <w:szCs w:val="11"/>
                <w:color w:val="auto"/>
                <w:w w:val="92"/>
              </w:rPr>
              <w:t xml:space="preserve">☐ </w:t>
            </w:r>
            <w:r>
              <w:rPr>
                <w:rFonts w:ascii="Arial" w:cs="Arial" w:eastAsia="Arial" w:hAnsi="Arial"/>
                <w:sz w:val="22"/>
                <w:szCs w:val="22"/>
                <w:color w:val="auto"/>
                <w:w w:val="92"/>
                <w:vertAlign w:val="subscript"/>
              </w:rPr>
              <w:t>No</w:t>
            </w:r>
            <w:r>
              <w:rPr>
                <w:rFonts w:ascii="MS PGothic" w:cs="MS PGothic" w:eastAsia="MS PGothic" w:hAnsi="MS PGothic"/>
                <w:sz w:val="11"/>
                <w:szCs w:val="11"/>
                <w:color w:val="auto"/>
                <w:w w:val="92"/>
              </w:rPr>
              <w:t xml:space="preserve"> ☒</w:t>
            </w:r>
          </w:p>
        </w:tc>
      </w:tr>
    </w:tbl>
    <w:p>
      <w:pPr>
        <w:jc w:val="both"/>
        <w:ind w:left="920" w:right="659"/>
        <w:spacing w:after="0" w:line="153"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2"/>
          <w:szCs w:val="22"/>
          <w:color w:val="auto"/>
          <w:vertAlign w:val="superscript"/>
        </w:rPr>
        <w:t>☒</w:t>
      </w:r>
      <w:r>
        <w:rPr>
          <w:rFonts w:ascii="Arial" w:cs="Arial" w:eastAsia="Arial" w:hAnsi="Arial"/>
          <w:sz w:val="11"/>
          <w:szCs w:val="11"/>
          <w:color w:val="auto"/>
        </w:rPr>
        <w:t xml:space="preserve"> No </w:t>
      </w:r>
      <w:r>
        <w:rPr>
          <w:rFonts w:ascii="MS PGothic" w:cs="MS PGothic" w:eastAsia="MS PGothic" w:hAnsi="MS PGothic"/>
          <w:sz w:val="22"/>
          <w:szCs w:val="22"/>
          <w:color w:val="auto"/>
          <w:vertAlign w:val="superscript"/>
        </w:rPr>
        <w:t>☐</w:t>
      </w:r>
    </w:p>
    <w:p>
      <w:pPr>
        <w:spacing w:after="0" w:line="1" w:lineRule="exact"/>
        <w:rPr>
          <w:sz w:val="24"/>
          <w:szCs w:val="24"/>
          <w:color w:val="auto"/>
        </w:rPr>
      </w:pPr>
    </w:p>
    <w:p>
      <w:pPr>
        <w:jc w:val="both"/>
        <w:ind w:left="920" w:right="659"/>
        <w:spacing w:after="0" w:line="250" w:lineRule="auto"/>
        <w:rPr>
          <w:sz w:val="20"/>
          <w:szCs w:val="20"/>
          <w:color w:val="auto"/>
        </w:rPr>
      </w:pPr>
      <w:r>
        <w:rPr>
          <w:rFonts w:ascii="Arial" w:cs="Arial" w:eastAsia="Arial" w:hAnsi="Arial"/>
          <w:sz w:val="11"/>
          <w:szCs w:val="11"/>
          <w:color w:val="auto"/>
        </w:rPr>
        <w:t>Indicate by check mark whether the registrant has submitted electronically every Interactive Data File requiredto be submitted pursuant to Rule 405 of Regulation S-T (§232.405 of this chapter) during the preceding 12 months (or for such shorter period that the registrant was required to submit</w:t>
      </w:r>
    </w:p>
    <w:p>
      <w:pPr>
        <w:spacing w:after="0" w:line="1" w:lineRule="exact"/>
        <w:rPr>
          <w:sz w:val="24"/>
          <w:szCs w:val="24"/>
          <w:color w:val="auto"/>
        </w:rPr>
      </w:pPr>
    </w:p>
    <w:p>
      <w:pPr>
        <w:ind w:left="920"/>
        <w:spacing w:after="0" w:line="127" w:lineRule="exact"/>
        <w:rPr>
          <w:sz w:val="20"/>
          <w:szCs w:val="20"/>
          <w:color w:val="auto"/>
        </w:rPr>
      </w:pPr>
      <w:r>
        <w:rPr>
          <w:rFonts w:ascii="Arial" w:cs="Arial" w:eastAsia="Arial" w:hAnsi="Arial"/>
          <w:sz w:val="11"/>
          <w:szCs w:val="11"/>
          <w:color w:val="auto"/>
        </w:rPr>
        <w:t xml:space="preserve">such files).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68" w:lineRule="exact"/>
        <w:rPr>
          <w:sz w:val="24"/>
          <w:szCs w:val="24"/>
          <w:color w:val="auto"/>
        </w:rPr>
      </w:pPr>
    </w:p>
    <w:p>
      <w:pPr>
        <w:jc w:val="both"/>
        <w:ind w:left="920" w:right="659"/>
        <w:spacing w:after="0" w:line="258" w:lineRule="auto"/>
        <w:rPr>
          <w:sz w:val="20"/>
          <w:szCs w:val="20"/>
          <w:color w:val="auto"/>
        </w:rPr>
      </w:pPr>
      <w:r>
        <w:rPr>
          <w:rFonts w:ascii="Arial" w:cs="Arial" w:eastAsia="Arial" w:hAnsi="Arial"/>
          <w:sz w:val="11"/>
          <w:szCs w:val="11"/>
          <w:color w:val="auto"/>
        </w:rPr>
        <w:t>Indicate by check mark whetherthe registrant is a large accelerated filer, an accelerated filer, a non-acceleratedfiler, a smaller reporting company or an emerging growth company. See the definitions of “large accelerated filer,” “accelerated filer,” “non-accelerated filer,” “smaller reporting company,” and “emerging growth company” in Rule 12b-2 of the Exchange Act.</w:t>
      </w:r>
    </w:p>
    <w:p>
      <w:pPr>
        <w:spacing w:after="0" w:line="1" w:lineRule="exact"/>
        <w:rPr>
          <w:sz w:val="24"/>
          <w:szCs w:val="24"/>
          <w:color w:val="auto"/>
        </w:rPr>
      </w:pPr>
    </w:p>
    <w:p>
      <w:pPr>
        <w:ind w:left="920"/>
        <w:spacing w:after="0" w:line="127" w:lineRule="exact"/>
        <w:tabs>
          <w:tab w:leader="none" w:pos="2280" w:val="left"/>
        </w:tabs>
        <w:rPr>
          <w:sz w:val="20"/>
          <w:szCs w:val="20"/>
          <w:color w:val="auto"/>
        </w:rPr>
      </w:pPr>
      <w:r>
        <w:rPr>
          <w:rFonts w:ascii="Arial" w:cs="Arial" w:eastAsia="Arial" w:hAnsi="Arial"/>
          <w:sz w:val="11"/>
          <w:szCs w:val="11"/>
          <w:color w:val="auto"/>
        </w:rPr>
        <w:t xml:space="preserve">Large accelerated filer </w:t>
      </w:r>
      <w:r>
        <w:rPr>
          <w:rFonts w:ascii="MS PGothic" w:cs="MS PGothic" w:eastAsia="MS PGothic" w:hAnsi="MS PGothic"/>
          <w:sz w:val="11"/>
          <w:szCs w:val="11"/>
          <w:color w:val="auto"/>
        </w:rPr>
        <w:t>☐</w:t>
      </w:r>
      <w:r>
        <w:rPr>
          <w:rFonts w:ascii="Arial" w:cs="Arial" w:eastAsia="Arial" w:hAnsi="Arial"/>
          <w:sz w:val="11"/>
          <w:szCs w:val="11"/>
          <w:color w:val="auto"/>
        </w:rPr>
        <w:tab/>
        <w:t xml:space="preserve">Accelerated filer </w:t>
      </w:r>
      <w:r>
        <w:rPr>
          <w:rFonts w:ascii="MS PGothic" w:cs="MS PGothic" w:eastAsia="MS PGothic" w:hAnsi="MS PGothic"/>
          <w:sz w:val="11"/>
          <w:szCs w:val="11"/>
          <w:color w:val="auto"/>
        </w:rPr>
        <w:t>☐</w:t>
      </w:r>
      <w:r>
        <w:rPr>
          <w:rFonts w:ascii="Arial" w:cs="Arial" w:eastAsia="Arial" w:hAnsi="Arial"/>
          <w:sz w:val="11"/>
          <w:szCs w:val="11"/>
          <w:color w:val="auto"/>
        </w:rPr>
        <w:t xml:space="preserve"> Non-accelerated filer </w:t>
      </w:r>
      <w:r>
        <w:rPr>
          <w:rFonts w:ascii="MS PGothic" w:cs="MS PGothic" w:eastAsia="MS PGothic" w:hAnsi="MS PGothic"/>
          <w:sz w:val="11"/>
          <w:szCs w:val="11"/>
          <w:color w:val="auto"/>
        </w:rPr>
        <w:t>☒</w:t>
      </w:r>
      <w:r>
        <w:rPr>
          <w:rFonts w:ascii="Arial" w:cs="Arial" w:eastAsia="Arial" w:hAnsi="Arial"/>
          <w:sz w:val="11"/>
          <w:szCs w:val="11"/>
          <w:color w:val="auto"/>
        </w:rPr>
        <w:t xml:space="preserve"> Smaller reporting company </w:t>
      </w:r>
      <w:r>
        <w:rPr>
          <w:rFonts w:ascii="MS PGothic" w:cs="MS PGothic" w:eastAsia="MS PGothic" w:hAnsi="MS PGothic"/>
          <w:sz w:val="11"/>
          <w:szCs w:val="11"/>
          <w:color w:val="auto"/>
        </w:rPr>
        <w:t>☒</w:t>
      </w:r>
      <w:r>
        <w:rPr>
          <w:rFonts w:ascii="Arial" w:cs="Arial" w:eastAsia="Arial" w:hAnsi="Arial"/>
          <w:sz w:val="11"/>
          <w:szCs w:val="11"/>
          <w:color w:val="auto"/>
        </w:rPr>
        <w:t xml:space="preserve"> Emerging growth company </w:t>
      </w:r>
      <w:r>
        <w:rPr>
          <w:rFonts w:ascii="MS PGothic" w:cs="MS PGothic" w:eastAsia="MS PGothic" w:hAnsi="MS PGothic"/>
          <w:sz w:val="11"/>
          <w:szCs w:val="11"/>
          <w:color w:val="auto"/>
        </w:rPr>
        <w:t>☒</w:t>
      </w:r>
    </w:p>
    <w:p>
      <w:pPr>
        <w:spacing w:after="0" w:line="94" w:lineRule="exact"/>
        <w:rPr>
          <w:sz w:val="24"/>
          <w:szCs w:val="24"/>
          <w:color w:val="auto"/>
        </w:rPr>
      </w:pPr>
    </w:p>
    <w:p>
      <w:pPr>
        <w:jc w:val="both"/>
        <w:ind w:left="920" w:right="679"/>
        <w:spacing w:after="0" w:line="160" w:lineRule="exact"/>
        <w:rPr>
          <w:sz w:val="20"/>
          <w:szCs w:val="20"/>
          <w:color w:val="auto"/>
        </w:rPr>
      </w:pPr>
      <w:r>
        <w:rPr>
          <w:rFonts w:ascii="Arial" w:cs="Arial" w:eastAsia="Arial" w:hAnsi="Arial"/>
          <w:sz w:val="11"/>
          <w:szCs w:val="11"/>
          <w:color w:val="auto"/>
        </w:rPr>
        <w:t xml:space="preserve">If an emerging growth company, indicate by check mark if the registranthas elected not to use the extended transition period for complying with any new or revised financial accounting standards provided pursuant to Section 13(a) of the Exchange Act. </w:t>
      </w:r>
      <w:r>
        <w:rPr>
          <w:rFonts w:ascii="MS PGothic" w:cs="MS PGothic" w:eastAsia="MS PGothic" w:hAnsi="MS PGothic"/>
          <w:sz w:val="22"/>
          <w:szCs w:val="22"/>
          <w:color w:val="auto"/>
          <w:vertAlign w:val="superscript"/>
        </w:rPr>
        <w:t>☐</w:t>
      </w:r>
    </w:p>
    <w:p>
      <w:pPr>
        <w:spacing w:after="0" w:line="1" w:lineRule="exact"/>
        <w:rPr>
          <w:sz w:val="24"/>
          <w:szCs w:val="24"/>
          <w:color w:val="auto"/>
        </w:rPr>
      </w:pPr>
    </w:p>
    <w:p>
      <w:pPr>
        <w:jc w:val="both"/>
        <w:ind w:left="920" w:right="659"/>
        <w:spacing w:after="0" w:line="139" w:lineRule="exact"/>
        <w:rPr>
          <w:sz w:val="20"/>
          <w:szCs w:val="20"/>
          <w:color w:val="auto"/>
        </w:rPr>
      </w:pPr>
      <w:r>
        <w:rPr>
          <w:rFonts w:ascii="Arial" w:cs="Arial" w:eastAsia="Arial" w:hAnsi="Arial"/>
          <w:sz w:val="11"/>
          <w:szCs w:val="11"/>
          <w:color w:val="auto"/>
        </w:rPr>
        <w:t xml:space="preserve">Indicate by check mark whether the registrant hasfiled a report on and attestation to itsmanagement’s assessment of the effectiveness of its internal control over financial reporting under Section 404(b) of the Sarbanes-Oxley Act (15 U.S.C.7262(b)) by the registered public accounting firm that prepared or issued its audit report. </w:t>
      </w:r>
      <w:r>
        <w:rPr>
          <w:rFonts w:ascii="MS PGothic" w:cs="MS PGothic" w:eastAsia="MS PGothic" w:hAnsi="MS PGothic"/>
          <w:sz w:val="11"/>
          <w:szCs w:val="11"/>
          <w:color w:val="auto"/>
        </w:rPr>
        <w:t>☐</w:t>
      </w:r>
    </w:p>
    <w:p>
      <w:pPr>
        <w:spacing w:after="0" w:line="43" w:lineRule="exact"/>
        <w:rPr>
          <w:sz w:val="24"/>
          <w:szCs w:val="24"/>
          <w:color w:val="auto"/>
        </w:rPr>
      </w:pPr>
    </w:p>
    <w:p>
      <w:pPr>
        <w:jc w:val="both"/>
        <w:ind w:left="920" w:right="659"/>
        <w:spacing w:after="0" w:line="166" w:lineRule="exact"/>
        <w:rPr>
          <w:sz w:val="20"/>
          <w:szCs w:val="20"/>
          <w:color w:val="auto"/>
        </w:rPr>
      </w:pPr>
      <w:r>
        <w:rPr>
          <w:rFonts w:ascii="Arial" w:cs="Arial" w:eastAsia="Arial" w:hAnsi="Arial"/>
          <w:sz w:val="11"/>
          <w:szCs w:val="1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22"/>
          <w:szCs w:val="22"/>
          <w:color w:val="auto"/>
          <w:vertAlign w:val="superscript"/>
        </w:rPr>
        <w:t>☐</w:t>
      </w:r>
    </w:p>
    <w:p>
      <w:pPr>
        <w:ind w:left="920" w:right="679"/>
        <w:spacing w:after="0" w:line="139" w:lineRule="exact"/>
        <w:rPr>
          <w:sz w:val="20"/>
          <w:szCs w:val="20"/>
          <w:color w:val="auto"/>
        </w:rPr>
      </w:pPr>
      <w:r>
        <w:rPr>
          <w:rFonts w:ascii="Arial" w:cs="Arial" w:eastAsia="Arial" w:hAnsi="Arial"/>
          <w:sz w:val="11"/>
          <w:szCs w:val="1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1"/>
          <w:szCs w:val="11"/>
          <w:color w:val="auto"/>
        </w:rPr>
        <w:t>☐</w:t>
      </w:r>
    </w:p>
    <w:p>
      <w:pPr>
        <w:spacing w:after="0" w:line="14" w:lineRule="exact"/>
        <w:rPr>
          <w:sz w:val="24"/>
          <w:szCs w:val="24"/>
          <w:color w:val="auto"/>
        </w:rPr>
      </w:pPr>
    </w:p>
    <w:p>
      <w:pPr>
        <w:ind w:left="920"/>
        <w:spacing w:after="0" w:line="127" w:lineRule="exact"/>
        <w:rPr>
          <w:sz w:val="20"/>
          <w:szCs w:val="20"/>
          <w:color w:val="auto"/>
        </w:rPr>
      </w:pPr>
      <w:r>
        <w:rPr>
          <w:rFonts w:ascii="Arial" w:cs="Arial" w:eastAsia="Arial" w:hAnsi="Arial"/>
          <w:sz w:val="11"/>
          <w:szCs w:val="11"/>
          <w:color w:val="auto"/>
        </w:rPr>
        <w:t xml:space="preserve">Indicate by check mark whether the registrant is a shell company (as defined in Rule 12b-2 of the Securities Exchange Act of 1934).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94" w:lineRule="exact"/>
        <w:rPr>
          <w:sz w:val="24"/>
          <w:szCs w:val="24"/>
          <w:color w:val="auto"/>
        </w:rPr>
      </w:pPr>
    </w:p>
    <w:p>
      <w:pPr>
        <w:ind w:left="920" w:right="819"/>
        <w:spacing w:after="0" w:line="256" w:lineRule="auto"/>
        <w:rPr>
          <w:sz w:val="20"/>
          <w:szCs w:val="20"/>
          <w:color w:val="auto"/>
        </w:rPr>
      </w:pPr>
      <w:r>
        <w:rPr>
          <w:rFonts w:ascii="Arial" w:cs="Arial" w:eastAsia="Arial" w:hAnsi="Arial"/>
          <w:sz w:val="11"/>
          <w:szCs w:val="11"/>
          <w:color w:val="auto"/>
        </w:rPr>
        <w:t>The aggregate market value of the voting stock held by non-affiliates of the registrant based on the closing price of $ 11.54 per share on June 30, 2022, the last business day of the registrant’s second quarter, was approximately $125.4 million (20,000,753 shares issued and outstanding at such date less shares held by affiliates). Although directorsand executive officers and their affiliates of the Registrant were assumed to be “affiliates” of the Registrant for purposes of the calculation, the classification is not to be interpreted as an admissionof such status.</w:t>
      </w:r>
    </w:p>
    <w:p>
      <w:pPr>
        <w:spacing w:after="0" w:line="26" w:lineRule="exact"/>
        <w:rPr>
          <w:sz w:val="24"/>
          <w:szCs w:val="24"/>
          <w:color w:val="auto"/>
        </w:rPr>
      </w:pPr>
    </w:p>
    <w:p>
      <w:pPr>
        <w:ind w:left="920"/>
        <w:spacing w:after="0"/>
        <w:rPr>
          <w:sz w:val="20"/>
          <w:szCs w:val="20"/>
          <w:color w:val="auto"/>
        </w:rPr>
      </w:pPr>
      <w:r>
        <w:rPr>
          <w:rFonts w:ascii="Arial" w:cs="Arial" w:eastAsia="Arial" w:hAnsi="Arial"/>
          <w:sz w:val="11"/>
          <w:szCs w:val="11"/>
          <w:color w:val="auto"/>
        </w:rPr>
        <w:t>As of March 15, 2023, the registrant had had 19,622,380 shares of Class A Common Stock outstanding.</w:t>
      </w:r>
    </w:p>
    <w:p>
      <w:pPr>
        <w:spacing w:after="0" w:line="41" w:lineRule="exact"/>
        <w:rPr>
          <w:sz w:val="24"/>
          <w:szCs w:val="24"/>
          <w:color w:val="auto"/>
        </w:rPr>
      </w:pPr>
    </w:p>
    <w:p>
      <w:pPr>
        <w:ind w:left="920"/>
        <w:spacing w:after="0"/>
        <w:rPr>
          <w:sz w:val="20"/>
          <w:szCs w:val="20"/>
          <w:color w:val="auto"/>
        </w:rPr>
      </w:pPr>
      <w:r>
        <w:rPr>
          <w:rFonts w:ascii="Arial" w:cs="Arial" w:eastAsia="Arial" w:hAnsi="Arial"/>
          <w:sz w:val="11"/>
          <w:szCs w:val="11"/>
          <w:b w:val="1"/>
          <w:bCs w:val="1"/>
          <w:color w:val="auto"/>
        </w:rPr>
        <w:t>DOCUMENTS INCORPORATED BY REFERENCE</w:t>
      </w:r>
    </w:p>
    <w:p>
      <w:pPr>
        <w:spacing w:after="0" w:line="58" w:lineRule="exact"/>
        <w:rPr>
          <w:sz w:val="24"/>
          <w:szCs w:val="24"/>
          <w:color w:val="auto"/>
        </w:rPr>
      </w:pPr>
    </w:p>
    <w:p>
      <w:pPr>
        <w:ind w:left="900" w:right="699"/>
        <w:spacing w:after="0" w:line="263" w:lineRule="auto"/>
        <w:rPr>
          <w:sz w:val="20"/>
          <w:szCs w:val="20"/>
          <w:color w:val="auto"/>
        </w:rPr>
      </w:pPr>
      <w:r>
        <w:rPr>
          <w:rFonts w:ascii="Arial" w:cs="Arial" w:eastAsia="Arial" w:hAnsi="Arial"/>
          <w:sz w:val="11"/>
          <w:szCs w:val="11"/>
          <w:color w:val="auto"/>
        </w:rPr>
        <w:t>Certain portions of the registrant’s Proxy Statement for the 2023 Annual Meeting of Shareholders (the “2023 Proxy Statement”) are incorporated by reference into Part III of this report.</w:t>
      </w:r>
    </w:p>
    <w:p>
      <w:pPr>
        <w:sectPr>
          <w:pgSz w:w="11900" w:h="16838" w:orient="portrait"/>
          <w:cols w:equalWidth="0" w:num="1">
            <w:col w:w="9019"/>
          </w:cols>
          <w:pgMar w:left="1440" w:top="797" w:right="1440"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EXPLANATORY NOTE</w:t>
      </w:r>
    </w:p>
    <w:p>
      <w:pPr>
        <w:spacing w:after="0" w:line="154" w:lineRule="exact"/>
        <w:rPr>
          <w:sz w:val="20"/>
          <w:szCs w:val="20"/>
          <w:color w:val="auto"/>
        </w:rPr>
      </w:pPr>
    </w:p>
    <w:p>
      <w:pPr>
        <w:ind w:left="660" w:right="559"/>
        <w:spacing w:after="0" w:line="251" w:lineRule="auto"/>
        <w:rPr>
          <w:sz w:val="20"/>
          <w:szCs w:val="20"/>
          <w:color w:val="auto"/>
        </w:rPr>
      </w:pPr>
      <w:r>
        <w:rPr>
          <w:rFonts w:ascii="Arial" w:cs="Arial" w:eastAsia="Arial" w:hAnsi="Arial"/>
          <w:sz w:val="11"/>
          <w:szCs w:val="11"/>
          <w:color w:val="auto"/>
        </w:rPr>
        <w:t>This Amendment No. 1 (“Amendment No. 1”) to the Annual Report on Form 10-K of USCB Financial Holdings, Inc. (the “Company”, “we,” “our” or “us”) for the fiscal year ended December 31, 2022, as filed with the Securities and Exchange Commission (“SEC”) on March 24, 2023 (the “2022 Annual Report” or “Original Report”), is being filed (i) to correct an HTML conversion error in the stock performance graph included in Item 5 of Part II and (ii) to delete the logo of the independent registered public accounting firm that was inadvertently included on more pages than the audit report in the consolidated financial statements included in Item 8 of Part II (none of the financial data contained in the consolidated financial statements and the notes thereto set forth in Item 8 was revised or modified in any way).</w:t>
      </w:r>
    </w:p>
    <w:p>
      <w:pPr>
        <w:spacing w:after="0" w:line="124" w:lineRule="exact"/>
        <w:rPr>
          <w:sz w:val="20"/>
          <w:szCs w:val="20"/>
          <w:color w:val="auto"/>
        </w:rPr>
      </w:pPr>
    </w:p>
    <w:p>
      <w:pPr>
        <w:ind w:left="660" w:right="599"/>
        <w:spacing w:after="0" w:line="253" w:lineRule="auto"/>
        <w:rPr>
          <w:sz w:val="20"/>
          <w:szCs w:val="20"/>
          <w:color w:val="auto"/>
        </w:rPr>
      </w:pPr>
      <w:r>
        <w:rPr>
          <w:rFonts w:ascii="Arial" w:cs="Arial" w:eastAsia="Arial" w:hAnsi="Arial"/>
          <w:sz w:val="11"/>
          <w:szCs w:val="11"/>
          <w:color w:val="auto"/>
        </w:rPr>
        <w:t>In accordance with Rule 12b-15 under the Securities Exchange Act of 1934, as amended, Item 5 and Item 8 of Part II of the 2022 Annual Report are hereby amended and restated in their entirety. In addition, pursuant to Rule 12b-15, the Company is including Item 15 of Part IV with this Amendment No. 1, solely to file the certifications required under Sections 302 and 906 of the Sarbanes-Oxley Act of 2002.</w:t>
      </w:r>
    </w:p>
    <w:p>
      <w:pPr>
        <w:spacing w:after="0" w:line="123" w:lineRule="exact"/>
        <w:rPr>
          <w:sz w:val="20"/>
          <w:szCs w:val="20"/>
          <w:color w:val="auto"/>
        </w:rPr>
      </w:pPr>
    </w:p>
    <w:p>
      <w:pPr>
        <w:ind w:left="660" w:right="559"/>
        <w:spacing w:after="0" w:line="263" w:lineRule="auto"/>
        <w:rPr>
          <w:sz w:val="20"/>
          <w:szCs w:val="20"/>
          <w:color w:val="auto"/>
        </w:rPr>
      </w:pPr>
      <w:r>
        <w:rPr>
          <w:rFonts w:ascii="Arial" w:cs="Arial" w:eastAsia="Arial" w:hAnsi="Arial"/>
          <w:sz w:val="11"/>
          <w:szCs w:val="11"/>
          <w:color w:val="auto"/>
        </w:rPr>
        <w:t>This Amendment No. 1 does not affect any other portion of the 2022 Annual Report. Additionally, except as specifically referenced herein, this Amendment No. 1 does not reflect any event after March 24, 2023, the filing date of the 2022 Annual Report or modify disclosures affected by subsequent events.</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1"/>
          <w:szCs w:val="11"/>
          <w:color w:val="auto"/>
        </w:rPr>
        <w:t>Terms used herein but not otherwise defined in Amendment No. 1 have such meaning ascribed to them in the Original Report.</w:t>
      </w:r>
    </w:p>
    <w:p>
      <w:pPr>
        <w:sectPr>
          <w:pgSz w:w="11900" w:h="16838" w:orient="portrait"/>
          <w:cols w:equalWidth="0" w:num="1">
            <w:col w:w="9019"/>
          </w:cols>
          <w:pgMar w:left="1440" w:top="726" w:right="1440" w:bottom="1440" w:gutter="0" w:footer="0" w:header="0"/>
        </w:sectPr>
      </w:pPr>
    </w:p>
    <w:bookmarkStart w:id="2" w:name="page3"/>
    <w:bookmarkEnd w:id="2"/>
    <w:p>
      <w:pPr>
        <w:jc w:val="center"/>
        <w:ind w:right="-2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FORM 10-K/A</w:t>
      </w:r>
    </w:p>
    <w:p>
      <w:pPr>
        <w:spacing w:after="0" w:line="17" w:lineRule="exact"/>
        <w:rPr>
          <w:sz w:val="20"/>
          <w:szCs w:val="20"/>
          <w:color w:val="auto"/>
        </w:rPr>
      </w:pPr>
    </w:p>
    <w:p>
      <w:pPr>
        <w:jc w:val="center"/>
        <w:ind w:right="-240"/>
        <w:spacing w:after="0"/>
        <w:rPr>
          <w:sz w:val="20"/>
          <w:szCs w:val="20"/>
          <w:color w:val="auto"/>
        </w:rPr>
      </w:pPr>
      <w:r>
        <w:rPr>
          <w:rFonts w:ascii="Arial" w:cs="Arial" w:eastAsia="Arial" w:hAnsi="Arial"/>
          <w:sz w:val="14"/>
          <w:szCs w:val="14"/>
          <w:b w:val="1"/>
          <w:bCs w:val="1"/>
          <w:color w:val="auto"/>
        </w:rPr>
        <w:t>DECEMBER 31, 2022</w:t>
      </w:r>
    </w:p>
    <w:p>
      <w:pPr>
        <w:spacing w:after="0" w:line="152" w:lineRule="exact"/>
        <w:rPr>
          <w:sz w:val="20"/>
          <w:szCs w:val="20"/>
          <w:color w:val="auto"/>
        </w:rPr>
      </w:pPr>
    </w:p>
    <w:p>
      <w:pPr>
        <w:jc w:val="center"/>
        <w:ind w:right="-220"/>
        <w:spacing w:after="0"/>
        <w:rPr>
          <w:sz w:val="20"/>
          <w:szCs w:val="20"/>
          <w:color w:val="auto"/>
        </w:rPr>
      </w:pPr>
      <w:r>
        <w:rPr>
          <w:rFonts w:ascii="Arial" w:cs="Arial" w:eastAsia="Arial" w:hAnsi="Arial"/>
          <w:sz w:val="14"/>
          <w:szCs w:val="14"/>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680" w:type="dxa"/>
            <w:vAlign w:val="bottom"/>
            <w:gridSpan w:val="4"/>
          </w:tcPr>
          <w:p>
            <w:pPr>
              <w:spacing w:after="0"/>
              <w:rPr>
                <w:sz w:val="20"/>
                <w:szCs w:val="20"/>
                <w:color w:val="auto"/>
              </w:rPr>
            </w:pPr>
            <w:r>
              <w:rPr>
                <w:rFonts w:ascii="Arial" w:cs="Arial" w:eastAsia="Arial" w:hAnsi="Arial"/>
                <w:sz w:val="13"/>
                <w:szCs w:val="13"/>
                <w:b w:val="1"/>
                <w:bCs w:val="1"/>
                <w:color w:val="0000FF"/>
              </w:rPr>
              <w:t>PART II</w:t>
            </w: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0000FF"/>
              </w:rPr>
              <w:t>4</w:t>
            </w: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r>
      <w:tr>
        <w:trPr>
          <w:trHeight w:val="268"/>
        </w:trPr>
        <w:tc>
          <w:tcPr>
            <w:tcW w:w="400" w:type="dxa"/>
            <w:vAlign w:val="bottom"/>
          </w:tcPr>
          <w:p>
            <w:pPr>
              <w:spacing w:after="0"/>
              <w:rPr>
                <w:sz w:val="20"/>
                <w:szCs w:val="20"/>
                <w:color w:val="auto"/>
              </w:rPr>
            </w:pPr>
            <w:r>
              <w:rPr>
                <w:rFonts w:ascii="Arial" w:cs="Arial" w:eastAsia="Arial" w:hAnsi="Arial"/>
                <w:sz w:val="13"/>
                <w:szCs w:val="13"/>
                <w:color w:val="0000FF"/>
                <w:w w:val="90"/>
              </w:rPr>
              <w:t>Item 5.</w:t>
            </w:r>
          </w:p>
        </w:tc>
        <w:tc>
          <w:tcPr>
            <w:tcW w:w="280" w:type="dxa"/>
            <w:vAlign w:val="bottom"/>
            <w:gridSpan w:val="3"/>
          </w:tcPr>
          <w:p>
            <w:pPr>
              <w:spacing w:after="0"/>
              <w:rPr>
                <w:sz w:val="23"/>
                <w:szCs w:val="23"/>
                <w:color w:val="auto"/>
              </w:rPr>
            </w:pPr>
          </w:p>
        </w:tc>
        <w:tc>
          <w:tcPr>
            <w:tcW w:w="6320" w:type="dxa"/>
            <w:vAlign w:val="bottom"/>
            <w:gridSpan w:val="10"/>
          </w:tcPr>
          <w:p>
            <w:pPr>
              <w:spacing w:after="0"/>
              <w:rPr>
                <w:sz w:val="20"/>
                <w:szCs w:val="20"/>
                <w:color w:val="auto"/>
              </w:rPr>
            </w:pPr>
            <w:r>
              <w:rPr>
                <w:rFonts w:ascii="Arial" w:cs="Arial" w:eastAsia="Arial" w:hAnsi="Arial"/>
                <w:sz w:val="13"/>
                <w:szCs w:val="13"/>
                <w:color w:val="0000FF"/>
                <w:w w:val="98"/>
              </w:rPr>
              <w:t>Market for Registrant’s Common Equity, Related Stockholder Matters and Issuer Purchases of Equity Securities</w:t>
            </w:r>
          </w:p>
        </w:tc>
        <w:tc>
          <w:tcPr>
            <w:tcW w:w="680" w:type="dxa"/>
            <w:vAlign w:val="bottom"/>
            <w:gridSpan w:val="2"/>
          </w:tcPr>
          <w:p>
            <w:pPr>
              <w:jc w:val="right"/>
              <w:spacing w:after="0"/>
              <w:rPr>
                <w:sz w:val="20"/>
                <w:szCs w:val="20"/>
                <w:color w:val="auto"/>
              </w:rPr>
            </w:pPr>
            <w:r>
              <w:rPr>
                <w:rFonts w:ascii="Arial" w:cs="Arial" w:eastAsia="Arial" w:hAnsi="Arial"/>
                <w:sz w:val="13"/>
                <w:szCs w:val="13"/>
                <w:color w:val="0000FF"/>
              </w:rPr>
              <w:t>4</w:t>
            </w: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r>
      <w:tr>
        <w:trPr>
          <w:trHeight w:val="129"/>
        </w:trPr>
        <w:tc>
          <w:tcPr>
            <w:tcW w:w="400" w:type="dxa"/>
            <w:vAlign w:val="bottom"/>
          </w:tcPr>
          <w:p>
            <w:pPr>
              <w:spacing w:after="0" w:line="129" w:lineRule="exact"/>
              <w:rPr>
                <w:sz w:val="20"/>
                <w:szCs w:val="20"/>
                <w:color w:val="auto"/>
              </w:rPr>
            </w:pPr>
            <w:r>
              <w:rPr>
                <w:rFonts w:ascii="Arial" w:cs="Arial" w:eastAsia="Arial" w:hAnsi="Arial"/>
                <w:sz w:val="13"/>
                <w:szCs w:val="13"/>
                <w:color w:val="0000FF"/>
                <w:w w:val="90"/>
              </w:rPr>
              <w:t>Item 8.</w:t>
            </w:r>
          </w:p>
        </w:tc>
        <w:tc>
          <w:tcPr>
            <w:tcW w:w="280" w:type="dxa"/>
            <w:vAlign w:val="bottom"/>
            <w:gridSpan w:val="3"/>
          </w:tcPr>
          <w:p>
            <w:pPr>
              <w:spacing w:after="0"/>
              <w:rPr>
                <w:sz w:val="11"/>
                <w:szCs w:val="11"/>
                <w:color w:val="auto"/>
              </w:rPr>
            </w:pPr>
          </w:p>
        </w:tc>
        <w:tc>
          <w:tcPr>
            <w:tcW w:w="2660" w:type="dxa"/>
            <w:vAlign w:val="bottom"/>
            <w:gridSpan w:val="6"/>
          </w:tcPr>
          <w:p>
            <w:pPr>
              <w:spacing w:after="0" w:line="129" w:lineRule="exact"/>
              <w:rPr>
                <w:sz w:val="20"/>
                <w:szCs w:val="20"/>
                <w:color w:val="auto"/>
              </w:rPr>
            </w:pPr>
            <w:r>
              <w:rPr>
                <w:rFonts w:ascii="Arial" w:cs="Arial" w:eastAsia="Arial" w:hAnsi="Arial"/>
                <w:sz w:val="13"/>
                <w:szCs w:val="13"/>
                <w:color w:val="0000FF"/>
                <w:w w:val="98"/>
              </w:rPr>
              <w:t>Financial Statements and Supplementary Data</w:t>
            </w:r>
          </w:p>
        </w:tc>
        <w:tc>
          <w:tcPr>
            <w:tcW w:w="3660" w:type="dxa"/>
            <w:vAlign w:val="bottom"/>
            <w:gridSpan w:val="4"/>
          </w:tcPr>
          <w:p>
            <w:pPr>
              <w:spacing w:after="0"/>
              <w:rPr>
                <w:sz w:val="11"/>
                <w:szCs w:val="11"/>
                <w:color w:val="auto"/>
              </w:rPr>
            </w:pPr>
          </w:p>
        </w:tc>
        <w:tc>
          <w:tcPr>
            <w:tcW w:w="680" w:type="dxa"/>
            <w:vAlign w:val="bottom"/>
            <w:gridSpan w:val="2"/>
          </w:tcPr>
          <w:p>
            <w:pPr>
              <w:jc w:val="right"/>
              <w:spacing w:after="0" w:line="129" w:lineRule="exact"/>
              <w:rPr>
                <w:sz w:val="20"/>
                <w:szCs w:val="20"/>
                <w:color w:val="auto"/>
              </w:rPr>
            </w:pPr>
            <w:r>
              <w:rPr>
                <w:rFonts w:ascii="Arial" w:cs="Arial" w:eastAsia="Arial" w:hAnsi="Arial"/>
                <w:sz w:val="13"/>
                <w:szCs w:val="13"/>
                <w:color w:val="0000FF"/>
              </w:rPr>
              <w:t>6</w:t>
            </w:r>
          </w:p>
        </w:tc>
      </w:tr>
      <w:tr>
        <w:trPr>
          <w:trHeight w:val="20"/>
        </w:trPr>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r>
      <w:tr>
        <w:trPr>
          <w:trHeight w:val="129"/>
        </w:trPr>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60" w:type="dxa"/>
            <w:vAlign w:val="bottom"/>
            <w:gridSpan w:val="6"/>
          </w:tcPr>
          <w:p>
            <w:pPr>
              <w:spacing w:after="0" w:line="129" w:lineRule="exact"/>
              <w:rPr>
                <w:sz w:val="20"/>
                <w:szCs w:val="20"/>
                <w:color w:val="auto"/>
              </w:rPr>
            </w:pPr>
            <w:r>
              <w:rPr>
                <w:rFonts w:ascii="Arial" w:cs="Arial" w:eastAsia="Arial" w:hAnsi="Arial"/>
                <w:sz w:val="13"/>
                <w:szCs w:val="13"/>
                <w:color w:val="0000FF"/>
              </w:rPr>
              <w:t>Consolidated Balance Sheets</w:t>
            </w:r>
          </w:p>
        </w:tc>
        <w:tc>
          <w:tcPr>
            <w:tcW w:w="3660" w:type="dxa"/>
            <w:vAlign w:val="bottom"/>
            <w:gridSpan w:val="4"/>
          </w:tcPr>
          <w:p>
            <w:pPr>
              <w:spacing w:after="0"/>
              <w:rPr>
                <w:sz w:val="11"/>
                <w:szCs w:val="11"/>
                <w:color w:val="auto"/>
              </w:rPr>
            </w:pPr>
          </w:p>
        </w:tc>
        <w:tc>
          <w:tcPr>
            <w:tcW w:w="680" w:type="dxa"/>
            <w:vAlign w:val="bottom"/>
            <w:gridSpan w:val="2"/>
          </w:tcPr>
          <w:p>
            <w:pPr>
              <w:jc w:val="right"/>
              <w:spacing w:after="0" w:line="129" w:lineRule="exact"/>
              <w:rPr>
                <w:sz w:val="20"/>
                <w:szCs w:val="20"/>
                <w:color w:val="auto"/>
              </w:rPr>
            </w:pPr>
            <w:r>
              <w:rPr>
                <w:rFonts w:ascii="Arial" w:cs="Arial" w:eastAsia="Arial" w:hAnsi="Arial"/>
                <w:sz w:val="13"/>
                <w:szCs w:val="13"/>
                <w:color w:val="0000FF"/>
              </w:rPr>
              <w:t>8</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r>
      <w:tr>
        <w:trPr>
          <w:trHeight w:val="129"/>
        </w:trPr>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320" w:type="dxa"/>
            <w:vAlign w:val="bottom"/>
            <w:gridSpan w:val="10"/>
          </w:tcPr>
          <w:p>
            <w:pPr>
              <w:spacing w:after="0" w:line="129" w:lineRule="exact"/>
              <w:rPr>
                <w:sz w:val="20"/>
                <w:szCs w:val="20"/>
                <w:color w:val="auto"/>
              </w:rPr>
            </w:pPr>
            <w:r>
              <w:rPr>
                <w:rFonts w:ascii="Arial" w:cs="Arial" w:eastAsia="Arial" w:hAnsi="Arial"/>
                <w:sz w:val="13"/>
                <w:szCs w:val="13"/>
                <w:color w:val="0000FF"/>
              </w:rPr>
              <w:t>Consolidated Statements of Operations</w:t>
            </w:r>
          </w:p>
        </w:tc>
        <w:tc>
          <w:tcPr>
            <w:tcW w:w="680" w:type="dxa"/>
            <w:vAlign w:val="bottom"/>
            <w:gridSpan w:val="2"/>
          </w:tcPr>
          <w:p>
            <w:pPr>
              <w:jc w:val="right"/>
              <w:spacing w:after="0" w:line="129" w:lineRule="exact"/>
              <w:rPr>
                <w:sz w:val="20"/>
                <w:szCs w:val="20"/>
                <w:color w:val="auto"/>
              </w:rPr>
            </w:pPr>
            <w:r>
              <w:rPr>
                <w:rFonts w:ascii="Arial" w:cs="Arial" w:eastAsia="Arial" w:hAnsi="Arial"/>
                <w:sz w:val="13"/>
                <w:szCs w:val="13"/>
                <w:color w:val="0000FF"/>
              </w:rPr>
              <w:t>9</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r>
      <w:tr>
        <w:trPr>
          <w:trHeight w:val="129"/>
        </w:trPr>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360" w:type="dxa"/>
            <w:vAlign w:val="bottom"/>
            <w:tcBorders>
              <w:bottom w:val="single" w:sz="8" w:color="0000FF"/>
            </w:tcBorders>
            <w:gridSpan w:val="8"/>
          </w:tcPr>
          <w:p>
            <w:pPr>
              <w:spacing w:after="0" w:line="129" w:lineRule="exact"/>
              <w:rPr>
                <w:sz w:val="20"/>
                <w:szCs w:val="20"/>
                <w:color w:val="auto"/>
              </w:rPr>
            </w:pPr>
            <w:r>
              <w:rPr>
                <w:rFonts w:ascii="Arial" w:cs="Arial" w:eastAsia="Arial" w:hAnsi="Arial"/>
                <w:sz w:val="13"/>
                <w:szCs w:val="13"/>
                <w:color w:val="0000FF"/>
                <w:w w:val="98"/>
              </w:rPr>
              <w:t>Consolidated Statements of Comprehensive Income (Loss)</w:t>
            </w:r>
          </w:p>
        </w:tc>
        <w:tc>
          <w:tcPr>
            <w:tcW w:w="2960" w:type="dxa"/>
            <w:vAlign w:val="bottom"/>
            <w:gridSpan w:val="2"/>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Borders>
              <w:bottom w:val="single" w:sz="8" w:color="0000FF"/>
            </w:tcBorders>
          </w:tcPr>
          <w:p>
            <w:pPr>
              <w:jc w:val="right"/>
              <w:spacing w:after="0" w:line="129" w:lineRule="exact"/>
              <w:rPr>
                <w:sz w:val="20"/>
                <w:szCs w:val="20"/>
                <w:color w:val="auto"/>
              </w:rPr>
            </w:pPr>
            <w:r>
              <w:rPr>
                <w:rFonts w:ascii="Arial" w:cs="Arial" w:eastAsia="Arial" w:hAnsi="Arial"/>
                <w:sz w:val="13"/>
                <w:szCs w:val="13"/>
                <w:color w:val="0000FF"/>
                <w:w w:val="82"/>
              </w:rPr>
              <w:t>10</w:t>
            </w:r>
          </w:p>
        </w:tc>
      </w:tr>
      <w:tr>
        <w:trPr>
          <w:trHeight w:val="119"/>
        </w:trPr>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60" w:type="dxa"/>
            <w:vAlign w:val="bottom"/>
            <w:tcBorders>
              <w:bottom w:val="single" w:sz="8" w:color="0000FF"/>
            </w:tcBorders>
            <w:gridSpan w:val="9"/>
          </w:tcPr>
          <w:p>
            <w:pPr>
              <w:spacing w:after="0" w:line="119" w:lineRule="exact"/>
              <w:rPr>
                <w:sz w:val="20"/>
                <w:szCs w:val="20"/>
                <w:color w:val="auto"/>
              </w:rPr>
            </w:pPr>
            <w:r>
              <w:rPr>
                <w:rFonts w:ascii="Arial" w:cs="Arial" w:eastAsia="Arial" w:hAnsi="Arial"/>
                <w:sz w:val="13"/>
                <w:szCs w:val="13"/>
                <w:color w:val="0000FF"/>
                <w:w w:val="98"/>
              </w:rPr>
              <w:t>Consolidated Statements of Changes in Stockholders’ Equity</w:t>
            </w:r>
          </w:p>
        </w:tc>
        <w:tc>
          <w:tcPr>
            <w:tcW w:w="28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Borders>
              <w:bottom w:val="single" w:sz="8" w:color="0000FF"/>
            </w:tcBorders>
          </w:tcPr>
          <w:p>
            <w:pPr>
              <w:jc w:val="right"/>
              <w:spacing w:after="0" w:line="119" w:lineRule="exact"/>
              <w:rPr>
                <w:sz w:val="20"/>
                <w:szCs w:val="20"/>
                <w:color w:val="auto"/>
              </w:rPr>
            </w:pPr>
            <w:r>
              <w:rPr>
                <w:rFonts w:ascii="Arial" w:cs="Arial" w:eastAsia="Arial" w:hAnsi="Arial"/>
                <w:sz w:val="13"/>
                <w:szCs w:val="13"/>
                <w:color w:val="0000FF"/>
                <w:w w:val="82"/>
              </w:rPr>
              <w:t>11</w:t>
            </w:r>
          </w:p>
        </w:tc>
      </w:tr>
      <w:tr>
        <w:trPr>
          <w:trHeight w:val="129"/>
        </w:trPr>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320" w:type="dxa"/>
            <w:vAlign w:val="bottom"/>
            <w:gridSpan w:val="10"/>
          </w:tcPr>
          <w:p>
            <w:pPr>
              <w:spacing w:after="0" w:line="129" w:lineRule="exact"/>
              <w:rPr>
                <w:sz w:val="20"/>
                <w:szCs w:val="20"/>
                <w:color w:val="auto"/>
              </w:rPr>
            </w:pPr>
            <w:r>
              <w:rPr>
                <w:rFonts w:ascii="Arial" w:cs="Arial" w:eastAsia="Arial" w:hAnsi="Arial"/>
                <w:sz w:val="13"/>
                <w:szCs w:val="13"/>
                <w:color w:val="0000FF"/>
              </w:rPr>
              <w:t>Consolidated Statements of Cash Flows</w:t>
            </w:r>
          </w:p>
        </w:tc>
        <w:tc>
          <w:tcPr>
            <w:tcW w:w="680" w:type="dxa"/>
            <w:vAlign w:val="bottom"/>
            <w:gridSpan w:val="2"/>
          </w:tcPr>
          <w:p>
            <w:pPr>
              <w:jc w:val="right"/>
              <w:spacing w:after="0" w:line="129" w:lineRule="exact"/>
              <w:rPr>
                <w:sz w:val="20"/>
                <w:szCs w:val="20"/>
                <w:color w:val="auto"/>
              </w:rPr>
            </w:pPr>
            <w:r>
              <w:rPr>
                <w:rFonts w:ascii="Arial" w:cs="Arial" w:eastAsia="Arial" w:hAnsi="Arial"/>
                <w:sz w:val="13"/>
                <w:szCs w:val="13"/>
                <w:color w:val="0000FF"/>
              </w:rPr>
              <w:t>12</w:t>
            </w:r>
          </w:p>
        </w:tc>
      </w:tr>
      <w:tr>
        <w:trPr>
          <w:trHeight w:val="20"/>
        </w:trPr>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r>
      <w:tr>
        <w:trPr>
          <w:trHeight w:val="129"/>
        </w:trPr>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720" w:type="dxa"/>
            <w:vAlign w:val="bottom"/>
            <w:tcBorders>
              <w:bottom w:val="single" w:sz="8" w:color="0000FF"/>
            </w:tcBorders>
            <w:gridSpan w:val="7"/>
          </w:tcPr>
          <w:p>
            <w:pPr>
              <w:spacing w:after="0" w:line="129" w:lineRule="exact"/>
              <w:rPr>
                <w:sz w:val="20"/>
                <w:szCs w:val="20"/>
                <w:color w:val="auto"/>
              </w:rPr>
            </w:pPr>
            <w:r>
              <w:rPr>
                <w:rFonts w:ascii="Arial" w:cs="Arial" w:eastAsia="Arial" w:hAnsi="Arial"/>
                <w:sz w:val="13"/>
                <w:szCs w:val="13"/>
                <w:color w:val="0000FF"/>
                <w:w w:val="98"/>
              </w:rPr>
              <w:t>Notes to the Consolidated Financial Statements</w:t>
            </w:r>
          </w:p>
        </w:tc>
        <w:tc>
          <w:tcPr>
            <w:tcW w:w="3600" w:type="dxa"/>
            <w:vAlign w:val="bottom"/>
            <w:gridSpan w:val="3"/>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Borders>
              <w:bottom w:val="single" w:sz="8" w:color="0000FF"/>
            </w:tcBorders>
          </w:tcPr>
          <w:p>
            <w:pPr>
              <w:jc w:val="right"/>
              <w:spacing w:after="0" w:line="129" w:lineRule="exact"/>
              <w:rPr>
                <w:sz w:val="20"/>
                <w:szCs w:val="20"/>
                <w:color w:val="auto"/>
              </w:rPr>
            </w:pPr>
            <w:r>
              <w:rPr>
                <w:rFonts w:ascii="Arial" w:cs="Arial" w:eastAsia="Arial" w:hAnsi="Arial"/>
                <w:sz w:val="13"/>
                <w:szCs w:val="13"/>
                <w:color w:val="0000FF"/>
                <w:w w:val="82"/>
              </w:rPr>
              <w:t>14</w:t>
            </w:r>
          </w:p>
        </w:tc>
      </w:tr>
      <w:tr>
        <w:trPr>
          <w:trHeight w:val="279"/>
        </w:trPr>
        <w:tc>
          <w:tcPr>
            <w:tcW w:w="500" w:type="dxa"/>
            <w:vAlign w:val="bottom"/>
            <w:tcBorders>
              <w:bottom w:val="single" w:sz="8" w:color="0000FF"/>
            </w:tcBorders>
            <w:gridSpan w:val="3"/>
          </w:tcPr>
          <w:p>
            <w:pPr>
              <w:spacing w:after="0"/>
              <w:rPr>
                <w:sz w:val="20"/>
                <w:szCs w:val="20"/>
                <w:color w:val="auto"/>
              </w:rPr>
            </w:pPr>
            <w:r>
              <w:rPr>
                <w:rFonts w:ascii="Arial" w:cs="Arial" w:eastAsia="Arial" w:hAnsi="Arial"/>
                <w:sz w:val="13"/>
                <w:szCs w:val="13"/>
                <w:b w:val="1"/>
                <w:bCs w:val="1"/>
                <w:color w:val="0000FF"/>
                <w:w w:val="93"/>
              </w:rPr>
              <w:t>PART IV</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Borders>
              <w:bottom w:val="single" w:sz="8" w:color="0000FF"/>
            </w:tcBorders>
          </w:tcPr>
          <w:p>
            <w:pPr>
              <w:jc w:val="right"/>
              <w:spacing w:after="0"/>
              <w:rPr>
                <w:sz w:val="20"/>
                <w:szCs w:val="20"/>
                <w:color w:val="auto"/>
              </w:rPr>
            </w:pPr>
            <w:r>
              <w:rPr>
                <w:rFonts w:ascii="Arial" w:cs="Arial" w:eastAsia="Arial" w:hAnsi="Arial"/>
                <w:sz w:val="13"/>
                <w:szCs w:val="13"/>
                <w:color w:val="0000FF"/>
                <w:w w:val="82"/>
              </w:rPr>
              <w:t>50</w:t>
            </w:r>
          </w:p>
        </w:tc>
      </w:tr>
      <w:tr>
        <w:trPr>
          <w:trHeight w:val="268"/>
        </w:trPr>
        <w:tc>
          <w:tcPr>
            <w:tcW w:w="680" w:type="dxa"/>
            <w:vAlign w:val="bottom"/>
            <w:gridSpan w:val="4"/>
          </w:tcPr>
          <w:p>
            <w:pPr>
              <w:spacing w:after="0"/>
              <w:rPr>
                <w:sz w:val="20"/>
                <w:szCs w:val="20"/>
                <w:color w:val="auto"/>
              </w:rPr>
            </w:pPr>
            <w:r>
              <w:rPr>
                <w:rFonts w:ascii="Arial" w:cs="Arial" w:eastAsia="Arial" w:hAnsi="Arial"/>
                <w:sz w:val="13"/>
                <w:szCs w:val="13"/>
                <w:color w:val="0000FF"/>
              </w:rPr>
              <w:t>Item 15.</w:t>
            </w:r>
          </w:p>
        </w:tc>
        <w:tc>
          <w:tcPr>
            <w:tcW w:w="6320" w:type="dxa"/>
            <w:vAlign w:val="bottom"/>
            <w:gridSpan w:val="10"/>
          </w:tcPr>
          <w:p>
            <w:pPr>
              <w:spacing w:after="0"/>
              <w:rPr>
                <w:sz w:val="20"/>
                <w:szCs w:val="20"/>
                <w:color w:val="auto"/>
              </w:rPr>
            </w:pPr>
            <w:r>
              <w:rPr>
                <w:rFonts w:ascii="Arial" w:cs="Arial" w:eastAsia="Arial" w:hAnsi="Arial"/>
                <w:sz w:val="13"/>
                <w:szCs w:val="13"/>
                <w:color w:val="0000FF"/>
              </w:rPr>
              <w:t>Exhibit and Financial Statement Schedules</w:t>
            </w:r>
          </w:p>
        </w:tc>
        <w:tc>
          <w:tcPr>
            <w:tcW w:w="680" w:type="dxa"/>
            <w:vAlign w:val="bottom"/>
            <w:gridSpan w:val="2"/>
          </w:tcPr>
          <w:p>
            <w:pPr>
              <w:jc w:val="right"/>
              <w:spacing w:after="0"/>
              <w:rPr>
                <w:sz w:val="20"/>
                <w:szCs w:val="20"/>
                <w:color w:val="auto"/>
              </w:rPr>
            </w:pPr>
            <w:r>
              <w:rPr>
                <w:rFonts w:ascii="Arial" w:cs="Arial" w:eastAsia="Arial" w:hAnsi="Arial"/>
                <w:sz w:val="13"/>
                <w:szCs w:val="13"/>
                <w:color w:val="0000FF"/>
              </w:rPr>
              <w:t>50</w:t>
            </w:r>
          </w:p>
        </w:tc>
      </w:tr>
      <w:tr>
        <w:trPr>
          <w:trHeight w:val="129"/>
        </w:trPr>
        <w:tc>
          <w:tcPr>
            <w:tcW w:w="40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Borders>
              <w:top w:val="single" w:sz="8" w:color="0000FF"/>
              <w:bottom w:val="single" w:sz="8" w:color="0000FF"/>
            </w:tcBorders>
          </w:tcPr>
          <w:p>
            <w:pPr>
              <w:spacing w:after="0" w:line="129" w:lineRule="exact"/>
              <w:rPr>
                <w:sz w:val="20"/>
                <w:szCs w:val="20"/>
                <w:color w:val="auto"/>
              </w:rPr>
            </w:pPr>
            <w:r>
              <w:rPr>
                <w:rFonts w:ascii="Arial" w:cs="Arial" w:eastAsia="Arial" w:hAnsi="Arial"/>
                <w:sz w:val="13"/>
                <w:szCs w:val="13"/>
                <w:color w:val="0000FF"/>
                <w:w w:val="96"/>
              </w:rPr>
              <w:t>Exhibit Index</w:t>
            </w:r>
          </w:p>
        </w:tc>
        <w:tc>
          <w:tcPr>
            <w:tcW w:w="1700" w:type="dxa"/>
            <w:vAlign w:val="bottom"/>
            <w:tcBorders>
              <w:top w:val="single" w:sz="8" w:color="0000FF"/>
            </w:tcBorders>
            <w:gridSpan w:val="4"/>
          </w:tcPr>
          <w:p>
            <w:pPr>
              <w:spacing w:after="0"/>
              <w:rPr>
                <w:sz w:val="11"/>
                <w:szCs w:val="11"/>
                <w:color w:val="auto"/>
              </w:rPr>
            </w:pPr>
          </w:p>
        </w:tc>
        <w:tc>
          <w:tcPr>
            <w:tcW w:w="3880" w:type="dxa"/>
            <w:vAlign w:val="bottom"/>
            <w:gridSpan w:val="5"/>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Borders>
              <w:top w:val="single" w:sz="8" w:color="0000FF"/>
              <w:bottom w:val="single" w:sz="8" w:color="0000FF"/>
            </w:tcBorders>
          </w:tcPr>
          <w:p>
            <w:pPr>
              <w:jc w:val="right"/>
              <w:spacing w:after="0" w:line="129" w:lineRule="exact"/>
              <w:rPr>
                <w:sz w:val="20"/>
                <w:szCs w:val="20"/>
                <w:color w:val="auto"/>
              </w:rPr>
            </w:pPr>
            <w:r>
              <w:rPr>
                <w:rFonts w:ascii="Arial" w:cs="Arial" w:eastAsia="Arial" w:hAnsi="Arial"/>
                <w:sz w:val="13"/>
                <w:szCs w:val="13"/>
                <w:color w:val="0000FF"/>
                <w:w w:val="82"/>
              </w:rPr>
              <w:t>51</w:t>
            </w:r>
          </w:p>
        </w:tc>
      </w:tr>
    </w:tbl>
    <w:p>
      <w:pPr>
        <w:spacing w:after="0" w:line="162" w:lineRule="exact"/>
        <w:rPr>
          <w:sz w:val="20"/>
          <w:szCs w:val="20"/>
          <w:color w:val="auto"/>
        </w:rPr>
      </w:pPr>
    </w:p>
    <w:p>
      <w:pPr>
        <w:ind w:left="1340"/>
        <w:spacing w:after="0"/>
        <w:rPr>
          <w:sz w:val="20"/>
          <w:szCs w:val="20"/>
          <w:color w:val="auto"/>
        </w:rPr>
      </w:pPr>
      <w:r>
        <w:rPr>
          <w:rFonts w:ascii="Arial" w:cs="Arial" w:eastAsia="Arial" w:hAnsi="Arial"/>
          <w:sz w:val="13"/>
          <w:szCs w:val="13"/>
          <w:u w:val="single" w:color="auto"/>
          <w:color w:val="0000FF"/>
        </w:rPr>
        <w:t>Signatures</w:t>
      </w:r>
    </w:p>
    <w:p>
      <w:pPr>
        <w:sectPr>
          <w:pgSz w:w="11900" w:h="16838" w:orient="portrait"/>
          <w:cols w:equalWidth="0" w:num="1">
            <w:col w:w="9019"/>
          </w:cols>
          <w:pgMar w:left="1440" w:top="1434" w:right="1440" w:bottom="1440" w:gutter="0" w:footer="0" w:header="0"/>
        </w:sectPr>
      </w:pPr>
    </w:p>
    <w:bookmarkStart w:id="3" w:name="page4"/>
    <w:bookmarkEnd w:id="3"/>
    <w:p>
      <w:pPr>
        <w:ind w:left="6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PART II</w:t>
      </w:r>
    </w:p>
    <w:p>
      <w:pPr>
        <w:spacing w:after="0" w:line="170" w:lineRule="exact"/>
        <w:rPr>
          <w:sz w:val="20"/>
          <w:szCs w:val="20"/>
          <w:color w:val="auto"/>
        </w:rPr>
      </w:pPr>
    </w:p>
    <w:p>
      <w:pPr>
        <w:ind w:left="1180" w:right="699" w:hanging="511"/>
        <w:spacing w:after="0" w:line="279" w:lineRule="auto"/>
        <w:rPr>
          <w:sz w:val="20"/>
          <w:szCs w:val="20"/>
          <w:color w:val="auto"/>
        </w:rPr>
      </w:pPr>
      <w:r>
        <w:rPr>
          <w:rFonts w:ascii="Arial" w:cs="Arial" w:eastAsia="Arial" w:hAnsi="Arial"/>
          <w:sz w:val="14"/>
          <w:szCs w:val="14"/>
          <w:b w:val="1"/>
          <w:bCs w:val="1"/>
          <w:color w:val="auto"/>
        </w:rPr>
        <w:t>Item 5. Market for Registrant’s Common Equity, Related Stockholder Matters and Issuer Purchases of Equity Securities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Market Information</w:t>
      </w:r>
    </w:p>
    <w:p>
      <w:pPr>
        <w:spacing w:after="0" w:line="188"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In July 2021, the Bank’s Class A common stock began trading on the Nasdaq Stock Market under ticker symbol “USCB”. The listing of our Class A common stock on the Nasdaq Stock Market has resulted in a more active trading market for our Class A common stock. However, we cannot assure that a liquid trading market for our Class A common stock will be sustained.</w:t>
      </w:r>
    </w:p>
    <w:p>
      <w:pPr>
        <w:spacing w:after="0" w:line="145"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Effective December 30, 2021, the bank holding company, or the Company, acquired all issued and outstanding shares of Class A common stock of the Bank. Each of the outstanding shares of the Bank’s common stock formerly held by its shareholders was converted into and exchanged for one newly issued share of the Company’s common stock. The ticker symbol “USCB” remained the same.</w:t>
      </w:r>
    </w:p>
    <w:p>
      <w:pPr>
        <w:spacing w:after="0" w:line="156" w:lineRule="exact"/>
        <w:rPr>
          <w:sz w:val="20"/>
          <w:szCs w:val="20"/>
          <w:color w:val="auto"/>
        </w:rPr>
      </w:pPr>
    </w:p>
    <w:p>
      <w:pPr>
        <w:jc w:val="both"/>
        <w:ind w:left="660" w:right="699" w:firstLine="256"/>
        <w:spacing w:after="0" w:line="253" w:lineRule="auto"/>
        <w:rPr>
          <w:sz w:val="20"/>
          <w:szCs w:val="20"/>
          <w:color w:val="auto"/>
        </w:rPr>
      </w:pPr>
      <w:r>
        <w:rPr>
          <w:rFonts w:ascii="Arial" w:cs="Arial" w:eastAsia="Arial" w:hAnsi="Arial"/>
          <w:sz w:val="14"/>
          <w:szCs w:val="14"/>
          <w:color w:val="auto"/>
        </w:rPr>
        <w:t>Prior to our listing on the Nasdaq Stock Market there was not an established public trading market for the Class A common shares. The following table shows the quarterly high and low closing prices of our Class A common stock traded on the Nasdaq Stock Market since going public on July 23, 2021:</w:t>
      </w:r>
    </w:p>
    <w:p>
      <w:pPr>
        <w:spacing w:after="0" w:line="149" w:lineRule="exact"/>
        <w:rPr>
          <w:sz w:val="20"/>
          <w:szCs w:val="20"/>
          <w:color w:val="auto"/>
        </w:rPr>
      </w:pPr>
    </w:p>
    <w:tbl>
      <w:tblPr>
        <w:tblLayout w:type="fixed"/>
        <w:tblInd w:w="660" w:type="dxa"/>
        <w:tblCellMar>
          <w:top w:w="0" w:type="dxa"/>
          <w:left w:w="0" w:type="dxa"/>
          <w:bottom w:w="0" w:type="dxa"/>
          <w:right w:w="0" w:type="dxa"/>
        </w:tblCellMar>
      </w:tblPr>
      <w:tr>
        <w:trPr>
          <w:trHeight w:val="164"/>
        </w:trPr>
        <w:tc>
          <w:tcPr>
            <w:tcW w:w="47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3"/>
                <w:szCs w:val="13"/>
                <w:b w:val="1"/>
                <w:bCs w:val="1"/>
                <w:color w:val="auto"/>
              </w:rPr>
              <w:t>Stock Price</w:t>
            </w:r>
          </w:p>
        </w:tc>
        <w:tc>
          <w:tcPr>
            <w:tcW w:w="10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51"/>
        </w:trPr>
        <w:tc>
          <w:tcPr>
            <w:tcW w:w="47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3"/>
                <w:szCs w:val="13"/>
                <w:b w:val="1"/>
                <w:bCs w:val="1"/>
                <w:color w:val="auto"/>
              </w:rPr>
              <w:t>High</w:t>
            </w: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36"/>
              <w:spacing w:after="0"/>
              <w:rPr>
                <w:sz w:val="20"/>
                <w:szCs w:val="20"/>
                <w:color w:val="auto"/>
              </w:rPr>
            </w:pPr>
            <w:r>
              <w:rPr>
                <w:rFonts w:ascii="Arial" w:cs="Arial" w:eastAsia="Arial" w:hAnsi="Arial"/>
                <w:sz w:val="13"/>
                <w:szCs w:val="13"/>
                <w:b w:val="1"/>
                <w:bCs w:val="1"/>
                <w:color w:val="auto"/>
              </w:rPr>
              <w:t>Low</w:t>
            </w:r>
          </w:p>
        </w:tc>
        <w:tc>
          <w:tcPr>
            <w:tcW w:w="20" w:type="dxa"/>
            <w:vAlign w:val="bottom"/>
          </w:tcPr>
          <w:p>
            <w:pPr>
              <w:spacing w:after="0"/>
              <w:rPr>
                <w:sz w:val="13"/>
                <w:szCs w:val="13"/>
                <w:color w:val="auto"/>
              </w:rPr>
            </w:pPr>
          </w:p>
        </w:tc>
      </w:tr>
      <w:tr>
        <w:trPr>
          <w:trHeight w:val="151"/>
        </w:trPr>
        <w:tc>
          <w:tcPr>
            <w:tcW w:w="4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Quarter Ended:</w:t>
            </w: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4700" w:type="dxa"/>
            <w:vAlign w:val="bottom"/>
          </w:tcPr>
          <w:p>
            <w:pPr>
              <w:ind w:left="100"/>
              <w:spacing w:after="0"/>
              <w:rPr>
                <w:sz w:val="20"/>
                <w:szCs w:val="20"/>
                <w:color w:val="auto"/>
              </w:rPr>
            </w:pPr>
            <w:r>
              <w:rPr>
                <w:rFonts w:ascii="Arial" w:cs="Arial" w:eastAsia="Arial" w:hAnsi="Arial"/>
                <w:sz w:val="13"/>
                <w:szCs w:val="13"/>
                <w:color w:val="auto"/>
              </w:rPr>
              <w:t>September 30, 2021</w:t>
            </w: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13.91</w:t>
            </w:r>
          </w:p>
        </w:tc>
        <w:tc>
          <w:tcPr>
            <w:tcW w:w="520" w:type="dxa"/>
            <w:vAlign w:val="bottom"/>
            <w:gridSpan w:val="3"/>
          </w:tcPr>
          <w:p>
            <w:pPr>
              <w:jc w:val="right"/>
              <w:ind w:right="38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10.57</w:t>
            </w:r>
          </w:p>
        </w:tc>
        <w:tc>
          <w:tcPr>
            <w:tcW w:w="20" w:type="dxa"/>
            <w:vAlign w:val="bottom"/>
          </w:tcPr>
          <w:p>
            <w:pPr>
              <w:spacing w:after="0"/>
              <w:rPr>
                <w:sz w:val="14"/>
                <w:szCs w:val="14"/>
                <w:color w:val="auto"/>
              </w:rPr>
            </w:pPr>
          </w:p>
        </w:tc>
      </w:tr>
      <w:tr>
        <w:trPr>
          <w:trHeight w:val="171"/>
        </w:trPr>
        <w:tc>
          <w:tcPr>
            <w:tcW w:w="47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December 31, 2021</w:t>
            </w: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15.89</w:t>
            </w:r>
          </w:p>
        </w:tc>
        <w:tc>
          <w:tcPr>
            <w:tcW w:w="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12.30</w:t>
            </w:r>
          </w:p>
        </w:tc>
        <w:tc>
          <w:tcPr>
            <w:tcW w:w="20" w:type="dxa"/>
            <w:vAlign w:val="bottom"/>
            <w:shd w:val="clear" w:color="auto" w:fill="CCEEFF"/>
          </w:tcPr>
          <w:p>
            <w:pPr>
              <w:spacing w:after="0"/>
              <w:rPr>
                <w:sz w:val="14"/>
                <w:szCs w:val="14"/>
                <w:color w:val="auto"/>
              </w:rPr>
            </w:pPr>
          </w:p>
        </w:tc>
      </w:tr>
      <w:tr>
        <w:trPr>
          <w:trHeight w:val="171"/>
        </w:trPr>
        <w:tc>
          <w:tcPr>
            <w:tcW w:w="4700" w:type="dxa"/>
            <w:vAlign w:val="bottom"/>
          </w:tcPr>
          <w:p>
            <w:pPr>
              <w:ind w:left="100"/>
              <w:spacing w:after="0"/>
              <w:rPr>
                <w:sz w:val="20"/>
                <w:szCs w:val="20"/>
                <w:color w:val="auto"/>
              </w:rPr>
            </w:pPr>
            <w:r>
              <w:rPr>
                <w:rFonts w:ascii="Arial" w:cs="Arial" w:eastAsia="Arial" w:hAnsi="Arial"/>
                <w:sz w:val="13"/>
                <w:szCs w:val="13"/>
                <w:color w:val="auto"/>
              </w:rPr>
              <w:t>March 31, 2022</w:t>
            </w: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15.49</w:t>
            </w:r>
          </w:p>
        </w:tc>
        <w:tc>
          <w:tcPr>
            <w:tcW w:w="520" w:type="dxa"/>
            <w:vAlign w:val="bottom"/>
            <w:gridSpan w:val="3"/>
          </w:tcPr>
          <w:p>
            <w:pPr>
              <w:jc w:val="right"/>
              <w:ind w:right="38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13.30</w:t>
            </w:r>
          </w:p>
        </w:tc>
        <w:tc>
          <w:tcPr>
            <w:tcW w:w="20" w:type="dxa"/>
            <w:vAlign w:val="bottom"/>
          </w:tcPr>
          <w:p>
            <w:pPr>
              <w:spacing w:after="0"/>
              <w:rPr>
                <w:sz w:val="14"/>
                <w:szCs w:val="14"/>
                <w:color w:val="auto"/>
              </w:rPr>
            </w:pPr>
          </w:p>
        </w:tc>
      </w:tr>
      <w:tr>
        <w:trPr>
          <w:trHeight w:val="171"/>
        </w:trPr>
        <w:tc>
          <w:tcPr>
            <w:tcW w:w="47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June 30, 2022</w:t>
            </w: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14.84</w:t>
            </w:r>
          </w:p>
        </w:tc>
        <w:tc>
          <w:tcPr>
            <w:tcW w:w="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11.21</w:t>
            </w:r>
          </w:p>
        </w:tc>
        <w:tc>
          <w:tcPr>
            <w:tcW w:w="20" w:type="dxa"/>
            <w:vAlign w:val="bottom"/>
            <w:shd w:val="clear" w:color="auto" w:fill="CCEEFF"/>
          </w:tcPr>
          <w:p>
            <w:pPr>
              <w:spacing w:after="0"/>
              <w:rPr>
                <w:sz w:val="14"/>
                <w:szCs w:val="14"/>
                <w:color w:val="auto"/>
              </w:rPr>
            </w:pPr>
          </w:p>
        </w:tc>
      </w:tr>
      <w:tr>
        <w:trPr>
          <w:trHeight w:val="171"/>
        </w:trPr>
        <w:tc>
          <w:tcPr>
            <w:tcW w:w="4700" w:type="dxa"/>
            <w:vAlign w:val="bottom"/>
          </w:tcPr>
          <w:p>
            <w:pPr>
              <w:ind w:left="100"/>
              <w:spacing w:after="0"/>
              <w:rPr>
                <w:sz w:val="20"/>
                <w:szCs w:val="20"/>
                <w:color w:val="auto"/>
              </w:rPr>
            </w:pPr>
            <w:r>
              <w:rPr>
                <w:rFonts w:ascii="Arial" w:cs="Arial" w:eastAsia="Arial" w:hAnsi="Arial"/>
                <w:sz w:val="13"/>
                <w:szCs w:val="13"/>
                <w:color w:val="auto"/>
              </w:rPr>
              <w:t>September 30, 2022</w:t>
            </w: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14.74</w:t>
            </w:r>
          </w:p>
        </w:tc>
        <w:tc>
          <w:tcPr>
            <w:tcW w:w="520" w:type="dxa"/>
            <w:vAlign w:val="bottom"/>
            <w:gridSpan w:val="3"/>
          </w:tcPr>
          <w:p>
            <w:pPr>
              <w:jc w:val="right"/>
              <w:ind w:right="38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11.08</w:t>
            </w:r>
          </w:p>
        </w:tc>
        <w:tc>
          <w:tcPr>
            <w:tcW w:w="20" w:type="dxa"/>
            <w:vAlign w:val="bottom"/>
          </w:tcPr>
          <w:p>
            <w:pPr>
              <w:spacing w:after="0"/>
              <w:rPr>
                <w:sz w:val="14"/>
                <w:szCs w:val="14"/>
                <w:color w:val="auto"/>
              </w:rPr>
            </w:pPr>
          </w:p>
        </w:tc>
      </w:tr>
      <w:tr>
        <w:trPr>
          <w:trHeight w:val="171"/>
        </w:trPr>
        <w:tc>
          <w:tcPr>
            <w:tcW w:w="47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December 31, 2022</w:t>
            </w: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14.30</w:t>
            </w:r>
          </w:p>
        </w:tc>
        <w:tc>
          <w:tcPr>
            <w:tcW w:w="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12.16</w:t>
            </w:r>
          </w:p>
        </w:tc>
        <w:tc>
          <w:tcPr>
            <w:tcW w:w="20" w:type="dxa"/>
            <w:vAlign w:val="bottom"/>
            <w:shd w:val="clear" w:color="auto" w:fill="CCEEFF"/>
          </w:tcPr>
          <w:p>
            <w:pPr>
              <w:spacing w:after="0"/>
              <w:rPr>
                <w:sz w:val="14"/>
                <w:szCs w:val="14"/>
                <w:color w:val="auto"/>
              </w:rPr>
            </w:pPr>
          </w:p>
        </w:tc>
      </w:tr>
    </w:tbl>
    <w:p>
      <w:pPr>
        <w:spacing w:after="0" w:line="171" w:lineRule="exact"/>
        <w:rPr>
          <w:sz w:val="20"/>
          <w:szCs w:val="20"/>
          <w:color w:val="auto"/>
        </w:rPr>
      </w:pPr>
    </w:p>
    <w:p>
      <w:pPr>
        <w:ind w:left="660" w:right="719"/>
        <w:spacing w:after="0" w:line="252" w:lineRule="auto"/>
        <w:rPr>
          <w:sz w:val="20"/>
          <w:szCs w:val="20"/>
          <w:color w:val="auto"/>
        </w:rPr>
      </w:pPr>
      <w:r>
        <w:rPr>
          <w:rFonts w:ascii="Arial" w:cs="Arial" w:eastAsia="Arial" w:hAnsi="Arial"/>
          <w:sz w:val="14"/>
          <w:szCs w:val="14"/>
          <w:color w:val="auto"/>
        </w:rPr>
        <w:t>As of December 31, 2022, our Class B common stock is not listed or traded on any stock exchange and no shares were issued and outstanding at such date.</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Holders</w:t>
      </w:r>
    </w:p>
    <w:p>
      <w:pPr>
        <w:spacing w:after="0" w:line="177"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As of January 31, 2023, the Company’s Class A common shares were held by approximately 300 shareholders of record, not including the number of persons or entities whose stock is held in nominee or “street” name through various brokerage firms and banks.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Dividends</w:t>
      </w:r>
    </w:p>
    <w:p>
      <w:pPr>
        <w:spacing w:after="0" w:line="177" w:lineRule="exact"/>
        <w:rPr>
          <w:sz w:val="20"/>
          <w:szCs w:val="20"/>
          <w:color w:val="auto"/>
        </w:rPr>
      </w:pPr>
    </w:p>
    <w:p>
      <w:pPr>
        <w:jc w:val="both"/>
        <w:ind w:left="660" w:right="699" w:firstLine="256"/>
        <w:spacing w:after="0" w:line="268" w:lineRule="auto"/>
        <w:rPr>
          <w:sz w:val="20"/>
          <w:szCs w:val="20"/>
          <w:color w:val="auto"/>
        </w:rPr>
      </w:pPr>
      <w:r>
        <w:rPr>
          <w:rFonts w:ascii="Arial" w:cs="Arial" w:eastAsia="Arial" w:hAnsi="Arial"/>
          <w:sz w:val="14"/>
          <w:szCs w:val="14"/>
          <w:color w:val="auto"/>
        </w:rPr>
        <w:t>As a bank holding company, the Company’s ability to declare and pay dividends depends on various federal regulatory considerations, including the guidelines of the Federal Reserve regarding capital adequacy and dividends.</w:t>
      </w:r>
    </w:p>
    <w:p>
      <w:pPr>
        <w:spacing w:after="0" w:line="131" w:lineRule="exact"/>
        <w:rPr>
          <w:sz w:val="20"/>
          <w:szCs w:val="20"/>
          <w:color w:val="auto"/>
        </w:rPr>
      </w:pPr>
    </w:p>
    <w:p>
      <w:pPr>
        <w:jc w:val="both"/>
        <w:ind w:left="660" w:right="679" w:firstLine="256"/>
        <w:spacing w:after="0" w:line="248" w:lineRule="auto"/>
        <w:rPr>
          <w:sz w:val="20"/>
          <w:szCs w:val="20"/>
          <w:color w:val="auto"/>
        </w:rPr>
      </w:pPr>
      <w:r>
        <w:rPr>
          <w:rFonts w:ascii="Arial" w:cs="Arial" w:eastAsia="Arial" w:hAnsi="Arial"/>
          <w:sz w:val="14"/>
          <w:szCs w:val="14"/>
          <w:color w:val="auto"/>
        </w:rPr>
        <w:t>Because we are a bank holding company and currently do not engage directly in business activities of a material nature, our ability to pay dividends to our shareholders depends, in large part, upon our receipt of dividends from the Bank, which is also subject to numerous limitations on the payment of dividends under federal and state banking laws, regulations and policies.</w:t>
      </w:r>
    </w:p>
    <w:p>
      <w:pPr>
        <w:spacing w:after="0" w:line="156" w:lineRule="exact"/>
        <w:rPr>
          <w:sz w:val="20"/>
          <w:szCs w:val="20"/>
          <w:color w:val="auto"/>
        </w:rPr>
      </w:pPr>
    </w:p>
    <w:p>
      <w:pPr>
        <w:jc w:val="both"/>
        <w:ind w:left="660" w:right="679" w:firstLine="256"/>
        <w:spacing w:after="0" w:line="247" w:lineRule="auto"/>
        <w:rPr>
          <w:sz w:val="20"/>
          <w:szCs w:val="20"/>
          <w:color w:val="auto"/>
        </w:rPr>
      </w:pPr>
      <w:r>
        <w:rPr>
          <w:rFonts w:ascii="Arial" w:cs="Arial" w:eastAsia="Arial" w:hAnsi="Arial"/>
          <w:sz w:val="14"/>
          <w:szCs w:val="14"/>
          <w:color w:val="auto"/>
        </w:rPr>
        <w:t>The principal source of revenue with which to pay dividends on common shares are dividends the Bank may declare and pay out of funds legally available for payment of dividends. As a Florida corporation, we are only permitted to pay dividends to shareholders if, after giving effect to the dividend, (i) the Company is able to pay its debts as they become due in the ordinary course of business and (ii) the Company’s assets exceeds the sum of Company’s (a) liabilities plus (b) the amount that would be needed for the Company to satisfy the preferential rights upon dissolution of shareholders whose preferential rights are superior to those receiving the dividend, if any.</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Securities Authorized for Issuance Under Equity Compensation Plans</w:t>
      </w:r>
    </w:p>
    <w:p>
      <w:pPr>
        <w:spacing w:after="0" w:line="188" w:lineRule="exact"/>
        <w:rPr>
          <w:sz w:val="20"/>
          <w:szCs w:val="20"/>
          <w:color w:val="auto"/>
        </w:rPr>
      </w:pPr>
    </w:p>
    <w:p>
      <w:pPr>
        <w:ind w:left="660" w:right="699" w:firstLine="256"/>
        <w:spacing w:after="0" w:line="252" w:lineRule="auto"/>
        <w:rPr>
          <w:sz w:val="20"/>
          <w:szCs w:val="20"/>
          <w:color w:val="auto"/>
        </w:rPr>
      </w:pPr>
      <w:r>
        <w:rPr>
          <w:rFonts w:ascii="Arial" w:cs="Arial" w:eastAsia="Arial" w:hAnsi="Arial"/>
          <w:sz w:val="14"/>
          <w:szCs w:val="14"/>
          <w:color w:val="auto"/>
        </w:rPr>
        <w:t>See Note 9 ”Equity Based and Other Compensation Plans” to the Consolidated Financial Statements included in this Annual Report Form on 10-K for additional information required.</w:t>
      </w:r>
    </w:p>
    <w:p>
      <w:pPr>
        <w:spacing w:after="0" w:line="270" w:lineRule="exact"/>
        <w:rPr>
          <w:sz w:val="20"/>
          <w:szCs w:val="20"/>
          <w:color w:val="auto"/>
        </w:rPr>
      </w:pPr>
    </w:p>
    <w:p>
      <w:pPr>
        <w:jc w:val="center"/>
        <w:spacing w:after="0"/>
        <w:tabs>
          <w:tab w:leader="none" w:pos="260" w:val="left"/>
          <w:tab w:leader="none" w:pos="140" w:val="left"/>
        </w:tabs>
        <w:rPr>
          <w:sz w:val="20"/>
          <w:szCs w:val="20"/>
          <w:color w:val="auto"/>
        </w:rPr>
      </w:pPr>
      <w:r>
        <w:rPr>
          <w:rFonts w:ascii="Arial" w:cs="Arial" w:eastAsia="Arial" w:hAnsi="Arial"/>
          <w:sz w:val="14"/>
          <w:szCs w:val="14"/>
          <w:color w:val="auto"/>
        </w:rPr>
        <w:t>4</w:t>
      </w:r>
      <w:r>
        <w:rPr>
          <w:sz w:val="20"/>
          <w:szCs w:val="20"/>
          <w:color w:val="auto"/>
        </w:rPr>
        <w:tab/>
      </w:r>
      <w:r>
        <w:rPr>
          <w:rFonts w:ascii="Arial" w:cs="Arial" w:eastAsia="Arial" w:hAnsi="Arial"/>
          <w:sz w:val="14"/>
          <w:szCs w:val="14"/>
          <w:color w:val="auto"/>
        </w:rPr>
        <w:t>USCB Financial Holdings, Inc.</w:t>
        <w:tab/>
        <w:t>2022 10-K/A</w:t>
      </w:r>
    </w:p>
    <w:p>
      <w:pPr>
        <w:sectPr>
          <w:pgSz w:w="11900" w:h="16838" w:orient="portrait"/>
          <w:cols w:equalWidth="0" w:num="1">
            <w:col w:w="9019"/>
          </w:cols>
          <w:pgMar w:left="1440" w:top="719" w:right="1440" w:bottom="1440" w:gutter="0" w:footer="0" w:header="0"/>
        </w:sectPr>
      </w:pPr>
    </w:p>
    <w:bookmarkStart w:id="4" w:name="page5"/>
    <w:bookmarkEnd w:id="4"/>
    <w:p>
      <w:pPr>
        <w:ind w:left="6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Stock Price Performance</w:t>
      </w:r>
    </w:p>
    <w:p>
      <w:pPr>
        <w:spacing w:after="0" w:line="177"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color w:val="auto"/>
        </w:rPr>
        <w:t>The graph below compares the cumulative total return to stockholders of our Class A common stock between July 23, 2021 (the date the Bank’s Class A common stock commenced trading on the Nasdaq Stock Market) and December 31, 2022, with the cumulative total return of (a) the Nasdaq Bank Index (b) the NASDAQ ABA Community Bank Index, and (c) the Nasdaq Composite Index over the same period. This graph assumes the investment of $100 in our Class A common stock at the closing sale price of $10.82 per share on July 23, 2021, and assumes the reinvestment of dividends, if any.</w:t>
      </w:r>
    </w:p>
    <w:p>
      <w:pPr>
        <w:spacing w:after="0" w:line="146" w:lineRule="exact"/>
        <w:rPr>
          <w:sz w:val="20"/>
          <w:szCs w:val="20"/>
          <w:color w:val="auto"/>
        </w:rPr>
      </w:pPr>
    </w:p>
    <w:p>
      <w:pPr>
        <w:jc w:val="both"/>
        <w:ind w:left="660" w:right="679" w:firstLine="256"/>
        <w:spacing w:after="0" w:line="301" w:lineRule="auto"/>
        <w:rPr>
          <w:sz w:val="20"/>
          <w:szCs w:val="20"/>
          <w:color w:val="auto"/>
        </w:rPr>
      </w:pPr>
      <w:r>
        <w:rPr>
          <w:rFonts w:ascii="Arial" w:cs="Arial" w:eastAsia="Arial" w:hAnsi="Arial"/>
          <w:sz w:val="14"/>
          <w:szCs w:val="14"/>
          <w:color w:val="auto"/>
        </w:rPr>
        <w:t>The comparisons shown in the graph below are based upon historical data. We caution that the stock price performance shown in the graph below is not indicative of, nor is it intended to forecast, the potential future performance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660" w:type="dxa"/>
        <w:tblCellMar>
          <w:top w:w="0" w:type="dxa"/>
          <w:left w:w="0" w:type="dxa"/>
          <w:bottom w:w="0" w:type="dxa"/>
          <w:right w:w="0" w:type="dxa"/>
        </w:tblCellMar>
      </w:tblPr>
      <w:tr>
        <w:trPr>
          <w:trHeight w:val="164"/>
        </w:trPr>
        <w:tc>
          <w:tcPr>
            <w:tcW w:w="366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07/23/2021</w:t>
            </w: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12/31/2021</w:t>
            </w: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12/31/2022</w:t>
            </w:r>
          </w:p>
        </w:tc>
        <w:tc>
          <w:tcPr>
            <w:tcW w:w="20" w:type="dxa"/>
            <w:vAlign w:val="bottom"/>
          </w:tcPr>
          <w:p>
            <w:pPr>
              <w:spacing w:after="0"/>
              <w:rPr>
                <w:sz w:val="14"/>
                <w:szCs w:val="14"/>
                <w:color w:val="auto"/>
              </w:rPr>
            </w:pPr>
          </w:p>
        </w:tc>
      </w:tr>
      <w:tr>
        <w:trPr>
          <w:trHeight w:val="151"/>
        </w:trPr>
        <w:tc>
          <w:tcPr>
            <w:tcW w:w="3660" w:type="dxa"/>
            <w:vAlign w:val="bottom"/>
            <w:shd w:val="clear" w:color="auto" w:fill="CCEEFF"/>
          </w:tcPr>
          <w:p>
            <w:pPr>
              <w:spacing w:after="0"/>
              <w:rPr>
                <w:sz w:val="20"/>
                <w:szCs w:val="20"/>
                <w:color w:val="auto"/>
              </w:rPr>
            </w:pPr>
            <w:r>
              <w:rPr>
                <w:rFonts w:ascii="Arial" w:cs="Arial" w:eastAsia="Arial" w:hAnsi="Arial"/>
                <w:sz w:val="13"/>
                <w:szCs w:val="13"/>
                <w:color w:val="auto"/>
              </w:rPr>
              <w:t>USCB Financial Holdings, Inc. (USCB)</w:t>
            </w:r>
          </w:p>
        </w:tc>
        <w:tc>
          <w:tcPr>
            <w:tcW w:w="1020" w:type="dxa"/>
            <w:vAlign w:val="bottom"/>
            <w:shd w:val="clear" w:color="auto" w:fill="CCEEFF"/>
          </w:tcPr>
          <w:p>
            <w:pPr>
              <w:jc w:val="right"/>
              <w:ind w:right="876"/>
              <w:spacing w:after="0"/>
              <w:rPr>
                <w:sz w:val="20"/>
                <w:szCs w:val="20"/>
                <w:color w:val="auto"/>
              </w:rPr>
            </w:pPr>
            <w:r>
              <w:rPr>
                <w:rFonts w:ascii="Arial" w:cs="Arial" w:eastAsia="Arial" w:hAnsi="Arial"/>
                <w:sz w:val="13"/>
                <w:szCs w:val="13"/>
                <w:color w:val="auto"/>
                <w:w w:val="82"/>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w:t>
            </w:r>
          </w:p>
        </w:tc>
        <w:tc>
          <w:tcPr>
            <w:tcW w:w="20" w:type="dxa"/>
            <w:vAlign w:val="bottom"/>
            <w:shd w:val="clear" w:color="auto" w:fill="CCEEFF"/>
          </w:tcPr>
          <w:p>
            <w:pPr>
              <w:spacing w:after="0"/>
              <w:rPr>
                <w:sz w:val="13"/>
                <w:szCs w:val="13"/>
                <w:color w:val="auto"/>
              </w:rPr>
            </w:pPr>
          </w:p>
        </w:tc>
      </w:tr>
      <w:tr>
        <w:trPr>
          <w:trHeight w:val="171"/>
        </w:trPr>
        <w:tc>
          <w:tcPr>
            <w:tcW w:w="3660" w:type="dxa"/>
            <w:vAlign w:val="bottom"/>
          </w:tcPr>
          <w:p>
            <w:pPr>
              <w:spacing w:after="0"/>
              <w:rPr>
                <w:sz w:val="20"/>
                <w:szCs w:val="20"/>
                <w:color w:val="auto"/>
              </w:rPr>
            </w:pPr>
            <w:r>
              <w:rPr>
                <w:rFonts w:ascii="Arial" w:cs="Arial" w:eastAsia="Arial" w:hAnsi="Arial"/>
                <w:sz w:val="13"/>
                <w:szCs w:val="13"/>
                <w:color w:val="auto"/>
              </w:rPr>
              <w:t>NASDAQ Bank (BANK)</w:t>
            </w:r>
          </w:p>
        </w:tc>
        <w:tc>
          <w:tcPr>
            <w:tcW w:w="1020" w:type="dxa"/>
            <w:vAlign w:val="bottom"/>
          </w:tcPr>
          <w:p>
            <w:pPr>
              <w:jc w:val="right"/>
              <w:ind w:right="876"/>
              <w:spacing w:after="0"/>
              <w:rPr>
                <w:sz w:val="20"/>
                <w:szCs w:val="20"/>
                <w:color w:val="auto"/>
              </w:rPr>
            </w:pPr>
            <w:r>
              <w:rPr>
                <w:rFonts w:ascii="Arial" w:cs="Arial" w:eastAsia="Arial" w:hAnsi="Arial"/>
                <w:sz w:val="13"/>
                <w:szCs w:val="13"/>
                <w:color w:val="auto"/>
                <w:w w:val="82"/>
              </w:rPr>
              <w:t>$</w:t>
            </w:r>
          </w:p>
        </w:tc>
        <w:tc>
          <w:tcPr>
            <w:tcW w:w="260" w:type="dxa"/>
            <w:vAlign w:val="bottom"/>
          </w:tcPr>
          <w:p>
            <w:pPr>
              <w:jc w:val="right"/>
              <w:spacing w:after="0"/>
              <w:rPr>
                <w:sz w:val="20"/>
                <w:szCs w:val="20"/>
                <w:color w:val="auto"/>
              </w:rPr>
            </w:pPr>
            <w:r>
              <w:rPr>
                <w:rFonts w:ascii="Arial" w:cs="Arial" w:eastAsia="Arial" w:hAnsi="Arial"/>
                <w:sz w:val="13"/>
                <w:szCs w:val="13"/>
                <w:color w:val="auto"/>
              </w:rPr>
              <w:t>100</w:t>
            </w:r>
          </w:p>
        </w:tc>
        <w:tc>
          <w:tcPr>
            <w:tcW w:w="280" w:type="dxa"/>
            <w:vAlign w:val="bottom"/>
            <w:gridSpan w:val="4"/>
          </w:tcPr>
          <w:p>
            <w:pPr>
              <w:jc w:val="right"/>
              <w:ind w:right="56"/>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115</w:t>
            </w:r>
          </w:p>
        </w:tc>
        <w:tc>
          <w:tcPr>
            <w:tcW w:w="280" w:type="dxa"/>
            <w:vAlign w:val="bottom"/>
            <w:gridSpan w:val="4"/>
          </w:tcPr>
          <w:p>
            <w:pPr>
              <w:jc w:val="right"/>
              <w:ind w:right="56"/>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94</w:t>
            </w:r>
          </w:p>
        </w:tc>
        <w:tc>
          <w:tcPr>
            <w:tcW w:w="20" w:type="dxa"/>
            <w:vAlign w:val="bottom"/>
          </w:tcPr>
          <w:p>
            <w:pPr>
              <w:spacing w:after="0"/>
              <w:rPr>
                <w:sz w:val="14"/>
                <w:szCs w:val="14"/>
                <w:color w:val="auto"/>
              </w:rPr>
            </w:pPr>
          </w:p>
        </w:tc>
      </w:tr>
      <w:tr>
        <w:trPr>
          <w:trHeight w:val="171"/>
        </w:trPr>
        <w:tc>
          <w:tcPr>
            <w:tcW w:w="3660" w:type="dxa"/>
            <w:vAlign w:val="bottom"/>
            <w:shd w:val="clear" w:color="auto" w:fill="CCEEFF"/>
          </w:tcPr>
          <w:p>
            <w:pPr>
              <w:spacing w:after="0"/>
              <w:rPr>
                <w:sz w:val="20"/>
                <w:szCs w:val="20"/>
                <w:color w:val="auto"/>
              </w:rPr>
            </w:pPr>
            <w:r>
              <w:rPr>
                <w:rFonts w:ascii="Arial" w:cs="Arial" w:eastAsia="Arial" w:hAnsi="Arial"/>
                <w:sz w:val="13"/>
                <w:szCs w:val="13"/>
                <w:color w:val="auto"/>
              </w:rPr>
              <w:t>NASDAQ ABA Community Bank (QABA)</w:t>
            </w:r>
          </w:p>
        </w:tc>
        <w:tc>
          <w:tcPr>
            <w:tcW w:w="1020" w:type="dxa"/>
            <w:vAlign w:val="bottom"/>
            <w:shd w:val="clear" w:color="auto" w:fill="CCEEFF"/>
          </w:tcPr>
          <w:p>
            <w:pPr>
              <w:jc w:val="right"/>
              <w:ind w:right="876"/>
              <w:spacing w:after="0"/>
              <w:rPr>
                <w:sz w:val="20"/>
                <w:szCs w:val="20"/>
                <w:color w:val="auto"/>
              </w:rPr>
            </w:pPr>
            <w:r>
              <w:rPr>
                <w:rFonts w:ascii="Arial" w:cs="Arial" w:eastAsia="Arial" w:hAnsi="Arial"/>
                <w:sz w:val="13"/>
                <w:szCs w:val="13"/>
                <w:color w:val="auto"/>
                <w:w w:val="82"/>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40" w:type="dxa"/>
            <w:vAlign w:val="bottom"/>
            <w:gridSpan w:val="2"/>
            <w:shd w:val="clear" w:color="auto" w:fill="CCEEFF"/>
          </w:tcPr>
          <w:p>
            <w:pPr>
              <w:spacing w:after="0"/>
              <w:rPr>
                <w:sz w:val="14"/>
                <w:szCs w:val="14"/>
                <w:color w:val="auto"/>
              </w:rPr>
            </w:pPr>
          </w:p>
        </w:tc>
        <w:tc>
          <w:tcPr>
            <w:tcW w:w="240" w:type="dxa"/>
            <w:vAlign w:val="bottom"/>
            <w:gridSpan w:val="2"/>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w:t>
            </w:r>
          </w:p>
        </w:tc>
        <w:tc>
          <w:tcPr>
            <w:tcW w:w="40" w:type="dxa"/>
            <w:vAlign w:val="bottom"/>
            <w:gridSpan w:val="2"/>
            <w:shd w:val="clear" w:color="auto" w:fill="CCEEFF"/>
          </w:tcPr>
          <w:p>
            <w:pPr>
              <w:spacing w:after="0"/>
              <w:rPr>
                <w:sz w:val="14"/>
                <w:szCs w:val="14"/>
                <w:color w:val="auto"/>
              </w:rPr>
            </w:pPr>
          </w:p>
        </w:tc>
        <w:tc>
          <w:tcPr>
            <w:tcW w:w="240" w:type="dxa"/>
            <w:vAlign w:val="bottom"/>
            <w:gridSpan w:val="2"/>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w:t>
            </w:r>
          </w:p>
        </w:tc>
        <w:tc>
          <w:tcPr>
            <w:tcW w:w="20" w:type="dxa"/>
            <w:vAlign w:val="bottom"/>
            <w:shd w:val="clear" w:color="auto" w:fill="CCEEFF"/>
          </w:tcPr>
          <w:p>
            <w:pPr>
              <w:spacing w:after="0"/>
              <w:rPr>
                <w:sz w:val="14"/>
                <w:szCs w:val="14"/>
                <w:color w:val="auto"/>
              </w:rPr>
            </w:pPr>
          </w:p>
        </w:tc>
      </w:tr>
      <w:tr>
        <w:trPr>
          <w:trHeight w:val="177"/>
        </w:trPr>
        <w:tc>
          <w:tcPr>
            <w:tcW w:w="3660" w:type="dxa"/>
            <w:vAlign w:val="bottom"/>
          </w:tcPr>
          <w:p>
            <w:pPr>
              <w:spacing w:after="0"/>
              <w:rPr>
                <w:sz w:val="20"/>
                <w:szCs w:val="20"/>
                <w:color w:val="auto"/>
              </w:rPr>
            </w:pPr>
            <w:r>
              <w:rPr>
                <w:rFonts w:ascii="Arial" w:cs="Arial" w:eastAsia="Arial" w:hAnsi="Arial"/>
                <w:sz w:val="13"/>
                <w:szCs w:val="13"/>
                <w:color w:val="auto"/>
              </w:rPr>
              <w:t>NASDAQ Composite (IXIC)</w:t>
            </w:r>
          </w:p>
        </w:tc>
        <w:tc>
          <w:tcPr>
            <w:tcW w:w="1020" w:type="dxa"/>
            <w:vAlign w:val="bottom"/>
          </w:tcPr>
          <w:p>
            <w:pPr>
              <w:jc w:val="right"/>
              <w:ind w:right="876"/>
              <w:spacing w:after="0"/>
              <w:rPr>
                <w:sz w:val="20"/>
                <w:szCs w:val="20"/>
                <w:color w:val="auto"/>
              </w:rPr>
            </w:pPr>
            <w:r>
              <w:rPr>
                <w:rFonts w:ascii="Arial" w:cs="Arial" w:eastAsia="Arial" w:hAnsi="Arial"/>
                <w:sz w:val="13"/>
                <w:szCs w:val="13"/>
                <w:color w:val="auto"/>
                <w:w w:val="82"/>
              </w:rPr>
              <w:t>$</w:t>
            </w:r>
          </w:p>
        </w:tc>
        <w:tc>
          <w:tcPr>
            <w:tcW w:w="260" w:type="dxa"/>
            <w:vAlign w:val="bottom"/>
          </w:tcPr>
          <w:p>
            <w:pPr>
              <w:jc w:val="right"/>
              <w:spacing w:after="0"/>
              <w:rPr>
                <w:sz w:val="20"/>
                <w:szCs w:val="20"/>
                <w:color w:val="auto"/>
              </w:rPr>
            </w:pPr>
            <w:r>
              <w:rPr>
                <w:rFonts w:ascii="Arial" w:cs="Arial" w:eastAsia="Arial" w:hAnsi="Arial"/>
                <w:sz w:val="13"/>
                <w:szCs w:val="13"/>
                <w:color w:val="auto"/>
              </w:rPr>
              <w:t>100</w:t>
            </w:r>
          </w:p>
        </w:tc>
        <w:tc>
          <w:tcPr>
            <w:tcW w:w="280" w:type="dxa"/>
            <w:vAlign w:val="bottom"/>
            <w:gridSpan w:val="4"/>
          </w:tcPr>
          <w:p>
            <w:pPr>
              <w:jc w:val="right"/>
              <w:ind w:right="56"/>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107</w:t>
            </w:r>
          </w:p>
        </w:tc>
        <w:tc>
          <w:tcPr>
            <w:tcW w:w="280" w:type="dxa"/>
            <w:vAlign w:val="bottom"/>
            <w:gridSpan w:val="4"/>
          </w:tcPr>
          <w:p>
            <w:pPr>
              <w:jc w:val="right"/>
              <w:ind w:right="56"/>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71</w:t>
            </w:r>
          </w:p>
        </w:tc>
        <w:tc>
          <w:tcPr>
            <w:tcW w:w="20" w:type="dxa"/>
            <w:vAlign w:val="bottom"/>
          </w:tcPr>
          <w:p>
            <w:pPr>
              <w:spacing w:after="0"/>
              <w:rPr>
                <w:sz w:val="15"/>
                <w:szCs w:val="15"/>
                <w:color w:val="auto"/>
              </w:rPr>
            </w:pPr>
          </w:p>
        </w:tc>
      </w:tr>
    </w:tbl>
    <w:p>
      <w:pPr>
        <w:spacing w:after="0" w:line="136"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Recent Sales of Unregistered Securities</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None.</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Purchases of Equity Securities by Issuer and Other Affiliates</w:t>
      </w:r>
    </w:p>
    <w:p>
      <w:pPr>
        <w:spacing w:after="0" w:line="177" w:lineRule="exact"/>
        <w:rPr>
          <w:sz w:val="20"/>
          <w:szCs w:val="20"/>
          <w:color w:val="auto"/>
        </w:rPr>
      </w:pPr>
    </w:p>
    <w:p>
      <w:pPr>
        <w:jc w:val="both"/>
        <w:ind w:left="660" w:right="639" w:firstLine="256"/>
        <w:spacing w:after="0" w:line="249" w:lineRule="auto"/>
        <w:rPr>
          <w:sz w:val="20"/>
          <w:szCs w:val="20"/>
          <w:color w:val="auto"/>
        </w:rPr>
      </w:pPr>
      <w:r>
        <w:rPr>
          <w:rFonts w:ascii="Arial" w:cs="Arial" w:eastAsia="Arial" w:hAnsi="Arial"/>
          <w:sz w:val="14"/>
          <w:szCs w:val="14"/>
          <w:color w:val="auto"/>
        </w:rPr>
        <w:t>On January 24, 2022, the Board approved a share repurchase program of up to 750,000 shares of Class A common stock. Under the repurchase program, the Company may purchase shares of Class A common stock on a discretionary basis from time to time through open market repurchases, privately negotiated transactions, or otherwise in compliance with Rule 10b-18 under the Exchange Act. As of December 31, 2022, neither the Company nor any of its affiliates had repurchased any Class A common shares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tabs>
          <w:tab w:leader="none" w:pos="260" w:val="left"/>
          <w:tab w:leader="none" w:pos="140" w:val="left"/>
        </w:tabs>
        <w:rPr>
          <w:sz w:val="20"/>
          <w:szCs w:val="20"/>
          <w:color w:val="auto"/>
        </w:rPr>
      </w:pPr>
      <w:r>
        <w:rPr>
          <w:rFonts w:ascii="Arial" w:cs="Arial" w:eastAsia="Arial" w:hAnsi="Arial"/>
          <w:sz w:val="14"/>
          <w:szCs w:val="14"/>
          <w:color w:val="auto"/>
        </w:rPr>
        <w:t>5</w:t>
      </w:r>
      <w:r>
        <w:rPr>
          <w:sz w:val="20"/>
          <w:szCs w:val="20"/>
          <w:color w:val="auto"/>
        </w:rPr>
        <w:tab/>
      </w:r>
      <w:r>
        <w:rPr>
          <w:rFonts w:ascii="Arial" w:cs="Arial" w:eastAsia="Arial" w:hAnsi="Arial"/>
          <w:sz w:val="14"/>
          <w:szCs w:val="14"/>
          <w:color w:val="auto"/>
        </w:rPr>
        <w:t>USCB Financial Holdings, Inc.</w:t>
        <w:tab/>
        <w:t>2022 10-K/A</w:t>
      </w:r>
    </w:p>
    <w:p>
      <w:pPr>
        <w:sectPr>
          <w:pgSz w:w="11900" w:h="16838" w:orient="portrait"/>
          <w:cols w:equalWidth="0" w:num="1">
            <w:col w:w="9019"/>
          </w:cols>
          <w:pgMar w:left="1440" w:top="889" w:right="1440" w:bottom="1440" w:gutter="0" w:footer="0" w:header="0"/>
        </w:sectPr>
      </w:pPr>
    </w:p>
    <w:bookmarkStart w:id="5" w:name="page6"/>
    <w:bookmarkEnd w:id="5"/>
    <w:tbl>
      <w:tblPr>
        <w:tblLayout w:type="fixed"/>
        <w:tblInd w:w="660" w:type="dxa"/>
        <w:tblCellMar>
          <w:top w:w="0" w:type="dxa"/>
          <w:left w:w="0" w:type="dxa"/>
          <w:bottom w:w="0" w:type="dxa"/>
          <w:right w:w="0" w:type="dxa"/>
        </w:tblCellMar>
      </w:tblPr>
      <w:tr>
        <w:trPr>
          <w:trHeight w:val="188"/>
        </w:trPr>
        <w:tc>
          <w:tcPr>
            <w:tcW w:w="6580" w:type="dxa"/>
            <w:vAlign w:val="bottom"/>
            <w:gridSpan w:val="10"/>
          </w:tcPr>
          <w:p>
            <w:pPr>
              <w:spacing w:after="0"/>
              <w:rPr>
                <w:sz w:val="20"/>
                <w:szCs w:val="20"/>
                <w:color w:val="auto"/>
              </w:rPr>
            </w:pPr>
            <w:r>
              <w:rPr>
                <w:rFonts w:ascii="Arial" w:cs="Arial" w:eastAsia="Arial" w:hAnsi="Arial"/>
                <w:sz w:val="14"/>
                <w:szCs w:val="14"/>
                <w:b w:val="1"/>
                <w:bCs w:val="1"/>
                <w:color w:val="auto"/>
              </w:rPr>
              <w:t>Item 8. Financial Statements and Supplementary Data</w:t>
            </w: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491"/>
        </w:trPr>
        <w:tc>
          <w:tcPr>
            <w:tcW w:w="1860" w:type="dxa"/>
            <w:vAlign w:val="bottom"/>
          </w:tcPr>
          <w:p>
            <w:pPr>
              <w:spacing w:after="0"/>
              <w:rPr>
                <w:sz w:val="24"/>
                <w:szCs w:val="24"/>
                <w:color w:val="auto"/>
              </w:rPr>
            </w:pPr>
          </w:p>
        </w:tc>
        <w:tc>
          <w:tcPr>
            <w:tcW w:w="4720" w:type="dxa"/>
            <w:vAlign w:val="bottom"/>
            <w:gridSpan w:val="9"/>
          </w:tcPr>
          <w:p>
            <w:pPr>
              <w:ind w:left="160"/>
              <w:spacing w:after="0"/>
              <w:rPr>
                <w:sz w:val="20"/>
                <w:szCs w:val="20"/>
                <w:color w:val="auto"/>
              </w:rPr>
            </w:pPr>
            <w:r>
              <w:rPr>
                <w:rFonts w:ascii="Arial" w:cs="Arial" w:eastAsia="Arial" w:hAnsi="Arial"/>
                <w:sz w:val="14"/>
                <w:szCs w:val="14"/>
                <w:b w:val="1"/>
                <w:bCs w:val="1"/>
                <w:color w:val="auto"/>
              </w:rPr>
              <w:t>INDEX TO CONSOLIDATED FINANCIAL STATEMENTS</w:t>
            </w: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99"/>
        </w:trPr>
        <w:tc>
          <w:tcPr>
            <w:tcW w:w="6580" w:type="dxa"/>
            <w:vAlign w:val="bottom"/>
            <w:gridSpan w:val="10"/>
          </w:tcPr>
          <w:p>
            <w:pPr>
              <w:spacing w:after="0"/>
              <w:rPr>
                <w:sz w:val="20"/>
                <w:szCs w:val="20"/>
                <w:color w:val="auto"/>
              </w:rPr>
            </w:pPr>
            <w:r>
              <w:rPr>
                <w:rFonts w:ascii="Arial" w:cs="Arial" w:eastAsia="Arial" w:hAnsi="Arial"/>
                <w:sz w:val="14"/>
                <w:szCs w:val="14"/>
                <w:color w:val="0000FF"/>
              </w:rPr>
              <w:t xml:space="preserve">Report of Independent Registered Public Accounting Firm </w:t>
            </w:r>
            <w:r>
              <w:rPr>
                <w:rFonts w:ascii="Arial" w:cs="Arial" w:eastAsia="Arial" w:hAnsi="Arial"/>
                <w:sz w:val="14"/>
                <w:szCs w:val="14"/>
                <w:color w:val="000000"/>
              </w:rPr>
              <w:t>(Crowe LLP, PCAOB ID: 173)</w:t>
            </w:r>
          </w:p>
        </w:tc>
        <w:tc>
          <w:tcPr>
            <w:tcW w:w="1100" w:type="dxa"/>
            <w:vAlign w:val="bottom"/>
            <w:gridSpan w:val="2"/>
          </w:tcPr>
          <w:p>
            <w:pPr>
              <w:jc w:val="right"/>
              <w:spacing w:after="0"/>
              <w:rPr>
                <w:sz w:val="20"/>
                <w:szCs w:val="20"/>
                <w:color w:val="auto"/>
              </w:rPr>
            </w:pPr>
            <w:r>
              <w:rPr>
                <w:rFonts w:ascii="Arial" w:cs="Arial" w:eastAsia="Arial" w:hAnsi="Arial"/>
                <w:sz w:val="14"/>
                <w:szCs w:val="14"/>
                <w:color w:val="0000FF"/>
              </w:rPr>
              <w:t>7</w:t>
            </w:r>
          </w:p>
        </w:tc>
      </w:tr>
      <w:tr>
        <w:trPr>
          <w:trHeight w:val="20"/>
        </w:trPr>
        <w:tc>
          <w:tcPr>
            <w:tcW w:w="18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r>
      <w:tr>
        <w:trPr>
          <w:trHeight w:val="311"/>
        </w:trPr>
        <w:tc>
          <w:tcPr>
            <w:tcW w:w="3620" w:type="dxa"/>
            <w:vAlign w:val="bottom"/>
            <w:gridSpan w:val="7"/>
          </w:tcPr>
          <w:p>
            <w:pPr>
              <w:spacing w:after="0"/>
              <w:rPr>
                <w:sz w:val="20"/>
                <w:szCs w:val="20"/>
                <w:color w:val="auto"/>
              </w:rPr>
            </w:pPr>
            <w:r>
              <w:rPr>
                <w:rFonts w:ascii="Arial" w:cs="Arial" w:eastAsia="Arial" w:hAnsi="Arial"/>
                <w:sz w:val="14"/>
                <w:szCs w:val="14"/>
                <w:color w:val="0000FF"/>
              </w:rPr>
              <w:t>Consolidated Balance Sheets</w:t>
            </w:r>
          </w:p>
        </w:tc>
        <w:tc>
          <w:tcPr>
            <w:tcW w:w="2960" w:type="dxa"/>
            <w:vAlign w:val="bottom"/>
            <w:gridSpan w:val="3"/>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0000FF"/>
              </w:rPr>
              <w:t>8</w:t>
            </w:r>
          </w:p>
        </w:tc>
      </w:tr>
      <w:tr>
        <w:trPr>
          <w:trHeight w:val="20"/>
        </w:trPr>
        <w:tc>
          <w:tcPr>
            <w:tcW w:w="186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r>
      <w:tr>
        <w:trPr>
          <w:trHeight w:val="140"/>
        </w:trPr>
        <w:tc>
          <w:tcPr>
            <w:tcW w:w="2480" w:type="dxa"/>
            <w:vAlign w:val="bottom"/>
            <w:gridSpan w:val="2"/>
          </w:tcPr>
          <w:p>
            <w:pPr>
              <w:spacing w:after="0" w:line="140" w:lineRule="exact"/>
              <w:rPr>
                <w:sz w:val="20"/>
                <w:szCs w:val="20"/>
                <w:color w:val="auto"/>
              </w:rPr>
            </w:pPr>
            <w:r>
              <w:rPr>
                <w:rFonts w:ascii="Arial" w:cs="Arial" w:eastAsia="Arial" w:hAnsi="Arial"/>
                <w:sz w:val="14"/>
                <w:szCs w:val="14"/>
                <w:color w:val="0000FF"/>
              </w:rPr>
              <w:t>Consolidated Statements of Operations</w:t>
            </w:r>
          </w:p>
        </w:tc>
        <w:tc>
          <w:tcPr>
            <w:tcW w:w="4100" w:type="dxa"/>
            <w:vAlign w:val="bottom"/>
            <w:gridSpan w:val="8"/>
          </w:tcPr>
          <w:p>
            <w:pPr>
              <w:spacing w:after="0"/>
              <w:rPr>
                <w:sz w:val="12"/>
                <w:szCs w:val="12"/>
                <w:color w:val="auto"/>
              </w:rPr>
            </w:pPr>
          </w:p>
        </w:tc>
        <w:tc>
          <w:tcPr>
            <w:tcW w:w="1100" w:type="dxa"/>
            <w:vAlign w:val="bottom"/>
            <w:gridSpan w:val="2"/>
          </w:tcPr>
          <w:p>
            <w:pPr>
              <w:jc w:val="right"/>
              <w:spacing w:after="0" w:line="140" w:lineRule="exact"/>
              <w:rPr>
                <w:sz w:val="20"/>
                <w:szCs w:val="20"/>
                <w:color w:val="auto"/>
              </w:rPr>
            </w:pPr>
            <w:r>
              <w:rPr>
                <w:rFonts w:ascii="Arial" w:cs="Arial" w:eastAsia="Arial" w:hAnsi="Arial"/>
                <w:sz w:val="14"/>
                <w:szCs w:val="14"/>
                <w:color w:val="0000FF"/>
              </w:rPr>
              <w:t>9</w:t>
            </w:r>
          </w:p>
        </w:tc>
      </w:tr>
      <w:tr>
        <w:trPr>
          <w:trHeight w:val="20"/>
        </w:trPr>
        <w:tc>
          <w:tcPr>
            <w:tcW w:w="24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r>
      <w:tr>
        <w:trPr>
          <w:trHeight w:val="140"/>
        </w:trPr>
        <w:tc>
          <w:tcPr>
            <w:tcW w:w="6580" w:type="dxa"/>
            <w:vAlign w:val="bottom"/>
            <w:gridSpan w:val="10"/>
          </w:tcPr>
          <w:p>
            <w:pPr>
              <w:spacing w:after="0" w:line="140" w:lineRule="exact"/>
              <w:rPr>
                <w:sz w:val="20"/>
                <w:szCs w:val="20"/>
                <w:color w:val="auto"/>
              </w:rPr>
            </w:pPr>
            <w:r>
              <w:rPr>
                <w:rFonts w:ascii="Arial" w:cs="Arial" w:eastAsia="Arial" w:hAnsi="Arial"/>
                <w:sz w:val="14"/>
                <w:szCs w:val="14"/>
                <w:color w:val="0000FF"/>
              </w:rPr>
              <w:t>Consolidated Statements of Comprehensive Income (Loss)</w:t>
            </w:r>
          </w:p>
        </w:tc>
        <w:tc>
          <w:tcPr>
            <w:tcW w:w="1100" w:type="dxa"/>
            <w:vAlign w:val="bottom"/>
            <w:gridSpan w:val="2"/>
          </w:tcPr>
          <w:p>
            <w:pPr>
              <w:jc w:val="right"/>
              <w:spacing w:after="0" w:line="140" w:lineRule="exact"/>
              <w:rPr>
                <w:sz w:val="20"/>
                <w:szCs w:val="20"/>
                <w:color w:val="auto"/>
              </w:rPr>
            </w:pPr>
            <w:r>
              <w:rPr>
                <w:rFonts w:ascii="Arial" w:cs="Arial" w:eastAsia="Arial" w:hAnsi="Arial"/>
                <w:sz w:val="14"/>
                <w:szCs w:val="14"/>
                <w:color w:val="0000FF"/>
              </w:rPr>
              <w:t>10</w:t>
            </w:r>
          </w:p>
        </w:tc>
      </w:tr>
      <w:tr>
        <w:trPr>
          <w:trHeight w:val="20"/>
        </w:trPr>
        <w:tc>
          <w:tcPr>
            <w:tcW w:w="252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r>
      <w:tr>
        <w:trPr>
          <w:trHeight w:val="151"/>
        </w:trPr>
        <w:tc>
          <w:tcPr>
            <w:tcW w:w="6580" w:type="dxa"/>
            <w:vAlign w:val="bottom"/>
            <w:gridSpan w:val="10"/>
          </w:tcPr>
          <w:p>
            <w:pPr>
              <w:spacing w:after="0" w:line="151" w:lineRule="exact"/>
              <w:rPr>
                <w:sz w:val="20"/>
                <w:szCs w:val="20"/>
                <w:color w:val="auto"/>
              </w:rPr>
            </w:pPr>
            <w:r>
              <w:rPr>
                <w:rFonts w:ascii="Arial" w:cs="Arial" w:eastAsia="Arial" w:hAnsi="Arial"/>
                <w:sz w:val="14"/>
                <w:szCs w:val="14"/>
                <w:color w:val="0000FF"/>
              </w:rPr>
              <w:t>Consolidated Statements of Changes in Stockholders’ Equity</w:t>
            </w:r>
          </w:p>
        </w:tc>
        <w:tc>
          <w:tcPr>
            <w:tcW w:w="1100" w:type="dxa"/>
            <w:vAlign w:val="bottom"/>
            <w:gridSpan w:val="2"/>
          </w:tcPr>
          <w:p>
            <w:pPr>
              <w:jc w:val="right"/>
              <w:spacing w:after="0" w:line="151" w:lineRule="exact"/>
              <w:rPr>
                <w:sz w:val="20"/>
                <w:szCs w:val="20"/>
                <w:color w:val="auto"/>
              </w:rPr>
            </w:pPr>
            <w:r>
              <w:rPr>
                <w:rFonts w:ascii="Arial" w:cs="Arial" w:eastAsia="Arial" w:hAnsi="Arial"/>
                <w:sz w:val="14"/>
                <w:szCs w:val="14"/>
                <w:color w:val="0000FF"/>
              </w:rPr>
              <w:t>11</w:t>
            </w:r>
          </w:p>
        </w:tc>
      </w:tr>
      <w:tr>
        <w:trPr>
          <w:trHeight w:val="140"/>
        </w:trPr>
        <w:tc>
          <w:tcPr>
            <w:tcW w:w="3420" w:type="dxa"/>
            <w:vAlign w:val="bottom"/>
            <w:tcBorders>
              <w:top w:val="single" w:sz="8" w:color="0000FF"/>
            </w:tcBorders>
            <w:gridSpan w:val="5"/>
          </w:tcPr>
          <w:p>
            <w:pPr>
              <w:spacing w:after="0" w:line="140" w:lineRule="exact"/>
              <w:rPr>
                <w:sz w:val="20"/>
                <w:szCs w:val="20"/>
                <w:color w:val="auto"/>
              </w:rPr>
            </w:pPr>
            <w:r>
              <w:rPr>
                <w:rFonts w:ascii="Arial" w:cs="Arial" w:eastAsia="Arial" w:hAnsi="Arial"/>
                <w:sz w:val="14"/>
                <w:szCs w:val="14"/>
                <w:color w:val="0000FF"/>
              </w:rPr>
              <w:t>Consolidated Statements of Cash Flows</w:t>
            </w:r>
          </w:p>
        </w:tc>
        <w:tc>
          <w:tcPr>
            <w:tcW w:w="20" w:type="dxa"/>
            <w:vAlign w:val="bottom"/>
          </w:tcPr>
          <w:p>
            <w:pPr>
              <w:spacing w:after="0"/>
              <w:rPr>
                <w:sz w:val="12"/>
                <w:szCs w:val="12"/>
                <w:color w:val="auto"/>
              </w:rPr>
            </w:pPr>
          </w:p>
        </w:tc>
        <w:tc>
          <w:tcPr>
            <w:tcW w:w="400" w:type="dxa"/>
            <w:vAlign w:val="bottom"/>
            <w:tcBorders>
              <w:top w:val="single" w:sz="8" w:color="0000FF"/>
            </w:tcBorders>
            <w:gridSpan w:val="3"/>
          </w:tcPr>
          <w:p>
            <w:pPr>
              <w:spacing w:after="0"/>
              <w:rPr>
                <w:sz w:val="12"/>
                <w:szCs w:val="12"/>
                <w:color w:val="auto"/>
              </w:rPr>
            </w:pPr>
          </w:p>
        </w:tc>
        <w:tc>
          <w:tcPr>
            <w:tcW w:w="2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Borders>
              <w:top w:val="single" w:sz="8" w:color="0000FF"/>
            </w:tcBorders>
          </w:tcPr>
          <w:p>
            <w:pPr>
              <w:jc w:val="right"/>
              <w:spacing w:after="0" w:line="140" w:lineRule="exact"/>
              <w:rPr>
                <w:sz w:val="20"/>
                <w:szCs w:val="20"/>
                <w:color w:val="auto"/>
              </w:rPr>
            </w:pPr>
            <w:r>
              <w:rPr>
                <w:rFonts w:ascii="Arial" w:cs="Arial" w:eastAsia="Arial" w:hAnsi="Arial"/>
                <w:sz w:val="14"/>
                <w:szCs w:val="14"/>
                <w:color w:val="0000FF"/>
                <w:w w:val="89"/>
              </w:rPr>
              <w:t>12</w:t>
            </w:r>
          </w:p>
        </w:tc>
      </w:tr>
      <w:tr>
        <w:trPr>
          <w:trHeight w:val="20"/>
        </w:trPr>
        <w:tc>
          <w:tcPr>
            <w:tcW w:w="2520" w:type="dxa"/>
            <w:vAlign w:val="bottom"/>
            <w:gridSpan w:val="3"/>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r>
      <w:tr>
        <w:trPr>
          <w:trHeight w:val="140"/>
        </w:trPr>
        <w:tc>
          <w:tcPr>
            <w:tcW w:w="3000" w:type="dxa"/>
            <w:vAlign w:val="bottom"/>
            <w:tcBorders>
              <w:bottom w:val="single" w:sz="8" w:color="0000FF"/>
            </w:tcBorders>
            <w:gridSpan w:val="4"/>
          </w:tcPr>
          <w:p>
            <w:pPr>
              <w:spacing w:after="0" w:line="140" w:lineRule="exact"/>
              <w:rPr>
                <w:sz w:val="20"/>
                <w:szCs w:val="20"/>
                <w:color w:val="auto"/>
              </w:rPr>
            </w:pPr>
            <w:r>
              <w:rPr>
                <w:rFonts w:ascii="Arial" w:cs="Arial" w:eastAsia="Arial" w:hAnsi="Arial"/>
                <w:sz w:val="14"/>
                <w:szCs w:val="14"/>
                <w:color w:val="0000FF"/>
              </w:rPr>
              <w:t>Notes to the Consolidated Financial Statements</w:t>
            </w:r>
          </w:p>
        </w:tc>
        <w:tc>
          <w:tcPr>
            <w:tcW w:w="3580" w:type="dxa"/>
            <w:vAlign w:val="bottom"/>
            <w:gridSpan w:val="6"/>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Borders>
              <w:bottom w:val="single" w:sz="8" w:color="0000FF"/>
            </w:tcBorders>
          </w:tcPr>
          <w:p>
            <w:pPr>
              <w:jc w:val="right"/>
              <w:spacing w:after="0" w:line="140" w:lineRule="exact"/>
              <w:rPr>
                <w:sz w:val="20"/>
                <w:szCs w:val="20"/>
                <w:color w:val="auto"/>
              </w:rPr>
            </w:pPr>
            <w:r>
              <w:rPr>
                <w:rFonts w:ascii="Arial" w:cs="Arial" w:eastAsia="Arial" w:hAnsi="Arial"/>
                <w:sz w:val="14"/>
                <w:szCs w:val="14"/>
                <w:color w:val="0000FF"/>
                <w:w w:val="89"/>
              </w:rPr>
              <w:t>14</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tabs>
          <w:tab w:leader="none" w:pos="260" w:val="left"/>
          <w:tab w:leader="none" w:pos="140" w:val="left"/>
        </w:tabs>
        <w:rPr>
          <w:sz w:val="20"/>
          <w:szCs w:val="20"/>
          <w:color w:val="auto"/>
        </w:rPr>
      </w:pPr>
      <w:r>
        <w:rPr>
          <w:rFonts w:ascii="Arial" w:cs="Arial" w:eastAsia="Arial" w:hAnsi="Arial"/>
          <w:sz w:val="14"/>
          <w:szCs w:val="14"/>
          <w:color w:val="auto"/>
        </w:rPr>
        <w:t>6</w:t>
      </w:r>
      <w:r>
        <w:rPr>
          <w:sz w:val="20"/>
          <w:szCs w:val="20"/>
          <w:color w:val="auto"/>
        </w:rPr>
        <w:tab/>
      </w:r>
      <w:r>
        <w:rPr>
          <w:rFonts w:ascii="Arial" w:cs="Arial" w:eastAsia="Arial" w:hAnsi="Arial"/>
          <w:sz w:val="14"/>
          <w:szCs w:val="14"/>
          <w:color w:val="auto"/>
        </w:rPr>
        <w:t>USCB Financial Holdings, Inc.</w:t>
        <w:tab/>
        <w:t>2022 10-K/A</w:t>
      </w:r>
    </w:p>
    <w:p>
      <w:pPr>
        <w:sectPr>
          <w:pgSz w:w="11900" w:h="16838" w:orient="portrait"/>
          <w:cols w:equalWidth="0" w:num="1">
            <w:col w:w="9019"/>
          </w:cols>
          <w:pgMar w:left="1440" w:top="719" w:right="1440"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REPORT OF INDEPENDENT REGISTERED PUBLIC ACCOUNTING FIRM</w:t>
      </w:r>
    </w:p>
    <w:p>
      <w:pPr>
        <w:spacing w:after="0" w:line="200" w:lineRule="exact"/>
        <w:rPr>
          <w:sz w:val="20"/>
          <w:szCs w:val="20"/>
          <w:color w:val="auto"/>
        </w:rPr>
      </w:pPr>
    </w:p>
    <w:p>
      <w:pPr>
        <w:spacing w:after="0" w:line="290"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Stockholders and the Board of Directors of</w:t>
      </w:r>
    </w:p>
    <w:p>
      <w:pPr>
        <w:spacing w:after="0" w:line="9"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USCB Financial Holdings, Inc.</w:t>
      </w:r>
    </w:p>
    <w:p>
      <w:pPr>
        <w:ind w:left="1180"/>
        <w:spacing w:after="0"/>
        <w:rPr>
          <w:sz w:val="20"/>
          <w:szCs w:val="20"/>
          <w:color w:val="auto"/>
        </w:rPr>
      </w:pPr>
      <w:r>
        <w:rPr>
          <w:rFonts w:ascii="Arial" w:cs="Arial" w:eastAsia="Arial" w:hAnsi="Arial"/>
          <w:sz w:val="14"/>
          <w:szCs w:val="14"/>
          <w:color w:val="auto"/>
        </w:rPr>
        <w:t>Doral, Florida</w:t>
      </w:r>
    </w:p>
    <w:p>
      <w:pPr>
        <w:spacing w:after="0" w:line="312"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Opinion on the Financial Statements</w:t>
      </w:r>
    </w:p>
    <w:p>
      <w:pPr>
        <w:spacing w:after="0" w:line="188" w:lineRule="exact"/>
        <w:rPr>
          <w:sz w:val="20"/>
          <w:szCs w:val="20"/>
          <w:color w:val="auto"/>
        </w:rPr>
      </w:pPr>
    </w:p>
    <w:p>
      <w:pPr>
        <w:jc w:val="both"/>
        <w:ind w:left="1180" w:right="1159"/>
        <w:spacing w:after="0" w:line="246" w:lineRule="auto"/>
        <w:rPr>
          <w:sz w:val="20"/>
          <w:szCs w:val="20"/>
          <w:color w:val="auto"/>
        </w:rPr>
      </w:pPr>
      <w:r>
        <w:rPr>
          <w:rFonts w:ascii="Arial" w:cs="Arial" w:eastAsia="Arial" w:hAnsi="Arial"/>
          <w:sz w:val="14"/>
          <w:szCs w:val="14"/>
          <w:color w:val="auto"/>
        </w:rPr>
        <w:t>We have audited the accompanying consolidated balance sheets of USCB Financial Holdings, Inc. (the "Company") as of December 31, 2022 and 2021, the related consolidated statements of operations, comprehensive income (loss), changes in stockholders’ equity, and cash flows for the years then ended,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the years then ended, in conformity with accounting principles generally accepted in the United States of America.</w:t>
      </w:r>
    </w:p>
    <w:p>
      <w:pPr>
        <w:spacing w:after="0" w:line="129"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Basis for Opinion</w:t>
      </w:r>
    </w:p>
    <w:p>
      <w:pPr>
        <w:spacing w:after="0" w:line="188" w:lineRule="exact"/>
        <w:rPr>
          <w:sz w:val="20"/>
          <w:szCs w:val="20"/>
          <w:color w:val="auto"/>
        </w:rPr>
      </w:pPr>
    </w:p>
    <w:p>
      <w:pPr>
        <w:jc w:val="both"/>
        <w:ind w:left="1180" w:right="1199"/>
        <w:spacing w:after="0" w:line="269" w:lineRule="auto"/>
        <w:rPr>
          <w:sz w:val="20"/>
          <w:szCs w:val="20"/>
          <w:color w:val="auto"/>
        </w:rPr>
      </w:pPr>
      <w:r>
        <w:rPr>
          <w:rFonts w:ascii="Arial" w:cs="Arial" w:eastAsia="Arial" w:hAnsi="Arial"/>
          <w:sz w:val="13"/>
          <w:szCs w:val="13"/>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4" w:lineRule="exact"/>
        <w:rPr>
          <w:sz w:val="20"/>
          <w:szCs w:val="20"/>
          <w:color w:val="auto"/>
        </w:rPr>
      </w:pPr>
    </w:p>
    <w:p>
      <w:pPr>
        <w:jc w:val="both"/>
        <w:ind w:left="1180" w:right="1179"/>
        <w:spacing w:after="0" w:line="253"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142" w:lineRule="exact"/>
        <w:rPr>
          <w:sz w:val="20"/>
          <w:szCs w:val="20"/>
          <w:color w:val="auto"/>
        </w:rPr>
      </w:pPr>
    </w:p>
    <w:p>
      <w:pPr>
        <w:jc w:val="both"/>
        <w:ind w:left="1180" w:right="1199"/>
        <w:spacing w:after="0" w:line="247" w:lineRule="auto"/>
        <w:rPr>
          <w:sz w:val="20"/>
          <w:szCs w:val="20"/>
          <w:color w:val="auto"/>
        </w:rPr>
      </w:pPr>
      <w:r>
        <w:rPr>
          <w:rFonts w:ascii="Arial" w:cs="Arial" w:eastAsia="Arial" w:hAnsi="Arial"/>
          <w:sz w:val="14"/>
          <w:szCs w:val="14"/>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4119"/>
        <w:spacing w:after="0"/>
        <w:rPr>
          <w:sz w:val="20"/>
          <w:szCs w:val="20"/>
          <w:color w:val="auto"/>
        </w:rPr>
      </w:pPr>
      <w:r>
        <w:rPr>
          <w:rFonts w:ascii="Arial" w:cs="Arial" w:eastAsia="Arial" w:hAnsi="Arial"/>
          <w:sz w:val="14"/>
          <w:szCs w:val="14"/>
          <w:i w:val="1"/>
          <w:iCs w:val="1"/>
          <w:color w:val="auto"/>
        </w:rPr>
        <w:t>/s/ Crowe LLP</w:t>
      </w:r>
    </w:p>
    <w:p>
      <w:pPr>
        <w:spacing w:after="0" w:line="13" w:lineRule="exact"/>
        <w:rPr>
          <w:sz w:val="20"/>
          <w:szCs w:val="20"/>
          <w:color w:val="auto"/>
        </w:rPr>
      </w:pPr>
    </w:p>
    <w:p>
      <w:pPr>
        <w:jc w:val="right"/>
        <w:ind w:right="4159"/>
        <w:spacing w:after="0"/>
        <w:rPr>
          <w:sz w:val="20"/>
          <w:szCs w:val="20"/>
          <w:color w:val="auto"/>
        </w:rPr>
      </w:pPr>
      <w:r>
        <w:rPr>
          <w:rFonts w:ascii="Arial" w:cs="Arial" w:eastAsia="Arial" w:hAnsi="Arial"/>
          <w:sz w:val="14"/>
          <w:szCs w:val="14"/>
          <w:color w:val="auto"/>
        </w:rPr>
        <w:t>Crowe LLP</w:t>
      </w:r>
    </w:p>
    <w:p>
      <w:pPr>
        <w:spacing w:after="0" w:line="159"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We have served as the Company's auditor since 2017.</w:t>
      </w:r>
    </w:p>
    <w:p>
      <w:pPr>
        <w:spacing w:after="0" w:line="170"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Fort Lauderdale, Florida</w:t>
      </w:r>
    </w:p>
    <w:p>
      <w:pPr>
        <w:spacing w:after="0" w:line="10"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March 24,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tabs>
          <w:tab w:leader="none" w:pos="260" w:val="left"/>
          <w:tab w:leader="none" w:pos="140" w:val="left"/>
        </w:tabs>
        <w:rPr>
          <w:sz w:val="20"/>
          <w:szCs w:val="20"/>
          <w:color w:val="auto"/>
        </w:rPr>
      </w:pPr>
      <w:r>
        <w:rPr>
          <w:rFonts w:ascii="Arial" w:cs="Arial" w:eastAsia="Arial" w:hAnsi="Arial"/>
          <w:sz w:val="14"/>
          <w:szCs w:val="14"/>
          <w:color w:val="auto"/>
        </w:rPr>
        <w:t>7</w:t>
      </w:r>
      <w:r>
        <w:rPr>
          <w:sz w:val="20"/>
          <w:szCs w:val="20"/>
          <w:color w:val="auto"/>
        </w:rPr>
        <w:tab/>
      </w:r>
      <w:r>
        <w:rPr>
          <w:rFonts w:ascii="Arial" w:cs="Arial" w:eastAsia="Arial" w:hAnsi="Arial"/>
          <w:sz w:val="14"/>
          <w:szCs w:val="14"/>
          <w:color w:val="auto"/>
        </w:rPr>
        <w:t>USCB Financial Holdings, Inc.</w:t>
        <w:tab/>
        <w:t>2022 10-K/A</w:t>
      </w:r>
    </w:p>
    <w:p>
      <w:pPr>
        <w:sectPr>
          <w:pgSz w:w="11900" w:h="16838" w:orient="portrait"/>
          <w:cols w:equalWidth="0" w:num="1">
            <w:col w:w="9019"/>
          </w:cols>
          <w:pgMar w:left="1440" w:top="843" w:right="1440" w:bottom="1440" w:gutter="0" w:footer="0" w:header="0"/>
        </w:sectPr>
      </w:pPr>
    </w:p>
    <w:bookmarkStart w:id="7" w:name="page8"/>
    <w:bookmarkEnd w:id="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Consolidated Balance Sheets</w:t>
      </w:r>
    </w:p>
    <w:p>
      <w:pPr>
        <w:jc w:val="center"/>
        <w:ind w:right="39"/>
        <w:spacing w:after="0"/>
        <w:rPr>
          <w:sz w:val="20"/>
          <w:szCs w:val="20"/>
          <w:color w:val="auto"/>
        </w:rPr>
      </w:pPr>
      <w:r>
        <w:rPr>
          <w:rFonts w:ascii="Arial" w:cs="Arial" w:eastAsia="Arial" w:hAnsi="Arial"/>
          <w:sz w:val="14"/>
          <w:szCs w:val="14"/>
          <w:color w:val="auto"/>
        </w:rPr>
        <w:t>(Dollars in thousands, except share and per share data)</w:t>
      </w:r>
    </w:p>
    <w:p>
      <w:pPr>
        <w:spacing w:after="0" w:line="191" w:lineRule="exact"/>
        <w:rPr>
          <w:sz w:val="20"/>
          <w:szCs w:val="20"/>
          <w:color w:val="auto"/>
        </w:rPr>
      </w:pPr>
    </w:p>
    <w:tbl>
      <w:tblPr>
        <w:tblLayout w:type="fixed"/>
        <w:tblInd w:w="660" w:type="dxa"/>
        <w:tblCellMar>
          <w:top w:w="0" w:type="dxa"/>
          <w:left w:w="0" w:type="dxa"/>
          <w:bottom w:w="0" w:type="dxa"/>
          <w:right w:w="0" w:type="dxa"/>
        </w:tblCellMar>
      </w:tblPr>
      <w:tr>
        <w:trPr>
          <w:trHeight w:val="139"/>
        </w:trPr>
        <w:tc>
          <w:tcPr>
            <w:tcW w:w="52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4"/>
          </w:tcPr>
          <w:p>
            <w:pPr>
              <w:jc w:val="right"/>
              <w:ind w:right="9"/>
              <w:spacing w:after="0"/>
              <w:rPr>
                <w:sz w:val="20"/>
                <w:szCs w:val="20"/>
                <w:color w:val="auto"/>
              </w:rPr>
            </w:pPr>
            <w:r>
              <w:rPr>
                <w:rFonts w:ascii="Arial" w:cs="Arial" w:eastAsia="Arial" w:hAnsi="Arial"/>
                <w:sz w:val="11"/>
                <w:szCs w:val="11"/>
                <w:b w:val="1"/>
                <w:bCs w:val="1"/>
                <w:color w:val="auto"/>
              </w:rPr>
              <w:t>December 31,</w:t>
            </w:r>
          </w:p>
        </w:tc>
        <w:tc>
          <w:tcPr>
            <w:tcW w:w="7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40"/>
        </w:trPr>
        <w:tc>
          <w:tcPr>
            <w:tcW w:w="52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23"/>
              <w:spacing w:after="0"/>
              <w:rPr>
                <w:sz w:val="20"/>
                <w:szCs w:val="20"/>
                <w:color w:val="auto"/>
              </w:rPr>
            </w:pPr>
            <w:r>
              <w:rPr>
                <w:rFonts w:ascii="Arial" w:cs="Arial" w:eastAsia="Arial" w:hAnsi="Arial"/>
                <w:sz w:val="11"/>
                <w:szCs w:val="11"/>
                <w:b w:val="1"/>
                <w:bCs w:val="1"/>
                <w:color w:val="auto"/>
              </w:rPr>
              <w:t>2022</w:t>
            </w: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403"/>
              <w:spacing w:after="0"/>
              <w:rPr>
                <w:sz w:val="20"/>
                <w:szCs w:val="20"/>
                <w:color w:val="auto"/>
              </w:rPr>
            </w:pPr>
            <w:r>
              <w:rPr>
                <w:rFonts w:ascii="Arial" w:cs="Arial" w:eastAsia="Arial" w:hAnsi="Arial"/>
                <w:sz w:val="11"/>
                <w:szCs w:val="11"/>
                <w:b w:val="1"/>
                <w:bCs w:val="1"/>
                <w:color w:val="auto"/>
              </w:rPr>
              <w:t>2021</w:t>
            </w:r>
          </w:p>
        </w:tc>
        <w:tc>
          <w:tcPr>
            <w:tcW w:w="20" w:type="dxa"/>
            <w:vAlign w:val="bottom"/>
          </w:tcPr>
          <w:p>
            <w:pPr>
              <w:spacing w:after="0"/>
              <w:rPr>
                <w:sz w:val="12"/>
                <w:szCs w:val="12"/>
                <w:color w:val="auto"/>
              </w:rPr>
            </w:pPr>
          </w:p>
        </w:tc>
      </w:tr>
      <w:tr>
        <w:trPr>
          <w:trHeight w:val="151"/>
        </w:trPr>
        <w:tc>
          <w:tcPr>
            <w:tcW w:w="52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ASSETS:</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Cash and due from banks</w:t>
            </w:r>
          </w:p>
        </w:tc>
        <w:tc>
          <w:tcPr>
            <w:tcW w:w="140" w:type="dxa"/>
            <w:vAlign w:val="bottom"/>
            <w:gridSpan w:val="2"/>
          </w:tcPr>
          <w:p>
            <w:pPr>
              <w:jc w:val="right"/>
              <w:ind w:right="57"/>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6,605</w:t>
            </w:r>
          </w:p>
        </w:tc>
        <w:tc>
          <w:tcPr>
            <w:tcW w:w="40" w:type="dxa"/>
            <w:vAlign w:val="bottom"/>
          </w:tcPr>
          <w:p>
            <w:pPr>
              <w:spacing w:after="0"/>
              <w:rPr>
                <w:sz w:val="13"/>
                <w:szCs w:val="13"/>
                <w:color w:val="auto"/>
              </w:rPr>
            </w:pPr>
          </w:p>
        </w:tc>
        <w:tc>
          <w:tcPr>
            <w:tcW w:w="420" w:type="dxa"/>
            <w:vAlign w:val="bottom"/>
            <w:gridSpan w:val="2"/>
          </w:tcPr>
          <w:p>
            <w:pPr>
              <w:jc w:val="right"/>
              <w:ind w:right="289"/>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6,477</w:t>
            </w:r>
          </w:p>
        </w:tc>
        <w:tc>
          <w:tcPr>
            <w:tcW w:w="20" w:type="dxa"/>
            <w:vAlign w:val="bottom"/>
          </w:tcPr>
          <w:p>
            <w:pPr>
              <w:spacing w:after="0"/>
              <w:rPr>
                <w:sz w:val="13"/>
                <w:szCs w:val="13"/>
                <w:color w:val="auto"/>
              </w:rPr>
            </w:pPr>
          </w:p>
        </w:tc>
      </w:tr>
      <w:tr>
        <w:trPr>
          <w:trHeight w:val="149"/>
        </w:trPr>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Interest-bearing deposits in banks</w:t>
            </w: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47,563</w:t>
            </w:r>
          </w:p>
        </w:tc>
        <w:tc>
          <w:tcPr>
            <w:tcW w:w="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39,751</w:t>
            </w:r>
          </w:p>
        </w:tc>
        <w:tc>
          <w:tcPr>
            <w:tcW w:w="20" w:type="dxa"/>
            <w:vAlign w:val="bottom"/>
            <w:tcBorders>
              <w:bottom w:val="single" w:sz="8" w:color="CCEEFF"/>
            </w:tcBorders>
            <w:shd w:val="clear" w:color="auto" w:fill="CCEEFF"/>
          </w:tcPr>
          <w:p>
            <w:pPr>
              <w:spacing w:after="0"/>
              <w:rPr>
                <w:sz w:val="12"/>
                <w:szCs w:val="12"/>
                <w:color w:val="auto"/>
              </w:rPr>
            </w:pPr>
          </w:p>
        </w:tc>
      </w:tr>
      <w:tr>
        <w:trPr>
          <w:trHeight w:val="151"/>
        </w:trPr>
        <w:tc>
          <w:tcPr>
            <w:tcW w:w="5240" w:type="dxa"/>
            <w:vAlign w:val="bottom"/>
          </w:tcPr>
          <w:p>
            <w:pPr>
              <w:ind w:left="100"/>
              <w:spacing w:after="0"/>
              <w:rPr>
                <w:sz w:val="20"/>
                <w:szCs w:val="20"/>
                <w:color w:val="auto"/>
              </w:rPr>
            </w:pPr>
            <w:r>
              <w:rPr>
                <w:rFonts w:ascii="Arial" w:cs="Arial" w:eastAsia="Arial" w:hAnsi="Arial"/>
                <w:sz w:val="11"/>
                <w:szCs w:val="11"/>
                <w:color w:val="auto"/>
              </w:rPr>
              <w:t>Total cash and cash equivalents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54,168</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46,228</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Investment securities held to maturity (fair value $169,088 and $120,157, respectively)</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188,699</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122,658</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Investment securities available for sale, at fair value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230,140</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401,542</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Federal Home Loan Bank stock, at cost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2,882</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2,100</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Loans held for investment, net of allowance of $17,487 and $15,057, respectively</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1,489,851</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1,175,024</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Accrued interest receivable</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7,546</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5,975</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Premises and equipment, net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5,263</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5,278</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Bank owned life insurance</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42,781</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41,720</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Deferred tax asset, net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42,360</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34,929</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Lease right-of-use asset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14,395</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14,185</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Other assets</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7,749</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4,300</w:t>
            </w:r>
          </w:p>
        </w:tc>
        <w:tc>
          <w:tcPr>
            <w:tcW w:w="20" w:type="dxa"/>
            <w:vAlign w:val="bottom"/>
          </w:tcPr>
          <w:p>
            <w:pPr>
              <w:spacing w:after="0"/>
              <w:rPr>
                <w:sz w:val="13"/>
                <w:szCs w:val="13"/>
                <w:color w:val="auto"/>
              </w:rPr>
            </w:pPr>
          </w:p>
        </w:tc>
      </w:tr>
      <w:tr>
        <w:trPr>
          <w:trHeight w:val="161"/>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Total assets</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5"/>
                <w:szCs w:val="5"/>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2,085,834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1,853,939</w:t>
            </w:r>
          </w:p>
        </w:tc>
        <w:tc>
          <w:tcPr>
            <w:tcW w:w="20" w:type="dxa"/>
            <w:vAlign w:val="bottom"/>
            <w:tcBorders>
              <w:bottom w:val="single" w:sz="8" w:color="auto"/>
            </w:tcBorders>
            <w:shd w:val="clear" w:color="auto" w:fill="CCEEFF"/>
          </w:tcPr>
          <w:p>
            <w:pPr>
              <w:spacing w:after="0"/>
              <w:rPr>
                <w:sz w:val="14"/>
                <w:szCs w:val="14"/>
                <w:color w:val="auto"/>
              </w:rPr>
            </w:pPr>
          </w:p>
        </w:tc>
      </w:tr>
      <w:tr>
        <w:trPr>
          <w:trHeight w:val="20"/>
        </w:trPr>
        <w:tc>
          <w:tcPr>
            <w:tcW w:w="5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11"/>
        </w:trPr>
        <w:tc>
          <w:tcPr>
            <w:tcW w:w="5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LIABILITIES:</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Deposits: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Demand</w:t>
            </w:r>
          </w:p>
        </w:tc>
        <w:tc>
          <w:tcPr>
            <w:tcW w:w="140" w:type="dxa"/>
            <w:vAlign w:val="bottom"/>
            <w:gridSpan w:val="2"/>
            <w:shd w:val="clear" w:color="auto" w:fill="CCEEFF"/>
          </w:tcPr>
          <w:p>
            <w:pPr>
              <w:jc w:val="right"/>
              <w:ind w:right="57"/>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629,776</w:t>
            </w:r>
          </w:p>
        </w:tc>
        <w:tc>
          <w:tcPr>
            <w:tcW w:w="4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89"/>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$605,425</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ind w:left="100"/>
              <w:spacing w:after="0"/>
              <w:rPr>
                <w:sz w:val="20"/>
                <w:szCs w:val="20"/>
                <w:color w:val="auto"/>
              </w:rPr>
            </w:pPr>
            <w:r>
              <w:rPr>
                <w:rFonts w:ascii="Arial" w:cs="Arial" w:eastAsia="Arial" w:hAnsi="Arial"/>
                <w:sz w:val="11"/>
                <w:szCs w:val="11"/>
                <w:color w:val="auto"/>
              </w:rPr>
              <w:t>Money market and savings accounts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915,853</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703,856</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Interest-bearing checking accounts</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66,675</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55,878</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Time deposits</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216,977</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225,220</w:t>
            </w:r>
          </w:p>
        </w:tc>
        <w:tc>
          <w:tcPr>
            <w:tcW w:w="20" w:type="dxa"/>
            <w:vAlign w:val="bottom"/>
          </w:tcPr>
          <w:p>
            <w:pPr>
              <w:spacing w:after="0"/>
              <w:rPr>
                <w:sz w:val="13"/>
                <w:szCs w:val="13"/>
                <w:color w:val="auto"/>
              </w:rPr>
            </w:pPr>
          </w:p>
        </w:tc>
      </w:tr>
      <w:tr>
        <w:trPr>
          <w:trHeight w:val="140"/>
        </w:trPr>
        <w:tc>
          <w:tcPr>
            <w:tcW w:w="5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Total deposits</w:t>
            </w: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1,829,281</w:t>
            </w:r>
          </w:p>
        </w:tc>
        <w:tc>
          <w:tcPr>
            <w:tcW w:w="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1,590,379</w:t>
            </w:r>
          </w:p>
        </w:tc>
        <w:tc>
          <w:tcPr>
            <w:tcW w:w="20" w:type="dxa"/>
            <w:vAlign w:val="bottom"/>
            <w:tcBorders>
              <w:bottom w:val="single" w:sz="8" w:color="CCEEFF"/>
            </w:tcBorders>
            <w:shd w:val="clear" w:color="auto" w:fill="CCEEFF"/>
          </w:tcPr>
          <w:p>
            <w:pPr>
              <w:spacing w:after="0"/>
              <w:rPr>
                <w:sz w:val="12"/>
                <w:szCs w:val="12"/>
                <w:color w:val="auto"/>
              </w:rPr>
            </w:pPr>
          </w:p>
        </w:tc>
      </w:tr>
      <w:tr>
        <w:trPr>
          <w:trHeight w:val="151"/>
        </w:trPr>
        <w:tc>
          <w:tcPr>
            <w:tcW w:w="5240" w:type="dxa"/>
            <w:vAlign w:val="bottom"/>
          </w:tcPr>
          <w:p>
            <w:pPr>
              <w:spacing w:after="0"/>
              <w:rPr>
                <w:sz w:val="20"/>
                <w:szCs w:val="20"/>
                <w:color w:val="auto"/>
              </w:rPr>
            </w:pPr>
            <w:r>
              <w:rPr>
                <w:rFonts w:ascii="Arial" w:cs="Arial" w:eastAsia="Arial" w:hAnsi="Arial"/>
                <w:sz w:val="11"/>
                <w:szCs w:val="11"/>
                <w:color w:val="auto"/>
              </w:rPr>
              <w:t>Federal Home Loan Bank advances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46,000</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36,000</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Lease liability</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14,395</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14,185</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Accrued interest and other liabilities</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13,730</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9,478</w:t>
            </w:r>
          </w:p>
        </w:tc>
        <w:tc>
          <w:tcPr>
            <w:tcW w:w="20" w:type="dxa"/>
            <w:vAlign w:val="bottom"/>
          </w:tcPr>
          <w:p>
            <w:pPr>
              <w:spacing w:after="0"/>
              <w:rPr>
                <w:sz w:val="13"/>
                <w:szCs w:val="13"/>
                <w:color w:val="auto"/>
              </w:rPr>
            </w:pPr>
          </w:p>
        </w:tc>
      </w:tr>
      <w:tr>
        <w:trPr>
          <w:trHeight w:val="151"/>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Total liabilities</w:t>
            </w: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1,903,406</w:t>
            </w: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1,650,042</w:t>
            </w:r>
          </w:p>
        </w:tc>
        <w:tc>
          <w:tcPr>
            <w:tcW w:w="20" w:type="dxa"/>
            <w:vAlign w:val="bottom"/>
            <w:shd w:val="clear" w:color="auto" w:fill="CCEEFF"/>
          </w:tcPr>
          <w:p>
            <w:pPr>
              <w:spacing w:after="0"/>
              <w:rPr>
                <w:sz w:val="13"/>
                <w:szCs w:val="13"/>
                <w:color w:val="auto"/>
              </w:rPr>
            </w:pPr>
          </w:p>
        </w:tc>
      </w:tr>
      <w:tr>
        <w:trPr>
          <w:trHeight w:val="140"/>
        </w:trPr>
        <w:tc>
          <w:tcPr>
            <w:tcW w:w="5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Commitments and contingencies (See Note 10 and 18)</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STOCKHOLDERS' EQUITY:</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95"/>
        </w:trPr>
        <w:tc>
          <w:tcPr>
            <w:tcW w:w="5240" w:type="dxa"/>
            <w:vAlign w:val="bottom"/>
          </w:tcPr>
          <w:p>
            <w:pPr>
              <w:spacing w:after="0"/>
              <w:rPr>
                <w:sz w:val="20"/>
                <w:szCs w:val="20"/>
                <w:color w:val="auto"/>
              </w:rPr>
            </w:pPr>
            <w:r>
              <w:rPr>
                <w:rFonts w:ascii="Arial" w:cs="Arial" w:eastAsia="Arial" w:hAnsi="Arial"/>
                <w:sz w:val="11"/>
                <w:szCs w:val="11"/>
                <w:color w:val="auto"/>
              </w:rPr>
              <w:t>Preferred stock - Class C; $1.00 par value; $1,000 per share liquidation preference; 52,748 shares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25"/>
        </w:trPr>
        <w:tc>
          <w:tcPr>
            <w:tcW w:w="5240" w:type="dxa"/>
            <w:vAlign w:val="bottom"/>
          </w:tcPr>
          <w:p>
            <w:pPr>
              <w:spacing w:after="0" w:line="125" w:lineRule="exact"/>
              <w:rPr>
                <w:sz w:val="20"/>
                <w:szCs w:val="20"/>
                <w:color w:val="auto"/>
              </w:rPr>
            </w:pPr>
            <w:r>
              <w:rPr>
                <w:rFonts w:ascii="Arial" w:cs="Arial" w:eastAsia="Arial" w:hAnsi="Arial"/>
                <w:sz w:val="11"/>
                <w:szCs w:val="11"/>
                <w:color w:val="auto"/>
              </w:rPr>
              <w:t>authorized; 0 issued and outstanding as of December 31, 2022 and 2021</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r>
      <w:tr>
        <w:trPr>
          <w:trHeight w:val="192"/>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Preferred stock - Class D; $1.00 par value; $5.00 per share liquidation preference; 12,309,480 shares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28"/>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authorized; 0 issued and outstanding as of December 31, 2022 and 2021</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r>
      <w:tr>
        <w:trPr>
          <w:trHeight w:val="195"/>
        </w:trPr>
        <w:tc>
          <w:tcPr>
            <w:tcW w:w="5240" w:type="dxa"/>
            <w:vAlign w:val="bottom"/>
          </w:tcPr>
          <w:p>
            <w:pPr>
              <w:spacing w:after="0"/>
              <w:rPr>
                <w:sz w:val="20"/>
                <w:szCs w:val="20"/>
                <w:color w:val="auto"/>
              </w:rPr>
            </w:pPr>
            <w:r>
              <w:rPr>
                <w:rFonts w:ascii="Arial" w:cs="Arial" w:eastAsia="Arial" w:hAnsi="Arial"/>
                <w:sz w:val="11"/>
                <w:szCs w:val="11"/>
                <w:color w:val="auto"/>
              </w:rPr>
              <w:t>Preferred stock - Class E; $1.00 par value; $1,000 per share liquidation preference; 3,185,024 shares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25"/>
        </w:trPr>
        <w:tc>
          <w:tcPr>
            <w:tcW w:w="5240" w:type="dxa"/>
            <w:vAlign w:val="bottom"/>
          </w:tcPr>
          <w:p>
            <w:pPr>
              <w:spacing w:after="0" w:line="125" w:lineRule="exact"/>
              <w:rPr>
                <w:sz w:val="20"/>
                <w:szCs w:val="20"/>
                <w:color w:val="auto"/>
              </w:rPr>
            </w:pPr>
            <w:r>
              <w:rPr>
                <w:rFonts w:ascii="Arial" w:cs="Arial" w:eastAsia="Arial" w:hAnsi="Arial"/>
                <w:sz w:val="11"/>
                <w:szCs w:val="11"/>
                <w:color w:val="auto"/>
              </w:rPr>
              <w:t>authorized; 0 issued and outstanding as of December 31, 2022 and 2021</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r>
      <w:tr>
        <w:trPr>
          <w:trHeight w:val="192"/>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Common stock - Class A Voting; $1.00 par value; 45,000,000 shares authorized; 20,000,753 and</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28"/>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19,991,753 issued and outstanding as of December 31, 2022 and 2021</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20,001</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19,992</w:t>
            </w:r>
          </w:p>
        </w:tc>
        <w:tc>
          <w:tcPr>
            <w:tcW w:w="20" w:type="dxa"/>
            <w:vAlign w:val="bottom"/>
            <w:shd w:val="clear" w:color="auto" w:fill="CCEEFF"/>
          </w:tcPr>
          <w:p>
            <w:pPr>
              <w:spacing w:after="0"/>
              <w:rPr>
                <w:sz w:val="11"/>
                <w:szCs w:val="11"/>
                <w:color w:val="auto"/>
              </w:rPr>
            </w:pPr>
          </w:p>
        </w:tc>
      </w:tr>
      <w:tr>
        <w:trPr>
          <w:trHeight w:val="195"/>
        </w:trPr>
        <w:tc>
          <w:tcPr>
            <w:tcW w:w="5240" w:type="dxa"/>
            <w:vAlign w:val="bottom"/>
          </w:tcPr>
          <w:p>
            <w:pPr>
              <w:spacing w:after="0"/>
              <w:rPr>
                <w:sz w:val="20"/>
                <w:szCs w:val="20"/>
                <w:color w:val="auto"/>
              </w:rPr>
            </w:pPr>
            <w:r>
              <w:rPr>
                <w:rFonts w:ascii="Arial" w:cs="Arial" w:eastAsia="Arial" w:hAnsi="Arial"/>
                <w:sz w:val="11"/>
                <w:szCs w:val="11"/>
                <w:color w:val="auto"/>
              </w:rPr>
              <w:t>Common stock - Class B Non-voting; $1.00 par value; 8,000,000 shares authorized; 0 issued and</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25"/>
        </w:trPr>
        <w:tc>
          <w:tcPr>
            <w:tcW w:w="5240" w:type="dxa"/>
            <w:vAlign w:val="bottom"/>
          </w:tcPr>
          <w:p>
            <w:pPr>
              <w:spacing w:after="0" w:line="125" w:lineRule="exact"/>
              <w:rPr>
                <w:sz w:val="20"/>
                <w:szCs w:val="20"/>
                <w:color w:val="auto"/>
              </w:rPr>
            </w:pPr>
            <w:r>
              <w:rPr>
                <w:rFonts w:ascii="Arial" w:cs="Arial" w:eastAsia="Arial" w:hAnsi="Arial"/>
                <w:sz w:val="11"/>
                <w:szCs w:val="11"/>
                <w:color w:val="auto"/>
              </w:rPr>
              <w:t>outstanding as of December 31, 2022 and 2021</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Additional paid-in capital on common stock</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311,282</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310,666</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color w:val="auto"/>
              </w:rPr>
              <w:t>Accumulated deficit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1"/>
                <w:szCs w:val="11"/>
                <w:color w:val="auto"/>
              </w:rPr>
              <w:t>(104,104)</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(124,245)</w:t>
            </w:r>
          </w:p>
        </w:tc>
      </w:tr>
      <w:tr>
        <w:trPr>
          <w:trHeight w:val="160"/>
        </w:trPr>
        <w:tc>
          <w:tcPr>
            <w:tcW w:w="5240" w:type="dxa"/>
            <w:vAlign w:val="bottom"/>
            <w:shd w:val="clear" w:color="auto" w:fill="CCEEFF"/>
          </w:tcPr>
          <w:p>
            <w:pPr>
              <w:spacing w:after="0"/>
              <w:rPr>
                <w:sz w:val="20"/>
                <w:szCs w:val="20"/>
                <w:color w:val="auto"/>
              </w:rPr>
            </w:pPr>
            <w:r>
              <w:rPr>
                <w:rFonts w:ascii="Arial" w:cs="Arial" w:eastAsia="Arial" w:hAnsi="Arial"/>
                <w:sz w:val="11"/>
                <w:szCs w:val="11"/>
                <w:color w:val="auto"/>
              </w:rPr>
              <w:t>Accumulated other comprehensive income (loss)</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(44,751)</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(2,516)</w:t>
            </w:r>
          </w:p>
        </w:tc>
      </w:tr>
      <w:tr>
        <w:trPr>
          <w:trHeight w:val="160"/>
        </w:trPr>
        <w:tc>
          <w:tcPr>
            <w:tcW w:w="5240" w:type="dxa"/>
            <w:vAlign w:val="bottom"/>
          </w:tcPr>
          <w:p>
            <w:pPr>
              <w:ind w:left="100"/>
              <w:spacing w:after="0"/>
              <w:rPr>
                <w:sz w:val="20"/>
                <w:szCs w:val="20"/>
                <w:color w:val="auto"/>
              </w:rPr>
            </w:pPr>
            <w:r>
              <w:rPr>
                <w:rFonts w:ascii="Arial" w:cs="Arial" w:eastAsia="Arial" w:hAnsi="Arial"/>
                <w:sz w:val="11"/>
                <w:szCs w:val="11"/>
                <w:color w:val="auto"/>
              </w:rPr>
              <w:t>Total stockholders' equity</w:t>
            </w:r>
          </w:p>
        </w:tc>
        <w:tc>
          <w:tcPr>
            <w:tcW w:w="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182,428</w:t>
            </w:r>
          </w:p>
        </w:tc>
        <w:tc>
          <w:tcPr>
            <w:tcW w:w="40" w:type="dxa"/>
            <w:vAlign w:val="bottom"/>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203,897</w:t>
            </w:r>
          </w:p>
        </w:tc>
        <w:tc>
          <w:tcPr>
            <w:tcW w:w="20" w:type="dxa"/>
            <w:vAlign w:val="bottom"/>
          </w:tcPr>
          <w:p>
            <w:pPr>
              <w:spacing w:after="0"/>
              <w:rPr>
                <w:sz w:val="13"/>
                <w:szCs w:val="13"/>
                <w:color w:val="auto"/>
              </w:rPr>
            </w:pPr>
          </w:p>
        </w:tc>
      </w:tr>
      <w:tr>
        <w:trPr>
          <w:trHeight w:val="141"/>
        </w:trPr>
        <w:tc>
          <w:tcPr>
            <w:tcW w:w="524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Total liabilities and stockholders' equity</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5"/>
                <w:szCs w:val="5"/>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2,085,834</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1,853,939</w:t>
            </w:r>
          </w:p>
        </w:tc>
        <w:tc>
          <w:tcPr>
            <w:tcW w:w="20" w:type="dxa"/>
            <w:vAlign w:val="bottom"/>
            <w:tcBorders>
              <w:bottom w:val="single" w:sz="8" w:color="auto"/>
            </w:tcBorders>
            <w:shd w:val="clear" w:color="auto" w:fill="CCEEFF"/>
          </w:tcPr>
          <w:p>
            <w:pPr>
              <w:spacing w:after="0"/>
              <w:rPr>
                <w:sz w:val="12"/>
                <w:szCs w:val="12"/>
                <w:color w:val="auto"/>
              </w:rPr>
            </w:pPr>
          </w:p>
        </w:tc>
      </w:tr>
      <w:tr>
        <w:trPr>
          <w:trHeight w:val="20"/>
        </w:trPr>
        <w:tc>
          <w:tcPr>
            <w:tcW w:w="5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tabs>
          <w:tab w:leader="none" w:pos="260" w:val="left"/>
          <w:tab w:leader="none" w:pos="140" w:val="left"/>
        </w:tabs>
        <w:rPr>
          <w:sz w:val="20"/>
          <w:szCs w:val="20"/>
          <w:color w:val="auto"/>
        </w:rPr>
      </w:pPr>
      <w:r>
        <w:rPr>
          <w:rFonts w:ascii="Arial" w:cs="Arial" w:eastAsia="Arial" w:hAnsi="Arial"/>
          <w:sz w:val="14"/>
          <w:szCs w:val="14"/>
          <w:color w:val="auto"/>
        </w:rPr>
        <w:t>8</w:t>
      </w:r>
      <w:r>
        <w:rPr>
          <w:sz w:val="20"/>
          <w:szCs w:val="20"/>
          <w:color w:val="auto"/>
        </w:rPr>
        <w:tab/>
      </w:r>
      <w:r>
        <w:rPr>
          <w:rFonts w:ascii="Arial" w:cs="Arial" w:eastAsia="Arial" w:hAnsi="Arial"/>
          <w:sz w:val="14"/>
          <w:szCs w:val="14"/>
          <w:color w:val="auto"/>
        </w:rPr>
        <w:t>USCB Financial Holdings, Inc.</w:t>
        <w:tab/>
        <w:t>2022 10-K/A</w:t>
      </w:r>
    </w:p>
    <w:p>
      <w:pPr>
        <w:sectPr>
          <w:pgSz w:w="11900" w:h="16838" w:orient="portrait"/>
          <w:cols w:equalWidth="0" w:num="1">
            <w:col w:w="9019"/>
          </w:cols>
          <w:pgMar w:left="1440" w:top="491" w:right="1440" w:bottom="1440" w:gutter="0" w:footer="0" w:header="0"/>
        </w:sectPr>
      </w:pPr>
    </w:p>
    <w:bookmarkStart w:id="8" w:name="page9"/>
    <w:bookmarkEnd w:id="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Consolidated Statements of Operations</w:t>
      </w:r>
    </w:p>
    <w:p>
      <w:pPr>
        <w:jc w:val="center"/>
        <w:ind w:right="19"/>
        <w:spacing w:after="0"/>
        <w:rPr>
          <w:sz w:val="20"/>
          <w:szCs w:val="20"/>
          <w:color w:val="auto"/>
        </w:rPr>
      </w:pPr>
      <w:r>
        <w:rPr>
          <w:rFonts w:ascii="Arial" w:cs="Arial" w:eastAsia="Arial" w:hAnsi="Arial"/>
          <w:sz w:val="14"/>
          <w:szCs w:val="14"/>
          <w:color w:val="auto"/>
        </w:rPr>
        <w:t>(Dollars in thousands, except per share data)</w:t>
      </w:r>
    </w:p>
    <w:p>
      <w:pPr>
        <w:spacing w:after="0" w:line="202" w:lineRule="exact"/>
        <w:rPr>
          <w:sz w:val="20"/>
          <w:szCs w:val="20"/>
          <w:color w:val="auto"/>
        </w:rPr>
      </w:pPr>
    </w:p>
    <w:tbl>
      <w:tblPr>
        <w:tblLayout w:type="fixed"/>
        <w:tblInd w:w="660" w:type="dxa"/>
        <w:tblCellMar>
          <w:top w:w="0" w:type="dxa"/>
          <w:left w:w="0" w:type="dxa"/>
          <w:bottom w:w="0" w:type="dxa"/>
          <w:right w:w="0" w:type="dxa"/>
        </w:tblCellMar>
      </w:tblPr>
      <w:tr>
        <w:trPr>
          <w:trHeight w:val="139"/>
        </w:trPr>
        <w:tc>
          <w:tcPr>
            <w:tcW w:w="52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1"/>
                <w:szCs w:val="11"/>
                <w:b w:val="1"/>
                <w:bCs w:val="1"/>
                <w:color w:val="auto"/>
              </w:rPr>
              <w:t>Years Ended December 31,</w:t>
            </w:r>
          </w:p>
        </w:tc>
        <w:tc>
          <w:tcPr>
            <w:tcW w:w="4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51"/>
        </w:trPr>
        <w:tc>
          <w:tcPr>
            <w:tcW w:w="5240" w:type="dxa"/>
            <w:vAlign w:val="bottom"/>
          </w:tcPr>
          <w:p>
            <w:pPr>
              <w:spacing w:after="0"/>
              <w:rPr>
                <w:sz w:val="13"/>
                <w:szCs w:val="13"/>
                <w:color w:val="auto"/>
              </w:rPr>
            </w:pPr>
          </w:p>
        </w:tc>
        <w:tc>
          <w:tcPr>
            <w:tcW w:w="760" w:type="dxa"/>
            <w:vAlign w:val="bottom"/>
            <w:gridSpan w:val="3"/>
          </w:tcPr>
          <w:p>
            <w:pPr>
              <w:jc w:val="right"/>
              <w:spacing w:after="0"/>
              <w:rPr>
                <w:sz w:val="20"/>
                <w:szCs w:val="20"/>
                <w:color w:val="auto"/>
              </w:rPr>
            </w:pPr>
            <w:r>
              <w:rPr>
                <w:rFonts w:ascii="Arial" w:cs="Arial" w:eastAsia="Arial" w:hAnsi="Arial"/>
                <w:sz w:val="11"/>
                <w:szCs w:val="11"/>
                <w:b w:val="1"/>
                <w:bCs w:val="1"/>
                <w:color w:val="auto"/>
              </w:rPr>
              <w:t>2022</w:t>
            </w:r>
          </w:p>
        </w:tc>
        <w:tc>
          <w:tcPr>
            <w:tcW w:w="440" w:type="dxa"/>
            <w:vAlign w:val="bottom"/>
          </w:tcPr>
          <w:p>
            <w:pPr>
              <w:spacing w:after="0"/>
              <w:rPr>
                <w:sz w:val="13"/>
                <w:szCs w:val="13"/>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1"/>
                <w:szCs w:val="11"/>
                <w:b w:val="1"/>
                <w:bCs w:val="1"/>
                <w:color w:val="auto"/>
              </w:rPr>
              <w:t>2021</w:t>
            </w: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Interest income:</w:t>
            </w: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5240" w:type="dxa"/>
            <w:vAlign w:val="bottom"/>
          </w:tcPr>
          <w:p>
            <w:pPr>
              <w:ind w:left="100"/>
              <w:spacing w:after="0"/>
              <w:rPr>
                <w:sz w:val="20"/>
                <w:szCs w:val="20"/>
                <w:color w:val="auto"/>
              </w:rPr>
            </w:pPr>
            <w:r>
              <w:rPr>
                <w:rFonts w:ascii="Arial" w:cs="Arial" w:eastAsia="Arial" w:hAnsi="Arial"/>
                <w:sz w:val="11"/>
                <w:szCs w:val="11"/>
                <w:color w:val="auto"/>
              </w:rPr>
              <w:t>Loans, including fees</w:t>
            </w:r>
          </w:p>
        </w:tc>
        <w:tc>
          <w:tcPr>
            <w:tcW w:w="140" w:type="dxa"/>
            <w:vAlign w:val="bottom"/>
            <w:gridSpan w:val="2"/>
          </w:tcPr>
          <w:p>
            <w:pPr>
              <w:jc w:val="right"/>
              <w:ind w:right="80"/>
              <w:spacing w:after="0"/>
              <w:rPr>
                <w:sz w:val="20"/>
                <w:szCs w:val="20"/>
                <w:color w:val="auto"/>
              </w:rPr>
            </w:pPr>
            <w:r>
              <w:rPr>
                <w:rFonts w:ascii="Arial" w:cs="Arial" w:eastAsia="Arial" w:hAnsi="Arial"/>
                <w:sz w:val="10"/>
                <w:szCs w:val="10"/>
                <w:color w:val="auto"/>
                <w:w w:val="71"/>
              </w:rPr>
              <w:t>$</w:t>
            </w:r>
          </w:p>
        </w:tc>
        <w:tc>
          <w:tcPr>
            <w:tcW w:w="6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60,825</w:t>
            </w:r>
          </w:p>
        </w:tc>
        <w:tc>
          <w:tcPr>
            <w:tcW w:w="800" w:type="dxa"/>
            <w:vAlign w:val="bottom"/>
            <w:gridSpan w:val="3"/>
          </w:tcPr>
          <w:p>
            <w:pPr>
              <w:jc w:val="right"/>
              <w:ind w:right="680"/>
              <w:spacing w:after="0"/>
              <w:rPr>
                <w:sz w:val="20"/>
                <w:szCs w:val="20"/>
                <w:color w:val="auto"/>
              </w:rPr>
            </w:pPr>
            <w:r>
              <w:rPr>
                <w:rFonts w:ascii="Arial" w:cs="Arial" w:eastAsia="Arial" w:hAnsi="Arial"/>
                <w:sz w:val="11"/>
                <w:szCs w:val="11"/>
                <w:color w:val="auto"/>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48,730</w:t>
            </w:r>
          </w:p>
        </w:tc>
        <w:tc>
          <w:tcPr>
            <w:tcW w:w="20" w:type="dxa"/>
            <w:vAlign w:val="bottom"/>
          </w:tcPr>
          <w:p>
            <w:pPr>
              <w:spacing w:after="0"/>
              <w:rPr>
                <w:sz w:val="14"/>
                <w:szCs w:val="14"/>
                <w:color w:val="auto"/>
              </w:rPr>
            </w:pPr>
          </w:p>
        </w:tc>
      </w:tr>
      <w:tr>
        <w:trPr>
          <w:trHeight w:val="171"/>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Investment securities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9,346</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7,886</w:t>
            </w:r>
          </w:p>
        </w:tc>
        <w:tc>
          <w:tcPr>
            <w:tcW w:w="20" w:type="dxa"/>
            <w:vAlign w:val="bottom"/>
            <w:shd w:val="clear" w:color="auto" w:fill="CCEEFF"/>
          </w:tcPr>
          <w:p>
            <w:pPr>
              <w:spacing w:after="0"/>
              <w:rPr>
                <w:sz w:val="14"/>
                <w:szCs w:val="14"/>
                <w:color w:val="auto"/>
              </w:rPr>
            </w:pPr>
          </w:p>
        </w:tc>
      </w:tr>
      <w:tr>
        <w:trPr>
          <w:trHeight w:val="171"/>
        </w:trPr>
        <w:tc>
          <w:tcPr>
            <w:tcW w:w="524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Interest-bearing deposits in financial institutions</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929</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106</w:t>
            </w:r>
          </w:p>
        </w:tc>
        <w:tc>
          <w:tcPr>
            <w:tcW w:w="20" w:type="dxa"/>
            <w:vAlign w:val="bottom"/>
          </w:tcPr>
          <w:p>
            <w:pPr>
              <w:spacing w:after="0"/>
              <w:rPr>
                <w:sz w:val="14"/>
                <w:szCs w:val="14"/>
                <w:color w:val="auto"/>
              </w:rPr>
            </w:pPr>
          </w:p>
        </w:tc>
      </w:tr>
      <w:tr>
        <w:trPr>
          <w:trHeight w:val="151"/>
        </w:trPr>
        <w:tc>
          <w:tcPr>
            <w:tcW w:w="52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Total interest income</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71,100</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56,722</w:t>
            </w:r>
          </w:p>
        </w:tc>
        <w:tc>
          <w:tcPr>
            <w:tcW w:w="20" w:type="dxa"/>
            <w:vAlign w:val="bottom"/>
            <w:shd w:val="clear" w:color="auto" w:fill="CCEEFF"/>
          </w:tcPr>
          <w:p>
            <w:pPr>
              <w:spacing w:after="0"/>
              <w:rPr>
                <w:sz w:val="13"/>
                <w:szCs w:val="13"/>
                <w:color w:val="auto"/>
              </w:rPr>
            </w:pPr>
          </w:p>
        </w:tc>
      </w:tr>
      <w:tr>
        <w:trPr>
          <w:trHeight w:val="171"/>
        </w:trPr>
        <w:tc>
          <w:tcPr>
            <w:tcW w:w="5240" w:type="dxa"/>
            <w:vAlign w:val="bottom"/>
          </w:tcPr>
          <w:p>
            <w:pPr>
              <w:spacing w:after="0"/>
              <w:rPr>
                <w:sz w:val="20"/>
                <w:szCs w:val="20"/>
                <w:color w:val="auto"/>
              </w:rPr>
            </w:pPr>
            <w:r>
              <w:rPr>
                <w:rFonts w:ascii="Arial" w:cs="Arial" w:eastAsia="Arial" w:hAnsi="Arial"/>
                <w:sz w:val="11"/>
                <w:szCs w:val="11"/>
                <w:b w:val="1"/>
                <w:bCs w:val="1"/>
                <w:color w:val="auto"/>
              </w:rPr>
              <w:t>Interest expense: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Interest-bearing deposits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w:t>
            </w:r>
          </w:p>
        </w:tc>
        <w:tc>
          <w:tcPr>
            <w:tcW w:w="20" w:type="dxa"/>
            <w:vAlign w:val="bottom"/>
            <w:shd w:val="clear" w:color="auto" w:fill="CCEEFF"/>
          </w:tcPr>
          <w:p>
            <w:pPr>
              <w:spacing w:after="0"/>
              <w:rPr>
                <w:sz w:val="14"/>
                <w:szCs w:val="14"/>
                <w:color w:val="auto"/>
              </w:rPr>
            </w:pPr>
          </w:p>
        </w:tc>
      </w:tr>
      <w:tr>
        <w:trPr>
          <w:trHeight w:val="171"/>
        </w:trPr>
        <w:tc>
          <w:tcPr>
            <w:tcW w:w="5240" w:type="dxa"/>
            <w:vAlign w:val="bottom"/>
          </w:tcPr>
          <w:p>
            <w:pPr>
              <w:ind w:left="100"/>
              <w:spacing w:after="0"/>
              <w:rPr>
                <w:sz w:val="20"/>
                <w:szCs w:val="20"/>
                <w:color w:val="auto"/>
              </w:rPr>
            </w:pPr>
            <w:r>
              <w:rPr>
                <w:rFonts w:ascii="Arial" w:cs="Arial" w:eastAsia="Arial" w:hAnsi="Arial"/>
                <w:sz w:val="11"/>
                <w:szCs w:val="11"/>
                <w:color w:val="auto"/>
              </w:rPr>
              <w:t>Savings and money markets accounts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5,173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2,082</w:t>
            </w:r>
          </w:p>
        </w:tc>
        <w:tc>
          <w:tcPr>
            <w:tcW w:w="20" w:type="dxa"/>
            <w:vAlign w:val="bottom"/>
          </w:tcPr>
          <w:p>
            <w:pPr>
              <w:spacing w:after="0"/>
              <w:rPr>
                <w:sz w:val="14"/>
                <w:szCs w:val="14"/>
                <w:color w:val="auto"/>
              </w:rPr>
            </w:pPr>
          </w:p>
        </w:tc>
      </w:tr>
      <w:tr>
        <w:trPr>
          <w:trHeight w:val="171"/>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Time deposits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1,509</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1,531</w:t>
            </w:r>
          </w:p>
        </w:tc>
        <w:tc>
          <w:tcPr>
            <w:tcW w:w="20" w:type="dxa"/>
            <w:vAlign w:val="bottom"/>
            <w:shd w:val="clear" w:color="auto" w:fill="CCEEFF"/>
          </w:tcPr>
          <w:p>
            <w:pPr>
              <w:spacing w:after="0"/>
              <w:rPr>
                <w:sz w:val="14"/>
                <w:szCs w:val="14"/>
                <w:color w:val="auto"/>
              </w:rPr>
            </w:pPr>
          </w:p>
        </w:tc>
      </w:tr>
      <w:tr>
        <w:trPr>
          <w:trHeight w:val="171"/>
        </w:trPr>
        <w:tc>
          <w:tcPr>
            <w:tcW w:w="524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Federal Home Loan Bank advances</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671</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554</w:t>
            </w:r>
          </w:p>
        </w:tc>
        <w:tc>
          <w:tcPr>
            <w:tcW w:w="20" w:type="dxa"/>
            <w:vAlign w:val="bottom"/>
          </w:tcPr>
          <w:p>
            <w:pPr>
              <w:spacing w:after="0"/>
              <w:rPr>
                <w:sz w:val="14"/>
                <w:szCs w:val="14"/>
                <w:color w:val="auto"/>
              </w:rPr>
            </w:pPr>
          </w:p>
        </w:tc>
      </w:tr>
      <w:tr>
        <w:trPr>
          <w:trHeight w:val="151"/>
        </w:trPr>
        <w:tc>
          <w:tcPr>
            <w:tcW w:w="52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Total interest expense</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7,439</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4,226</w:t>
            </w:r>
          </w:p>
        </w:tc>
        <w:tc>
          <w:tcPr>
            <w:tcW w:w="20" w:type="dxa"/>
            <w:vAlign w:val="bottom"/>
            <w:shd w:val="clear" w:color="auto" w:fill="CCEEFF"/>
          </w:tcPr>
          <w:p>
            <w:pPr>
              <w:spacing w:after="0"/>
              <w:rPr>
                <w:sz w:val="13"/>
                <w:szCs w:val="13"/>
                <w:color w:val="auto"/>
              </w:rPr>
            </w:pPr>
          </w:p>
        </w:tc>
      </w:tr>
      <w:tr>
        <w:trPr>
          <w:trHeight w:val="171"/>
        </w:trPr>
        <w:tc>
          <w:tcPr>
            <w:tcW w:w="5240" w:type="dxa"/>
            <w:vAlign w:val="bottom"/>
          </w:tcPr>
          <w:p>
            <w:pPr>
              <w:ind w:left="300"/>
              <w:spacing w:after="0"/>
              <w:rPr>
                <w:sz w:val="20"/>
                <w:szCs w:val="20"/>
                <w:color w:val="auto"/>
              </w:rPr>
            </w:pPr>
            <w:r>
              <w:rPr>
                <w:rFonts w:ascii="Arial" w:cs="Arial" w:eastAsia="Arial" w:hAnsi="Arial"/>
                <w:sz w:val="11"/>
                <w:szCs w:val="11"/>
                <w:color w:val="auto"/>
              </w:rPr>
              <w:t>Net interest income before provision for credit losses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63,661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52,496</w:t>
            </w:r>
          </w:p>
        </w:tc>
        <w:tc>
          <w:tcPr>
            <w:tcW w:w="20" w:type="dxa"/>
            <w:vAlign w:val="bottom"/>
          </w:tcPr>
          <w:p>
            <w:pPr>
              <w:spacing w:after="0"/>
              <w:rPr>
                <w:sz w:val="14"/>
                <w:szCs w:val="14"/>
                <w:color w:val="auto"/>
              </w:rPr>
            </w:pPr>
          </w:p>
        </w:tc>
      </w:tr>
      <w:tr>
        <w:trPr>
          <w:trHeight w:val="171"/>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Provision for credit losses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2,495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(160)</w:t>
            </w:r>
          </w:p>
        </w:tc>
      </w:tr>
      <w:tr>
        <w:trPr>
          <w:trHeight w:val="151"/>
        </w:trPr>
        <w:tc>
          <w:tcPr>
            <w:tcW w:w="5240" w:type="dxa"/>
            <w:vAlign w:val="bottom"/>
            <w:tcBorders>
              <w:bottom w:val="single" w:sz="8" w:color="CCEEFF"/>
            </w:tcBorders>
          </w:tcPr>
          <w:p>
            <w:pPr>
              <w:ind w:left="300"/>
              <w:spacing w:after="0"/>
              <w:rPr>
                <w:sz w:val="20"/>
                <w:szCs w:val="20"/>
                <w:color w:val="auto"/>
              </w:rPr>
            </w:pPr>
            <w:r>
              <w:rPr>
                <w:rFonts w:ascii="Arial" w:cs="Arial" w:eastAsia="Arial" w:hAnsi="Arial"/>
                <w:sz w:val="11"/>
                <w:szCs w:val="11"/>
                <w:color w:val="auto"/>
              </w:rPr>
              <w:t>Net interest income after provision for credit losses</w:t>
            </w:r>
          </w:p>
        </w:tc>
        <w:tc>
          <w:tcPr>
            <w:tcW w:w="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61,166</w:t>
            </w:r>
          </w:p>
        </w:tc>
        <w:tc>
          <w:tcPr>
            <w:tcW w:w="40" w:type="dxa"/>
            <w:vAlign w:val="bottom"/>
            <w:tcBorders>
              <w:bottom w:val="single" w:sz="8" w:color="CCEEFF"/>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52,656</w:t>
            </w:r>
          </w:p>
        </w:tc>
        <w:tc>
          <w:tcPr>
            <w:tcW w:w="20" w:type="dxa"/>
            <w:vAlign w:val="bottom"/>
          </w:tcPr>
          <w:p>
            <w:pPr>
              <w:spacing w:after="0"/>
              <w:rPr>
                <w:sz w:val="13"/>
                <w:szCs w:val="13"/>
                <w:color w:val="auto"/>
              </w:rPr>
            </w:pPr>
          </w:p>
        </w:tc>
      </w:tr>
      <w:tr>
        <w:trPr>
          <w:trHeight w:val="151"/>
        </w:trPr>
        <w:tc>
          <w:tcPr>
            <w:tcW w:w="52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Non-interest income:</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5240" w:type="dxa"/>
            <w:vAlign w:val="bottom"/>
          </w:tcPr>
          <w:p>
            <w:pPr>
              <w:ind w:left="100"/>
              <w:spacing w:after="0"/>
              <w:rPr>
                <w:sz w:val="20"/>
                <w:szCs w:val="20"/>
                <w:color w:val="auto"/>
              </w:rPr>
            </w:pPr>
            <w:r>
              <w:rPr>
                <w:rFonts w:ascii="Arial" w:cs="Arial" w:eastAsia="Arial" w:hAnsi="Arial"/>
                <w:sz w:val="11"/>
                <w:szCs w:val="11"/>
                <w:color w:val="auto"/>
              </w:rPr>
              <w:t>Service fees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4,010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3,609</w:t>
            </w:r>
          </w:p>
        </w:tc>
        <w:tc>
          <w:tcPr>
            <w:tcW w:w="20" w:type="dxa"/>
            <w:vAlign w:val="bottom"/>
          </w:tcPr>
          <w:p>
            <w:pPr>
              <w:spacing w:after="0"/>
              <w:rPr>
                <w:sz w:val="14"/>
                <w:szCs w:val="14"/>
                <w:color w:val="auto"/>
              </w:rPr>
            </w:pPr>
          </w:p>
        </w:tc>
      </w:tr>
      <w:tr>
        <w:trPr>
          <w:trHeight w:val="171"/>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Bank owned life insurance income</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1,061</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759</w:t>
            </w:r>
          </w:p>
        </w:tc>
        <w:tc>
          <w:tcPr>
            <w:tcW w:w="20" w:type="dxa"/>
            <w:vAlign w:val="bottom"/>
            <w:shd w:val="clear" w:color="auto" w:fill="CCEEFF"/>
          </w:tcPr>
          <w:p>
            <w:pPr>
              <w:spacing w:after="0"/>
              <w:rPr>
                <w:sz w:val="14"/>
                <w:szCs w:val="14"/>
                <w:color w:val="auto"/>
              </w:rPr>
            </w:pPr>
          </w:p>
        </w:tc>
      </w:tr>
      <w:tr>
        <w:trPr>
          <w:trHeight w:val="171"/>
        </w:trPr>
        <w:tc>
          <w:tcPr>
            <w:tcW w:w="5240" w:type="dxa"/>
            <w:vAlign w:val="bottom"/>
          </w:tcPr>
          <w:p>
            <w:pPr>
              <w:ind w:left="100"/>
              <w:spacing w:after="0"/>
              <w:rPr>
                <w:sz w:val="20"/>
                <w:szCs w:val="20"/>
                <w:color w:val="auto"/>
              </w:rPr>
            </w:pPr>
            <w:r>
              <w:rPr>
                <w:rFonts w:ascii="Arial" w:cs="Arial" w:eastAsia="Arial" w:hAnsi="Arial"/>
                <w:sz w:val="11"/>
                <w:szCs w:val="11"/>
                <w:color w:val="auto"/>
              </w:rPr>
              <w:t>Gain (loss) on sale of securities available for sale, net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(2,529)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214</w:t>
            </w:r>
          </w:p>
        </w:tc>
        <w:tc>
          <w:tcPr>
            <w:tcW w:w="20" w:type="dxa"/>
            <w:vAlign w:val="bottom"/>
          </w:tcPr>
          <w:p>
            <w:pPr>
              <w:spacing w:after="0"/>
              <w:rPr>
                <w:sz w:val="14"/>
                <w:szCs w:val="14"/>
                <w:color w:val="auto"/>
              </w:rPr>
            </w:pPr>
          </w:p>
        </w:tc>
      </w:tr>
      <w:tr>
        <w:trPr>
          <w:trHeight w:val="171"/>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Gain on sale of loans held for sale, net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891</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1,626</w:t>
            </w:r>
          </w:p>
        </w:tc>
        <w:tc>
          <w:tcPr>
            <w:tcW w:w="20" w:type="dxa"/>
            <w:vAlign w:val="bottom"/>
            <w:shd w:val="clear" w:color="auto" w:fill="CCEEFF"/>
          </w:tcPr>
          <w:p>
            <w:pPr>
              <w:spacing w:after="0"/>
              <w:rPr>
                <w:sz w:val="14"/>
                <w:szCs w:val="14"/>
                <w:color w:val="auto"/>
              </w:rPr>
            </w:pPr>
          </w:p>
        </w:tc>
      </w:tr>
      <w:tr>
        <w:trPr>
          <w:trHeight w:val="171"/>
        </w:trPr>
        <w:tc>
          <w:tcPr>
            <w:tcW w:w="5240" w:type="dxa"/>
            <w:vAlign w:val="bottom"/>
          </w:tcPr>
          <w:p>
            <w:pPr>
              <w:ind w:left="100"/>
              <w:spacing w:after="0"/>
              <w:rPr>
                <w:sz w:val="20"/>
                <w:szCs w:val="20"/>
                <w:color w:val="auto"/>
              </w:rPr>
            </w:pPr>
            <w:r>
              <w:rPr>
                <w:rFonts w:ascii="Arial" w:cs="Arial" w:eastAsia="Arial" w:hAnsi="Arial"/>
                <w:sz w:val="11"/>
                <w:szCs w:val="11"/>
                <w:color w:val="auto"/>
              </w:rPr>
              <w:t>Gain on sale of premises and equipment, net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983</w:t>
            </w:r>
          </w:p>
        </w:tc>
        <w:tc>
          <w:tcPr>
            <w:tcW w:w="20" w:type="dxa"/>
            <w:vAlign w:val="bottom"/>
          </w:tcPr>
          <w:p>
            <w:pPr>
              <w:spacing w:after="0"/>
              <w:rPr>
                <w:sz w:val="14"/>
                <w:szCs w:val="14"/>
                <w:color w:val="auto"/>
              </w:rPr>
            </w:pPr>
          </w:p>
        </w:tc>
      </w:tr>
      <w:tr>
        <w:trPr>
          <w:trHeight w:val="171"/>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Loan settlement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161</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2,500</w:t>
            </w:r>
          </w:p>
        </w:tc>
        <w:tc>
          <w:tcPr>
            <w:tcW w:w="20" w:type="dxa"/>
            <w:vAlign w:val="bottom"/>
            <w:shd w:val="clear" w:color="auto" w:fill="CCEEFF"/>
          </w:tcPr>
          <w:p>
            <w:pPr>
              <w:spacing w:after="0"/>
              <w:rPr>
                <w:sz w:val="14"/>
                <w:szCs w:val="14"/>
                <w:color w:val="auto"/>
              </w:rPr>
            </w:pPr>
          </w:p>
        </w:tc>
      </w:tr>
      <w:tr>
        <w:trPr>
          <w:trHeight w:val="171"/>
        </w:trPr>
        <w:tc>
          <w:tcPr>
            <w:tcW w:w="524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Other non-interest income</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1,634</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1,007</w:t>
            </w:r>
          </w:p>
        </w:tc>
        <w:tc>
          <w:tcPr>
            <w:tcW w:w="20" w:type="dxa"/>
            <w:vAlign w:val="bottom"/>
          </w:tcPr>
          <w:p>
            <w:pPr>
              <w:spacing w:after="0"/>
              <w:rPr>
                <w:sz w:val="14"/>
                <w:szCs w:val="14"/>
                <w:color w:val="auto"/>
              </w:rPr>
            </w:pPr>
          </w:p>
        </w:tc>
      </w:tr>
      <w:tr>
        <w:trPr>
          <w:trHeight w:val="151"/>
        </w:trPr>
        <w:tc>
          <w:tcPr>
            <w:tcW w:w="52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Total non-interest income</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5,228</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10,698</w:t>
            </w:r>
          </w:p>
        </w:tc>
        <w:tc>
          <w:tcPr>
            <w:tcW w:w="20" w:type="dxa"/>
            <w:vAlign w:val="bottom"/>
            <w:shd w:val="clear" w:color="auto" w:fill="CCEEFF"/>
          </w:tcPr>
          <w:p>
            <w:pPr>
              <w:spacing w:after="0"/>
              <w:rPr>
                <w:sz w:val="13"/>
                <w:szCs w:val="13"/>
                <w:color w:val="auto"/>
              </w:rPr>
            </w:pPr>
          </w:p>
        </w:tc>
      </w:tr>
      <w:tr>
        <w:trPr>
          <w:trHeight w:val="171"/>
        </w:trPr>
        <w:tc>
          <w:tcPr>
            <w:tcW w:w="5240" w:type="dxa"/>
            <w:vAlign w:val="bottom"/>
          </w:tcPr>
          <w:p>
            <w:pPr>
              <w:spacing w:after="0"/>
              <w:rPr>
                <w:sz w:val="20"/>
                <w:szCs w:val="20"/>
                <w:color w:val="auto"/>
              </w:rPr>
            </w:pPr>
            <w:r>
              <w:rPr>
                <w:rFonts w:ascii="Arial" w:cs="Arial" w:eastAsia="Arial" w:hAnsi="Arial"/>
                <w:sz w:val="11"/>
                <w:szCs w:val="11"/>
                <w:b w:val="1"/>
                <w:bCs w:val="1"/>
                <w:color w:val="auto"/>
              </w:rPr>
              <w:t>Non-interest expense: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Salaries and employee benefits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23,943</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21,438</w:t>
            </w:r>
          </w:p>
        </w:tc>
        <w:tc>
          <w:tcPr>
            <w:tcW w:w="20" w:type="dxa"/>
            <w:vAlign w:val="bottom"/>
            <w:shd w:val="clear" w:color="auto" w:fill="CCEEFF"/>
          </w:tcPr>
          <w:p>
            <w:pPr>
              <w:spacing w:after="0"/>
              <w:rPr>
                <w:sz w:val="14"/>
                <w:szCs w:val="14"/>
                <w:color w:val="auto"/>
              </w:rPr>
            </w:pPr>
          </w:p>
        </w:tc>
      </w:tr>
      <w:tr>
        <w:trPr>
          <w:trHeight w:val="171"/>
        </w:trPr>
        <w:tc>
          <w:tcPr>
            <w:tcW w:w="5240" w:type="dxa"/>
            <w:vAlign w:val="bottom"/>
          </w:tcPr>
          <w:p>
            <w:pPr>
              <w:ind w:left="100"/>
              <w:spacing w:after="0"/>
              <w:rPr>
                <w:sz w:val="20"/>
                <w:szCs w:val="20"/>
                <w:color w:val="auto"/>
              </w:rPr>
            </w:pPr>
            <w:r>
              <w:rPr>
                <w:rFonts w:ascii="Arial" w:cs="Arial" w:eastAsia="Arial" w:hAnsi="Arial"/>
                <w:sz w:val="11"/>
                <w:szCs w:val="11"/>
                <w:color w:val="auto"/>
              </w:rPr>
              <w:t>Occupancy</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5,058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5,257</w:t>
            </w:r>
          </w:p>
        </w:tc>
        <w:tc>
          <w:tcPr>
            <w:tcW w:w="20" w:type="dxa"/>
            <w:vAlign w:val="bottom"/>
          </w:tcPr>
          <w:p>
            <w:pPr>
              <w:spacing w:after="0"/>
              <w:rPr>
                <w:sz w:val="14"/>
                <w:szCs w:val="14"/>
                <w:color w:val="auto"/>
              </w:rPr>
            </w:pPr>
          </w:p>
        </w:tc>
      </w:tr>
      <w:tr>
        <w:trPr>
          <w:trHeight w:val="171"/>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Regulatory assessment and fees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930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783</w:t>
            </w:r>
          </w:p>
        </w:tc>
        <w:tc>
          <w:tcPr>
            <w:tcW w:w="20" w:type="dxa"/>
            <w:vAlign w:val="bottom"/>
            <w:shd w:val="clear" w:color="auto" w:fill="CCEEFF"/>
          </w:tcPr>
          <w:p>
            <w:pPr>
              <w:spacing w:after="0"/>
              <w:rPr>
                <w:sz w:val="14"/>
                <w:szCs w:val="14"/>
                <w:color w:val="auto"/>
              </w:rPr>
            </w:pPr>
          </w:p>
        </w:tc>
      </w:tr>
      <w:tr>
        <w:trPr>
          <w:trHeight w:val="171"/>
        </w:trPr>
        <w:tc>
          <w:tcPr>
            <w:tcW w:w="5240" w:type="dxa"/>
            <w:vAlign w:val="bottom"/>
          </w:tcPr>
          <w:p>
            <w:pPr>
              <w:ind w:left="100"/>
              <w:spacing w:after="0"/>
              <w:rPr>
                <w:sz w:val="20"/>
                <w:szCs w:val="20"/>
                <w:color w:val="auto"/>
              </w:rPr>
            </w:pPr>
            <w:r>
              <w:rPr>
                <w:rFonts w:ascii="Arial" w:cs="Arial" w:eastAsia="Arial" w:hAnsi="Arial"/>
                <w:sz w:val="11"/>
                <w:szCs w:val="11"/>
                <w:color w:val="auto"/>
              </w:rPr>
              <w:t>Consulting and legal fees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1,890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1,454</w:t>
            </w:r>
          </w:p>
        </w:tc>
        <w:tc>
          <w:tcPr>
            <w:tcW w:w="20" w:type="dxa"/>
            <w:vAlign w:val="bottom"/>
          </w:tcPr>
          <w:p>
            <w:pPr>
              <w:spacing w:after="0"/>
              <w:rPr>
                <w:sz w:val="14"/>
                <w:szCs w:val="14"/>
                <w:color w:val="auto"/>
              </w:rPr>
            </w:pPr>
          </w:p>
        </w:tc>
      </w:tr>
      <w:tr>
        <w:trPr>
          <w:trHeight w:val="171"/>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Network and information technology services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1,806</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1,466</w:t>
            </w:r>
          </w:p>
        </w:tc>
        <w:tc>
          <w:tcPr>
            <w:tcW w:w="20" w:type="dxa"/>
            <w:vAlign w:val="bottom"/>
            <w:shd w:val="clear" w:color="auto" w:fill="CCEEFF"/>
          </w:tcPr>
          <w:p>
            <w:pPr>
              <w:spacing w:after="0"/>
              <w:rPr>
                <w:sz w:val="14"/>
                <w:szCs w:val="14"/>
                <w:color w:val="auto"/>
              </w:rPr>
            </w:pPr>
          </w:p>
        </w:tc>
      </w:tr>
      <w:tr>
        <w:trPr>
          <w:trHeight w:val="171"/>
        </w:trPr>
        <w:tc>
          <w:tcPr>
            <w:tcW w:w="5240" w:type="dxa"/>
            <w:vAlign w:val="bottom"/>
          </w:tcPr>
          <w:p>
            <w:pPr>
              <w:ind w:left="100"/>
              <w:spacing w:after="0"/>
              <w:rPr>
                <w:sz w:val="20"/>
                <w:szCs w:val="20"/>
                <w:color w:val="auto"/>
              </w:rPr>
            </w:pPr>
            <w:r>
              <w:rPr>
                <w:rFonts w:ascii="Arial" w:cs="Arial" w:eastAsia="Arial" w:hAnsi="Arial"/>
                <w:sz w:val="11"/>
                <w:szCs w:val="11"/>
                <w:color w:val="auto"/>
              </w:rPr>
              <w:t>Audit and tax services fees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918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975</w:t>
            </w:r>
          </w:p>
        </w:tc>
        <w:tc>
          <w:tcPr>
            <w:tcW w:w="20" w:type="dxa"/>
            <w:vAlign w:val="bottom"/>
          </w:tcPr>
          <w:p>
            <w:pPr>
              <w:spacing w:after="0"/>
              <w:rPr>
                <w:sz w:val="14"/>
                <w:szCs w:val="14"/>
                <w:color w:val="auto"/>
              </w:rPr>
            </w:pPr>
          </w:p>
        </w:tc>
      </w:tr>
      <w:tr>
        <w:trPr>
          <w:trHeight w:val="171"/>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Other operating</w:t>
            </w: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4,764</w:t>
            </w: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4,304</w:t>
            </w:r>
          </w:p>
        </w:tc>
        <w:tc>
          <w:tcPr>
            <w:tcW w:w="20" w:type="dxa"/>
            <w:vAlign w:val="bottom"/>
            <w:shd w:val="clear" w:color="auto" w:fill="CCEEFF"/>
          </w:tcPr>
          <w:p>
            <w:pPr>
              <w:spacing w:after="0"/>
              <w:rPr>
                <w:sz w:val="14"/>
                <w:szCs w:val="14"/>
                <w:color w:val="auto"/>
              </w:rPr>
            </w:pPr>
          </w:p>
        </w:tc>
      </w:tr>
      <w:tr>
        <w:trPr>
          <w:trHeight w:val="151"/>
        </w:trPr>
        <w:tc>
          <w:tcPr>
            <w:tcW w:w="5240" w:type="dxa"/>
            <w:vAlign w:val="bottom"/>
          </w:tcPr>
          <w:p>
            <w:pPr>
              <w:ind w:left="300"/>
              <w:spacing w:after="0"/>
              <w:rPr>
                <w:sz w:val="20"/>
                <w:szCs w:val="20"/>
                <w:color w:val="auto"/>
              </w:rPr>
            </w:pPr>
            <w:r>
              <w:rPr>
                <w:rFonts w:ascii="Arial" w:cs="Arial" w:eastAsia="Arial" w:hAnsi="Arial"/>
                <w:sz w:val="11"/>
                <w:szCs w:val="11"/>
                <w:color w:val="auto"/>
              </w:rPr>
              <w:t>Total non-interest expense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39,309</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35,677</w:t>
            </w:r>
          </w:p>
        </w:tc>
        <w:tc>
          <w:tcPr>
            <w:tcW w:w="20" w:type="dxa"/>
            <w:vAlign w:val="bottom"/>
          </w:tcPr>
          <w:p>
            <w:pPr>
              <w:spacing w:after="0"/>
              <w:rPr>
                <w:sz w:val="13"/>
                <w:szCs w:val="13"/>
                <w:color w:val="auto"/>
              </w:rPr>
            </w:pPr>
          </w:p>
        </w:tc>
      </w:tr>
      <w:tr>
        <w:trPr>
          <w:trHeight w:val="171"/>
        </w:trPr>
        <w:tc>
          <w:tcPr>
            <w:tcW w:w="52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Net income before income tax expense</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27,085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27,677</w:t>
            </w:r>
          </w:p>
        </w:tc>
        <w:tc>
          <w:tcPr>
            <w:tcW w:w="20" w:type="dxa"/>
            <w:vAlign w:val="bottom"/>
            <w:shd w:val="clear" w:color="auto" w:fill="CCEEFF"/>
          </w:tcPr>
          <w:p>
            <w:pPr>
              <w:spacing w:after="0"/>
              <w:rPr>
                <w:sz w:val="14"/>
                <w:szCs w:val="14"/>
                <w:color w:val="auto"/>
              </w:rPr>
            </w:pPr>
          </w:p>
        </w:tc>
      </w:tr>
      <w:tr>
        <w:trPr>
          <w:trHeight w:val="171"/>
        </w:trPr>
        <w:tc>
          <w:tcPr>
            <w:tcW w:w="524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Income tax expense</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6,944</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6,600</w:t>
            </w:r>
          </w:p>
        </w:tc>
        <w:tc>
          <w:tcPr>
            <w:tcW w:w="20" w:type="dxa"/>
            <w:vAlign w:val="bottom"/>
          </w:tcPr>
          <w:p>
            <w:pPr>
              <w:spacing w:after="0"/>
              <w:rPr>
                <w:sz w:val="14"/>
                <w:szCs w:val="14"/>
                <w:color w:val="auto"/>
              </w:rPr>
            </w:pPr>
          </w:p>
        </w:tc>
      </w:tr>
      <w:tr>
        <w:trPr>
          <w:trHeight w:val="151"/>
        </w:trPr>
        <w:tc>
          <w:tcPr>
            <w:tcW w:w="52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Net income</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20,141</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21,077</w:t>
            </w:r>
          </w:p>
        </w:tc>
        <w:tc>
          <w:tcPr>
            <w:tcW w:w="20" w:type="dxa"/>
            <w:vAlign w:val="bottom"/>
            <w:shd w:val="clear" w:color="auto" w:fill="CCEEFF"/>
          </w:tcPr>
          <w:p>
            <w:pPr>
              <w:spacing w:after="0"/>
              <w:rPr>
                <w:sz w:val="13"/>
                <w:szCs w:val="13"/>
                <w:color w:val="auto"/>
              </w:rPr>
            </w:pPr>
          </w:p>
        </w:tc>
      </w:tr>
      <w:tr>
        <w:trPr>
          <w:trHeight w:val="171"/>
        </w:trPr>
        <w:tc>
          <w:tcPr>
            <w:tcW w:w="5240" w:type="dxa"/>
            <w:vAlign w:val="bottom"/>
          </w:tcPr>
          <w:p>
            <w:pPr>
              <w:ind w:left="100"/>
              <w:spacing w:after="0"/>
              <w:rPr>
                <w:sz w:val="20"/>
                <w:szCs w:val="20"/>
                <w:color w:val="auto"/>
              </w:rPr>
            </w:pPr>
            <w:r>
              <w:rPr>
                <w:rFonts w:ascii="Arial" w:cs="Arial" w:eastAsia="Arial" w:hAnsi="Arial"/>
                <w:sz w:val="11"/>
                <w:szCs w:val="11"/>
                <w:color w:val="auto"/>
              </w:rPr>
              <w:t>Less: Preferred stock dividend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2,077</w:t>
            </w:r>
          </w:p>
        </w:tc>
        <w:tc>
          <w:tcPr>
            <w:tcW w:w="20" w:type="dxa"/>
            <w:vAlign w:val="bottom"/>
          </w:tcPr>
          <w:p>
            <w:pPr>
              <w:spacing w:after="0"/>
              <w:rPr>
                <w:sz w:val="14"/>
                <w:szCs w:val="14"/>
                <w:color w:val="auto"/>
              </w:rPr>
            </w:pPr>
          </w:p>
        </w:tc>
      </w:tr>
      <w:tr>
        <w:trPr>
          <w:trHeight w:val="171"/>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Less: Exchange and redemption of preferred shares</w:t>
            </w: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89,585</w:t>
            </w:r>
          </w:p>
        </w:tc>
        <w:tc>
          <w:tcPr>
            <w:tcW w:w="20" w:type="dxa"/>
            <w:vAlign w:val="bottom"/>
            <w:shd w:val="clear" w:color="auto" w:fill="CCEEFF"/>
          </w:tcPr>
          <w:p>
            <w:pPr>
              <w:spacing w:after="0"/>
              <w:rPr>
                <w:sz w:val="14"/>
                <w:szCs w:val="14"/>
                <w:color w:val="auto"/>
              </w:rPr>
            </w:pPr>
          </w:p>
        </w:tc>
      </w:tr>
      <w:tr>
        <w:trPr>
          <w:trHeight w:val="201"/>
        </w:trPr>
        <w:tc>
          <w:tcPr>
            <w:tcW w:w="5240" w:type="dxa"/>
            <w:vAlign w:val="bottom"/>
          </w:tcPr>
          <w:p>
            <w:pPr>
              <w:ind w:left="300"/>
              <w:spacing w:after="0"/>
              <w:rPr>
                <w:sz w:val="20"/>
                <w:szCs w:val="20"/>
                <w:color w:val="auto"/>
              </w:rPr>
            </w:pPr>
            <w:r>
              <w:rPr>
                <w:rFonts w:ascii="Arial" w:cs="Arial" w:eastAsia="Arial" w:hAnsi="Arial"/>
                <w:sz w:val="11"/>
                <w:szCs w:val="11"/>
                <w:color w:val="auto"/>
              </w:rPr>
              <w:t>Net income (loss) available to common stockholders</w:t>
            </w:r>
          </w:p>
        </w:tc>
        <w:tc>
          <w:tcPr>
            <w:tcW w:w="140" w:type="dxa"/>
            <w:vAlign w:val="bottom"/>
            <w:gridSpan w:val="2"/>
          </w:tcPr>
          <w:p>
            <w:pPr>
              <w:jc w:val="right"/>
              <w:ind w:right="80"/>
              <w:spacing w:after="0"/>
              <w:rPr>
                <w:sz w:val="20"/>
                <w:szCs w:val="20"/>
                <w:color w:val="auto"/>
              </w:rPr>
            </w:pPr>
            <w:r>
              <w:rPr>
                <w:rFonts w:ascii="Arial" w:cs="Arial" w:eastAsia="Arial" w:hAnsi="Arial"/>
                <w:sz w:val="10"/>
                <w:szCs w:val="10"/>
                <w:color w:val="auto"/>
                <w:w w:val="71"/>
              </w:rPr>
              <w:t>$</w:t>
            </w:r>
          </w:p>
        </w:tc>
        <w:tc>
          <w:tcPr>
            <w:tcW w:w="6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20,141</w:t>
            </w:r>
          </w:p>
        </w:tc>
        <w:tc>
          <w:tcPr>
            <w:tcW w:w="800" w:type="dxa"/>
            <w:vAlign w:val="bottom"/>
            <w:gridSpan w:val="3"/>
          </w:tcPr>
          <w:p>
            <w:pPr>
              <w:jc w:val="right"/>
              <w:ind w:right="68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1"/>
                <w:szCs w:val="11"/>
                <w:color w:val="auto"/>
              </w:rPr>
              <w:t>(70,585)</w:t>
            </w:r>
          </w:p>
        </w:tc>
      </w:tr>
      <w:tr>
        <w:trPr>
          <w:trHeight w:val="111"/>
        </w:trPr>
        <w:tc>
          <w:tcPr>
            <w:tcW w:w="5240" w:type="dxa"/>
            <w:vAlign w:val="bottom"/>
            <w:tcBorders>
              <w:top w:val="single" w:sz="8" w:color="CCEEFF"/>
            </w:tcBorders>
            <w:shd w:val="clear" w:color="auto" w:fill="CCEEFF"/>
          </w:tcPr>
          <w:p>
            <w:pPr>
              <w:spacing w:after="0" w:line="111" w:lineRule="exact"/>
              <w:rPr>
                <w:sz w:val="20"/>
                <w:szCs w:val="20"/>
                <w:color w:val="auto"/>
              </w:rPr>
            </w:pPr>
            <w:r>
              <w:rPr>
                <w:rFonts w:ascii="Arial" w:cs="Arial" w:eastAsia="Arial" w:hAnsi="Arial"/>
                <w:sz w:val="11"/>
                <w:szCs w:val="11"/>
                <w:b w:val="1"/>
                <w:bCs w:val="1"/>
                <w:color w:val="auto"/>
              </w:rPr>
              <w:t>Per share information:</w:t>
            </w: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r>
      <w:tr>
        <w:trPr>
          <w:trHeight w:val="171"/>
        </w:trPr>
        <w:tc>
          <w:tcPr>
            <w:tcW w:w="5240" w:type="dxa"/>
            <w:vAlign w:val="bottom"/>
          </w:tcPr>
          <w:p>
            <w:pPr>
              <w:ind w:left="100"/>
              <w:spacing w:after="0"/>
              <w:rPr>
                <w:sz w:val="20"/>
                <w:szCs w:val="20"/>
                <w:color w:val="auto"/>
              </w:rPr>
            </w:pPr>
            <w:r>
              <w:rPr>
                <w:rFonts w:ascii="Arial" w:cs="Arial" w:eastAsia="Arial" w:hAnsi="Arial"/>
                <w:sz w:val="11"/>
                <w:szCs w:val="11"/>
                <w:color w:val="auto"/>
              </w:rPr>
              <w:t>Class A common stock</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52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Net income (loss) per share, basic</w:t>
            </w:r>
          </w:p>
        </w:tc>
        <w:tc>
          <w:tcPr>
            <w:tcW w:w="1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1.01</w:t>
            </w:r>
          </w:p>
        </w:tc>
        <w:tc>
          <w:tcPr>
            <w:tcW w:w="800" w:type="dxa"/>
            <w:vAlign w:val="bottom"/>
            <w:gridSpan w:val="3"/>
            <w:shd w:val="clear" w:color="auto" w:fill="CCEEFF"/>
          </w:tcPr>
          <w:p>
            <w:pPr>
              <w:jc w:val="right"/>
              <w:ind w:right="680"/>
              <w:spacing w:after="0"/>
              <w:rPr>
                <w:sz w:val="20"/>
                <w:szCs w:val="20"/>
                <w:color w:val="auto"/>
              </w:rPr>
            </w:pPr>
            <w:r>
              <w:rPr>
                <w:rFonts w:ascii="Arial" w:cs="Arial" w:eastAsia="Arial" w:hAnsi="Arial"/>
                <w:sz w:val="11"/>
                <w:szCs w:val="11"/>
                <w:color w:val="auto"/>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(6.72)</w:t>
            </w:r>
          </w:p>
        </w:tc>
      </w:tr>
      <w:tr>
        <w:trPr>
          <w:trHeight w:val="183"/>
        </w:trPr>
        <w:tc>
          <w:tcPr>
            <w:tcW w:w="5240" w:type="dxa"/>
            <w:vAlign w:val="bottom"/>
          </w:tcPr>
          <w:p>
            <w:pPr>
              <w:ind w:left="200"/>
              <w:spacing w:after="0"/>
              <w:rPr>
                <w:sz w:val="20"/>
                <w:szCs w:val="20"/>
                <w:color w:val="auto"/>
              </w:rPr>
            </w:pPr>
            <w:r>
              <w:rPr>
                <w:rFonts w:ascii="Arial" w:cs="Arial" w:eastAsia="Arial" w:hAnsi="Arial"/>
                <w:sz w:val="11"/>
                <w:szCs w:val="11"/>
                <w:color w:val="auto"/>
              </w:rPr>
              <w:t>Net income (loss) per share, diluted</w:t>
            </w:r>
          </w:p>
        </w:tc>
        <w:tc>
          <w:tcPr>
            <w:tcW w:w="140" w:type="dxa"/>
            <w:vAlign w:val="bottom"/>
            <w:gridSpan w:val="2"/>
          </w:tcPr>
          <w:p>
            <w:pPr>
              <w:jc w:val="right"/>
              <w:ind w:right="80"/>
              <w:spacing w:after="0"/>
              <w:rPr>
                <w:sz w:val="20"/>
                <w:szCs w:val="20"/>
                <w:color w:val="auto"/>
              </w:rPr>
            </w:pPr>
            <w:r>
              <w:rPr>
                <w:rFonts w:ascii="Arial" w:cs="Arial" w:eastAsia="Arial" w:hAnsi="Arial"/>
                <w:sz w:val="10"/>
                <w:szCs w:val="10"/>
                <w:color w:val="auto"/>
                <w:w w:val="71"/>
              </w:rPr>
              <w:t>$</w:t>
            </w:r>
          </w:p>
        </w:tc>
        <w:tc>
          <w:tcPr>
            <w:tcW w:w="6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1.00</w:t>
            </w:r>
          </w:p>
        </w:tc>
        <w:tc>
          <w:tcPr>
            <w:tcW w:w="800" w:type="dxa"/>
            <w:vAlign w:val="bottom"/>
            <w:gridSpan w:val="3"/>
          </w:tcPr>
          <w:p>
            <w:pPr>
              <w:jc w:val="right"/>
              <w:ind w:right="68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1"/>
                <w:szCs w:val="11"/>
                <w:color w:val="auto"/>
              </w:rPr>
              <w:t>(6.72)</w:t>
            </w:r>
          </w:p>
        </w:tc>
      </w:tr>
    </w:tbl>
    <w:p>
      <w:pPr>
        <w:spacing w:after="0" w:line="172" w:lineRule="exact"/>
        <w:rPr>
          <w:sz w:val="20"/>
          <w:szCs w:val="20"/>
          <w:color w:val="auto"/>
        </w:rPr>
      </w:pPr>
    </w:p>
    <w:p>
      <w:pPr>
        <w:ind w:left="2280" w:right="2299" w:hanging="1617"/>
        <w:spacing w:after="0" w:line="648" w:lineRule="auto"/>
        <w:tabs>
          <w:tab w:leader="none" w:pos="862" w:val="left"/>
        </w:tabs>
        <w:numPr>
          <w:ilvl w:val="0"/>
          <w:numId w:val="3"/>
        </w:numPr>
        <w:rPr>
          <w:rFonts w:ascii="Arial" w:cs="Arial" w:eastAsia="Arial" w:hAnsi="Arial"/>
          <w:sz w:val="11"/>
          <w:szCs w:val="11"/>
          <w:color w:val="auto"/>
        </w:rPr>
      </w:pPr>
      <w:r>
        <w:rPr>
          <w:rFonts w:ascii="Arial" w:cs="Arial" w:eastAsia="Arial" w:hAnsi="Arial"/>
          <w:sz w:val="11"/>
          <w:szCs w:val="11"/>
          <w:color w:val="auto"/>
        </w:rPr>
        <w:t>See Note 14 "Earnings per Share" for information on the allocation of income available to common stockholders. The accompanying notes are an integral part ofthese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tabs>
          <w:tab w:leader="none" w:pos="260" w:val="left"/>
          <w:tab w:leader="none" w:pos="140" w:val="left"/>
        </w:tabs>
        <w:rPr>
          <w:sz w:val="20"/>
          <w:szCs w:val="20"/>
          <w:color w:val="auto"/>
        </w:rPr>
      </w:pPr>
      <w:r>
        <w:rPr>
          <w:rFonts w:ascii="Arial" w:cs="Arial" w:eastAsia="Arial" w:hAnsi="Arial"/>
          <w:sz w:val="14"/>
          <w:szCs w:val="14"/>
          <w:color w:val="auto"/>
        </w:rPr>
        <w:t>9</w:t>
      </w:r>
      <w:r>
        <w:rPr>
          <w:sz w:val="20"/>
          <w:szCs w:val="20"/>
          <w:color w:val="auto"/>
        </w:rPr>
        <w:tab/>
      </w:r>
      <w:r>
        <w:rPr>
          <w:rFonts w:ascii="Arial" w:cs="Arial" w:eastAsia="Arial" w:hAnsi="Arial"/>
          <w:sz w:val="14"/>
          <w:szCs w:val="14"/>
          <w:color w:val="auto"/>
        </w:rPr>
        <w:t>USCB Financial Holdings, Inc.</w:t>
        <w:tab/>
        <w:t>2022 10-K/A</w:t>
      </w:r>
    </w:p>
    <w:p>
      <w:pPr>
        <w:sectPr>
          <w:pgSz w:w="11900" w:h="16838" w:orient="portrait"/>
          <w:cols w:equalWidth="0" w:num="1">
            <w:col w:w="9019"/>
          </w:cols>
          <w:pgMar w:left="1440" w:top="491" w:right="1440" w:bottom="1440" w:gutter="0" w:footer="0" w:header="0"/>
        </w:sectPr>
      </w:pPr>
    </w:p>
    <w:bookmarkStart w:id="9" w:name="page10"/>
    <w:bookmarkEnd w:id="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Consolidated Statements of Comprehensive Income (Loss)</w:t>
      </w:r>
    </w:p>
    <w:p>
      <w:pPr>
        <w:jc w:val="center"/>
        <w:ind w:right="19"/>
        <w:spacing w:after="0"/>
        <w:rPr>
          <w:sz w:val="20"/>
          <w:szCs w:val="20"/>
          <w:color w:val="auto"/>
        </w:rPr>
      </w:pPr>
      <w:r>
        <w:rPr>
          <w:rFonts w:ascii="Arial" w:cs="Arial" w:eastAsia="Arial" w:hAnsi="Arial"/>
          <w:sz w:val="14"/>
          <w:szCs w:val="14"/>
          <w:color w:val="auto"/>
        </w:rPr>
        <w:t>(Dollars in thousands)</w:t>
      </w:r>
    </w:p>
    <w:p>
      <w:pPr>
        <w:spacing w:after="0" w:line="159" w:lineRule="exact"/>
        <w:rPr>
          <w:sz w:val="20"/>
          <w:szCs w:val="20"/>
          <w:color w:val="auto"/>
        </w:rPr>
      </w:pPr>
    </w:p>
    <w:tbl>
      <w:tblPr>
        <w:tblLayout w:type="fixed"/>
        <w:tblInd w:w="660" w:type="dxa"/>
        <w:tblCellMar>
          <w:top w:w="0" w:type="dxa"/>
          <w:left w:w="0" w:type="dxa"/>
          <w:bottom w:w="0" w:type="dxa"/>
          <w:right w:w="0" w:type="dxa"/>
        </w:tblCellMar>
      </w:tblPr>
      <w:tr>
        <w:trPr>
          <w:trHeight w:val="128"/>
        </w:trPr>
        <w:tc>
          <w:tcPr>
            <w:tcW w:w="5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60" w:type="dxa"/>
            <w:vAlign w:val="bottom"/>
            <w:gridSpan w:val="6"/>
          </w:tcPr>
          <w:p>
            <w:pPr>
              <w:jc w:val="right"/>
              <w:ind w:right="300"/>
              <w:spacing w:after="0"/>
              <w:rPr>
                <w:sz w:val="20"/>
                <w:szCs w:val="20"/>
                <w:color w:val="auto"/>
              </w:rPr>
            </w:pPr>
            <w:r>
              <w:rPr>
                <w:rFonts w:ascii="Arial" w:cs="Arial" w:eastAsia="Arial" w:hAnsi="Arial"/>
                <w:sz w:val="11"/>
                <w:szCs w:val="11"/>
                <w:b w:val="1"/>
                <w:bCs w:val="1"/>
                <w:color w:val="auto"/>
              </w:rPr>
              <w:t>Years Ended December 31,</w:t>
            </w:r>
          </w:p>
        </w:tc>
      </w:tr>
      <w:tr>
        <w:trPr>
          <w:trHeight w:val="151"/>
        </w:trPr>
        <w:tc>
          <w:tcPr>
            <w:tcW w:w="5660" w:type="dxa"/>
            <w:vAlign w:val="bottom"/>
            <w:tcBorders>
              <w:bottom w:val="single" w:sz="8" w:color="CCEEFF"/>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303"/>
              <w:spacing w:after="0"/>
              <w:rPr>
                <w:sz w:val="20"/>
                <w:szCs w:val="20"/>
                <w:color w:val="auto"/>
              </w:rPr>
            </w:pPr>
            <w:r>
              <w:rPr>
                <w:rFonts w:ascii="Arial" w:cs="Arial" w:eastAsia="Arial" w:hAnsi="Arial"/>
                <w:sz w:val="11"/>
                <w:szCs w:val="11"/>
                <w:b w:val="1"/>
                <w:bCs w:val="1"/>
                <w:color w:val="auto"/>
              </w:rPr>
              <w:t>2022</w:t>
            </w:r>
          </w:p>
        </w:tc>
        <w:tc>
          <w:tcPr>
            <w:tcW w:w="20" w:type="dxa"/>
            <w:vAlign w:val="bottom"/>
            <w:tcBorders>
              <w:top w:val="single" w:sz="8" w:color="auto"/>
            </w:tcBorders>
          </w:tcPr>
          <w:p>
            <w:pPr>
              <w:spacing w:after="0"/>
              <w:rPr>
                <w:sz w:val="13"/>
                <w:szCs w:val="13"/>
                <w:color w:val="auto"/>
              </w:rPr>
            </w:pPr>
          </w:p>
        </w:tc>
        <w:tc>
          <w:tcPr>
            <w:tcW w:w="4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303"/>
              <w:spacing w:after="0"/>
              <w:rPr>
                <w:sz w:val="20"/>
                <w:szCs w:val="20"/>
                <w:color w:val="auto"/>
              </w:rPr>
            </w:pPr>
            <w:r>
              <w:rPr>
                <w:rFonts w:ascii="Arial" w:cs="Arial" w:eastAsia="Arial" w:hAnsi="Arial"/>
                <w:sz w:val="11"/>
                <w:szCs w:val="11"/>
                <w:b w:val="1"/>
                <w:bCs w:val="1"/>
                <w:color w:val="auto"/>
              </w:rPr>
              <w:t>2021</w:t>
            </w:r>
          </w:p>
        </w:tc>
        <w:tc>
          <w:tcPr>
            <w:tcW w:w="20" w:type="dxa"/>
            <w:vAlign w:val="bottom"/>
          </w:tcPr>
          <w:p>
            <w:pPr>
              <w:spacing w:after="0"/>
              <w:rPr>
                <w:sz w:val="13"/>
                <w:szCs w:val="13"/>
                <w:color w:val="auto"/>
              </w:rPr>
            </w:pPr>
          </w:p>
        </w:tc>
      </w:tr>
      <w:tr>
        <w:trPr>
          <w:trHeight w:val="151"/>
        </w:trPr>
        <w:tc>
          <w:tcPr>
            <w:tcW w:w="5660" w:type="dxa"/>
            <w:vAlign w:val="bottom"/>
            <w:shd w:val="clear" w:color="auto" w:fill="CCEEFF"/>
          </w:tcPr>
          <w:p>
            <w:pPr>
              <w:spacing w:after="0"/>
              <w:rPr>
                <w:sz w:val="20"/>
                <w:szCs w:val="20"/>
                <w:color w:val="auto"/>
              </w:rPr>
            </w:pPr>
            <w:r>
              <w:rPr>
                <w:rFonts w:ascii="Arial" w:cs="Arial" w:eastAsia="Arial" w:hAnsi="Arial"/>
                <w:sz w:val="11"/>
                <w:szCs w:val="11"/>
                <w:color w:val="auto"/>
              </w:rPr>
              <w:t>Net income</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20,141</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21,077</w:t>
            </w:r>
          </w:p>
        </w:tc>
        <w:tc>
          <w:tcPr>
            <w:tcW w:w="20" w:type="dxa"/>
            <w:vAlign w:val="bottom"/>
            <w:shd w:val="clear" w:color="auto" w:fill="CCEEFF"/>
          </w:tcPr>
          <w:p>
            <w:pPr>
              <w:spacing w:after="0"/>
              <w:rPr>
                <w:sz w:val="13"/>
                <w:szCs w:val="13"/>
                <w:color w:val="auto"/>
              </w:rPr>
            </w:pPr>
          </w:p>
        </w:tc>
      </w:tr>
      <w:tr>
        <w:trPr>
          <w:trHeight w:val="160"/>
        </w:trPr>
        <w:tc>
          <w:tcPr>
            <w:tcW w:w="5660" w:type="dxa"/>
            <w:vAlign w:val="bottom"/>
          </w:tcPr>
          <w:p>
            <w:pPr>
              <w:spacing w:after="0"/>
              <w:rPr>
                <w:sz w:val="20"/>
                <w:szCs w:val="20"/>
                <w:color w:val="auto"/>
              </w:rPr>
            </w:pPr>
            <w:r>
              <w:rPr>
                <w:rFonts w:ascii="Arial" w:cs="Arial" w:eastAsia="Arial" w:hAnsi="Arial"/>
                <w:sz w:val="11"/>
                <w:szCs w:val="11"/>
                <w:color w:val="auto"/>
              </w:rPr>
              <w:t>Other comprehensive income (loss):</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56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Unrealized loss on investment securities</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(59,260)</w:t>
            </w: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(9,561)</w:t>
            </w:r>
          </w:p>
        </w:tc>
      </w:tr>
      <w:tr>
        <w:trPr>
          <w:trHeight w:val="160"/>
        </w:trPr>
        <w:tc>
          <w:tcPr>
            <w:tcW w:w="5660" w:type="dxa"/>
            <w:vAlign w:val="bottom"/>
          </w:tcPr>
          <w:p>
            <w:pPr>
              <w:ind w:left="100"/>
              <w:spacing w:after="0"/>
              <w:rPr>
                <w:sz w:val="20"/>
                <w:szCs w:val="20"/>
                <w:color w:val="auto"/>
              </w:rPr>
            </w:pPr>
            <w:r>
              <w:rPr>
                <w:rFonts w:ascii="Arial" w:cs="Arial" w:eastAsia="Arial" w:hAnsi="Arial"/>
                <w:sz w:val="11"/>
                <w:szCs w:val="11"/>
                <w:color w:val="auto"/>
              </w:rPr>
              <w:t>Amortization of net unrealized gains on securities transferred from available-for-sale to held-to-maturity</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120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108</w:t>
            </w:r>
          </w:p>
        </w:tc>
        <w:tc>
          <w:tcPr>
            <w:tcW w:w="20" w:type="dxa"/>
            <w:vAlign w:val="bottom"/>
          </w:tcPr>
          <w:p>
            <w:pPr>
              <w:spacing w:after="0"/>
              <w:rPr>
                <w:sz w:val="13"/>
                <w:szCs w:val="13"/>
                <w:color w:val="auto"/>
              </w:rPr>
            </w:pPr>
          </w:p>
        </w:tc>
      </w:tr>
      <w:tr>
        <w:trPr>
          <w:trHeight w:val="160"/>
        </w:trPr>
        <w:tc>
          <w:tcPr>
            <w:tcW w:w="56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Reclassification adjustment for (gain) loss included in net income</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2,529</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(214)</w:t>
            </w:r>
          </w:p>
        </w:tc>
      </w:tr>
      <w:tr>
        <w:trPr>
          <w:trHeight w:val="151"/>
        </w:trPr>
        <w:tc>
          <w:tcPr>
            <w:tcW w:w="566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Tax effect</w:t>
            </w: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14,376</w:t>
            </w: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2,370</w:t>
            </w:r>
          </w:p>
        </w:tc>
        <w:tc>
          <w:tcPr>
            <w:tcW w:w="20" w:type="dxa"/>
            <w:vAlign w:val="bottom"/>
          </w:tcPr>
          <w:p>
            <w:pPr>
              <w:spacing w:after="0"/>
              <w:rPr>
                <w:sz w:val="13"/>
                <w:szCs w:val="13"/>
                <w:color w:val="auto"/>
              </w:rPr>
            </w:pPr>
          </w:p>
        </w:tc>
      </w:tr>
      <w:tr>
        <w:trPr>
          <w:trHeight w:val="149"/>
        </w:trPr>
        <w:tc>
          <w:tcPr>
            <w:tcW w:w="5660" w:type="dxa"/>
            <w:vAlign w:val="bottom"/>
            <w:shd w:val="clear" w:color="auto" w:fill="CCEEFF"/>
          </w:tcPr>
          <w:p>
            <w:pPr>
              <w:spacing w:after="0"/>
              <w:rPr>
                <w:sz w:val="20"/>
                <w:szCs w:val="20"/>
                <w:color w:val="auto"/>
              </w:rPr>
            </w:pPr>
            <w:r>
              <w:rPr>
                <w:rFonts w:ascii="Arial" w:cs="Arial" w:eastAsia="Arial" w:hAnsi="Arial"/>
                <w:sz w:val="11"/>
                <w:szCs w:val="11"/>
                <w:color w:val="auto"/>
              </w:rPr>
              <w:t>Total other comprehensive loss, net of tax</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(42,235)</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(7,297)</w:t>
            </w:r>
          </w:p>
        </w:tc>
      </w:tr>
      <w:tr>
        <w:trPr>
          <w:trHeight w:val="20"/>
        </w:trPr>
        <w:tc>
          <w:tcPr>
            <w:tcW w:w="566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1"/>
        </w:trPr>
        <w:tc>
          <w:tcPr>
            <w:tcW w:w="5660" w:type="dxa"/>
            <w:vAlign w:val="bottom"/>
          </w:tcPr>
          <w:p>
            <w:pPr>
              <w:spacing w:after="0"/>
              <w:rPr>
                <w:sz w:val="20"/>
                <w:szCs w:val="20"/>
                <w:color w:val="auto"/>
              </w:rPr>
            </w:pPr>
            <w:r>
              <w:rPr>
                <w:rFonts w:ascii="Arial" w:cs="Arial" w:eastAsia="Arial" w:hAnsi="Arial"/>
                <w:sz w:val="11"/>
                <w:szCs w:val="11"/>
                <w:color w:val="auto"/>
              </w:rPr>
              <w:t>Total comprehensive income (loss)</w:t>
            </w:r>
          </w:p>
        </w:tc>
        <w:tc>
          <w:tcPr>
            <w:tcW w:w="180" w:type="dxa"/>
            <w:vAlign w:val="bottom"/>
            <w:gridSpan w:val="2"/>
          </w:tcPr>
          <w:p>
            <w:pPr>
              <w:jc w:val="right"/>
              <w:ind w:right="49"/>
              <w:spacing w:after="0"/>
              <w:rPr>
                <w:sz w:val="20"/>
                <w:szCs w:val="20"/>
                <w:color w:val="auto"/>
              </w:rPr>
            </w:pPr>
            <w:r>
              <w:rPr>
                <w:rFonts w:ascii="Arial" w:cs="Arial" w:eastAsia="Arial" w:hAnsi="Arial"/>
                <w:sz w:val="11"/>
                <w:szCs w:val="11"/>
                <w:color w:val="auto"/>
                <w:w w:val="97"/>
              </w:rPr>
              <w:t>$</w:t>
            </w:r>
          </w:p>
        </w:tc>
        <w:tc>
          <w:tcPr>
            <w:tcW w:w="820" w:type="dxa"/>
            <w:vAlign w:val="bottom"/>
            <w:gridSpan w:val="2"/>
          </w:tcPr>
          <w:p>
            <w:pPr>
              <w:jc w:val="right"/>
              <w:ind w:right="20"/>
              <w:spacing w:after="0"/>
              <w:rPr>
                <w:sz w:val="20"/>
                <w:szCs w:val="20"/>
                <w:color w:val="auto"/>
              </w:rPr>
            </w:pPr>
            <w:r>
              <w:rPr>
                <w:rFonts w:ascii="Arial" w:cs="Arial" w:eastAsia="Arial" w:hAnsi="Arial"/>
                <w:sz w:val="11"/>
                <w:szCs w:val="11"/>
                <w:color w:val="auto"/>
              </w:rPr>
              <w:t>(22,094)</w:t>
            </w:r>
          </w:p>
        </w:tc>
        <w:tc>
          <w:tcPr>
            <w:tcW w:w="260" w:type="dxa"/>
            <w:vAlign w:val="bottom"/>
            <w:gridSpan w:val="2"/>
          </w:tcPr>
          <w:p>
            <w:pPr>
              <w:jc w:val="right"/>
              <w:ind w:right="109"/>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13,780</w:t>
            </w:r>
          </w:p>
        </w:tc>
        <w:tc>
          <w:tcPr>
            <w:tcW w:w="20" w:type="dxa"/>
            <w:vAlign w:val="bottom"/>
          </w:tcPr>
          <w:p>
            <w:pPr>
              <w:spacing w:after="0"/>
              <w:rPr>
                <w:sz w:val="14"/>
                <w:szCs w:val="14"/>
                <w:color w:val="auto"/>
              </w:rPr>
            </w:pPr>
          </w:p>
        </w:tc>
      </w:tr>
      <w:tr>
        <w:trPr>
          <w:trHeight w:val="20"/>
        </w:trPr>
        <w:tc>
          <w:tcPr>
            <w:tcW w:w="5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The accompanying notes are an integral part ofthese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10</w:t>
      </w:r>
      <w:r>
        <w:rPr>
          <w:sz w:val="20"/>
          <w:szCs w:val="20"/>
          <w:color w:val="auto"/>
        </w:rPr>
        <w:tab/>
      </w:r>
      <w:r>
        <w:rPr>
          <w:rFonts w:ascii="Arial" w:cs="Arial" w:eastAsia="Arial" w:hAnsi="Arial"/>
          <w:sz w:val="14"/>
          <w:szCs w:val="14"/>
          <w:color w:val="auto"/>
        </w:rPr>
        <w:t>USCB Financial Holdings, Inc.</w:t>
        <w:tab/>
        <w:t>2022 10-K/A</w:t>
      </w:r>
    </w:p>
    <w:p>
      <w:pPr>
        <w:sectPr>
          <w:pgSz w:w="11900" w:h="16838" w:orient="portrait"/>
          <w:cols w:equalWidth="0" w:num="1">
            <w:col w:w="9019"/>
          </w:cols>
          <w:pgMar w:left="1440" w:top="491" w:right="1440"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t>Table of Contents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USCB FINANCIAL HOLDINGS,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Consolidated Statements of Changes in Stockholders’ Equity</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(Dollars 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600" w:type="dxa"/>
            <w:vAlign w:val="bottom"/>
          </w:tcPr>
          <w:p>
            <w:pPr>
              <w:spacing w:after="0"/>
              <w:rPr>
                <w:sz w:val="12"/>
                <w:szCs w:val="12"/>
                <w:color w:val="auto"/>
              </w:rPr>
            </w:pPr>
          </w:p>
        </w:tc>
        <w:tc>
          <w:tcPr>
            <w:tcW w:w="1780" w:type="dxa"/>
            <w:vAlign w:val="bottom"/>
            <w:tcBorders>
              <w:bottom w:val="single" w:sz="8" w:color="auto"/>
            </w:tcBorders>
            <w:gridSpan w:val="4"/>
          </w:tcPr>
          <w:p>
            <w:pPr>
              <w:jc w:val="center"/>
              <w:spacing w:after="0"/>
              <w:rPr>
                <w:sz w:val="20"/>
                <w:szCs w:val="20"/>
                <w:color w:val="auto"/>
              </w:rPr>
            </w:pPr>
            <w:r>
              <w:rPr>
                <w:rFonts w:ascii="Arial" w:cs="Arial" w:eastAsia="Arial" w:hAnsi="Arial"/>
                <w:sz w:val="11"/>
                <w:szCs w:val="11"/>
                <w:b w:val="1"/>
                <w:bCs w:val="1"/>
                <w:color w:val="auto"/>
              </w:rPr>
              <w:t>Preferred Stock</w:t>
            </w:r>
          </w:p>
        </w:tc>
        <w:tc>
          <w:tcPr>
            <w:tcW w:w="60" w:type="dxa"/>
            <w:vAlign w:val="bottom"/>
          </w:tcPr>
          <w:p>
            <w:pPr>
              <w:spacing w:after="0"/>
              <w:rPr>
                <w:sz w:val="12"/>
                <w:szCs w:val="12"/>
                <w:color w:val="auto"/>
              </w:rPr>
            </w:pPr>
          </w:p>
        </w:tc>
        <w:tc>
          <w:tcPr>
            <w:tcW w:w="1780" w:type="dxa"/>
            <w:vAlign w:val="bottom"/>
            <w:tcBorders>
              <w:bottom w:val="single" w:sz="8" w:color="auto"/>
            </w:tcBorders>
            <w:gridSpan w:val="5"/>
          </w:tcPr>
          <w:p>
            <w:pPr>
              <w:jc w:val="center"/>
              <w:spacing w:after="0"/>
              <w:rPr>
                <w:sz w:val="20"/>
                <w:szCs w:val="20"/>
                <w:color w:val="auto"/>
              </w:rPr>
            </w:pPr>
            <w:r>
              <w:rPr>
                <w:rFonts w:ascii="Arial" w:cs="Arial" w:eastAsia="Arial" w:hAnsi="Arial"/>
                <w:sz w:val="11"/>
                <w:szCs w:val="11"/>
                <w:b w:val="1"/>
                <w:bCs w:val="1"/>
                <w:color w:val="auto"/>
              </w:rPr>
              <w:t>Common Stock</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vMerge w:val="restart"/>
          </w:tcPr>
          <w:p>
            <w:pPr>
              <w:jc w:val="center"/>
              <w:ind w:right="83"/>
              <w:spacing w:after="0"/>
              <w:rPr>
                <w:sz w:val="20"/>
                <w:szCs w:val="20"/>
                <w:color w:val="auto"/>
              </w:rPr>
            </w:pPr>
            <w:r>
              <w:rPr>
                <w:rFonts w:ascii="Arial" w:cs="Arial" w:eastAsia="Arial" w:hAnsi="Arial"/>
                <w:sz w:val="11"/>
                <w:szCs w:val="11"/>
                <w:b w:val="1"/>
                <w:bCs w:val="1"/>
                <w:color w:val="auto"/>
              </w:rPr>
              <w:t>Accumulated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6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2"/>
          </w:tcPr>
          <w:p>
            <w:pPr>
              <w:jc w:val="center"/>
              <w:spacing w:after="0"/>
              <w:rPr>
                <w:sz w:val="20"/>
                <w:szCs w:val="20"/>
                <w:color w:val="auto"/>
              </w:rPr>
            </w:pPr>
            <w:r>
              <w:rPr>
                <w:rFonts w:ascii="Arial" w:cs="Arial" w:eastAsia="Arial" w:hAnsi="Arial"/>
                <w:sz w:val="11"/>
                <w:szCs w:val="11"/>
                <w:b w:val="1"/>
                <w:bCs w:val="1"/>
                <w:color w:val="auto"/>
              </w:rPr>
              <w:t>Additional Paid-</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jc w:val="center"/>
              <w:ind w:right="63"/>
              <w:spacing w:after="0"/>
              <w:rPr>
                <w:sz w:val="20"/>
                <w:szCs w:val="20"/>
                <w:color w:val="auto"/>
              </w:rPr>
            </w:pPr>
            <w:r>
              <w:rPr>
                <w:rFonts w:ascii="Arial" w:cs="Arial" w:eastAsia="Arial" w:hAnsi="Arial"/>
                <w:sz w:val="11"/>
                <w:szCs w:val="11"/>
                <w:b w:val="1"/>
                <w:bCs w:val="1"/>
                <w:color w:val="auto"/>
              </w:rPr>
              <w:t>Other</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center"/>
              <w:ind w:right="23"/>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28"/>
        </w:trPr>
        <w:tc>
          <w:tcPr>
            <w:tcW w:w="2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center"/>
              <w:ind w:right="63"/>
              <w:spacing w:after="0"/>
              <w:rPr>
                <w:sz w:val="20"/>
                <w:szCs w:val="20"/>
                <w:color w:val="auto"/>
              </w:rPr>
            </w:pPr>
            <w:r>
              <w:rPr>
                <w:rFonts w:ascii="Arial" w:cs="Arial" w:eastAsia="Arial" w:hAnsi="Arial"/>
                <w:sz w:val="11"/>
                <w:szCs w:val="11"/>
                <w:b w:val="1"/>
                <w:bCs w:val="1"/>
                <w:color w:val="auto"/>
              </w:rPr>
              <w:t>in Capital on</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Accumulated</w:t>
            </w:r>
          </w:p>
        </w:tc>
        <w:tc>
          <w:tcPr>
            <w:tcW w:w="80" w:type="dxa"/>
            <w:vAlign w:val="bottom"/>
          </w:tcPr>
          <w:p>
            <w:pPr>
              <w:spacing w:after="0"/>
              <w:rPr>
                <w:sz w:val="11"/>
                <w:szCs w:val="11"/>
                <w:color w:val="auto"/>
              </w:rPr>
            </w:pPr>
          </w:p>
        </w:tc>
        <w:tc>
          <w:tcPr>
            <w:tcW w:w="960" w:type="dxa"/>
            <w:vAlign w:val="bottom"/>
            <w:gridSpan w:val="2"/>
          </w:tcPr>
          <w:p>
            <w:pPr>
              <w:jc w:val="center"/>
              <w:ind w:right="3"/>
              <w:spacing w:after="0"/>
              <w:rPr>
                <w:sz w:val="20"/>
                <w:szCs w:val="20"/>
                <w:color w:val="auto"/>
              </w:rPr>
            </w:pPr>
            <w:r>
              <w:rPr>
                <w:rFonts w:ascii="Arial" w:cs="Arial" w:eastAsia="Arial" w:hAnsi="Arial"/>
                <w:sz w:val="11"/>
                <w:szCs w:val="11"/>
                <w:b w:val="1"/>
                <w:bCs w:val="1"/>
                <w:color w:val="auto"/>
              </w:rPr>
              <w:t>Comprehensive</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center"/>
              <w:ind w:right="23"/>
              <w:spacing w:after="0"/>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139"/>
        </w:trPr>
        <w:tc>
          <w:tcPr>
            <w:tcW w:w="260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2"/>
                <w:szCs w:val="12"/>
                <w:color w:val="auto"/>
              </w:rPr>
            </w:pPr>
          </w:p>
        </w:tc>
        <w:tc>
          <w:tcPr>
            <w:tcW w:w="800" w:type="dxa"/>
            <w:vAlign w:val="bottom"/>
          </w:tcPr>
          <w:p>
            <w:pPr>
              <w:jc w:val="right"/>
              <w:ind w:right="163"/>
              <w:spacing w:after="0"/>
              <w:rPr>
                <w:sz w:val="20"/>
                <w:szCs w:val="20"/>
                <w:color w:val="auto"/>
              </w:rPr>
            </w:pPr>
            <w:r>
              <w:rPr>
                <w:rFonts w:ascii="Arial" w:cs="Arial" w:eastAsia="Arial" w:hAnsi="Arial"/>
                <w:sz w:val="11"/>
                <w:szCs w:val="11"/>
                <w:b w:val="1"/>
                <w:bCs w:val="1"/>
                <w:color w:val="auto"/>
              </w:rPr>
              <w:t>Par Value</w:t>
            </w:r>
          </w:p>
        </w:tc>
        <w:tc>
          <w:tcPr>
            <w:tcW w:w="60" w:type="dxa"/>
            <w:vAlign w:val="bottom"/>
          </w:tcPr>
          <w:p>
            <w:pPr>
              <w:spacing w:after="0"/>
              <w:rPr>
                <w:sz w:val="12"/>
                <w:szCs w:val="12"/>
                <w:color w:val="auto"/>
              </w:rPr>
            </w:pPr>
          </w:p>
        </w:tc>
        <w:tc>
          <w:tcPr>
            <w:tcW w:w="820" w:type="dxa"/>
            <w:vAlign w:val="bottom"/>
            <w:gridSpan w:val="2"/>
          </w:tcPr>
          <w:p>
            <w:pPr>
              <w:ind w:left="20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ind w:right="163"/>
              <w:spacing w:after="0"/>
              <w:rPr>
                <w:sz w:val="20"/>
                <w:szCs w:val="20"/>
                <w:color w:val="auto"/>
              </w:rPr>
            </w:pPr>
            <w:r>
              <w:rPr>
                <w:rFonts w:ascii="Arial" w:cs="Arial" w:eastAsia="Arial" w:hAnsi="Arial"/>
                <w:sz w:val="11"/>
                <w:szCs w:val="11"/>
                <w:b w:val="1"/>
                <w:bCs w:val="1"/>
                <w:color w:val="auto"/>
              </w:rPr>
              <w:t>Par Value</w:t>
            </w:r>
          </w:p>
        </w:tc>
        <w:tc>
          <w:tcPr>
            <w:tcW w:w="40" w:type="dxa"/>
            <w:vAlign w:val="bottom"/>
          </w:tcPr>
          <w:p>
            <w:pPr>
              <w:spacing w:after="0"/>
              <w:rPr>
                <w:sz w:val="12"/>
                <w:szCs w:val="12"/>
                <w:color w:val="auto"/>
              </w:rPr>
            </w:pPr>
          </w:p>
        </w:tc>
        <w:tc>
          <w:tcPr>
            <w:tcW w:w="940" w:type="dxa"/>
            <w:vAlign w:val="bottom"/>
            <w:gridSpan w:val="2"/>
          </w:tcPr>
          <w:p>
            <w:pPr>
              <w:jc w:val="center"/>
              <w:spacing w:after="0"/>
              <w:rPr>
                <w:sz w:val="20"/>
                <w:szCs w:val="20"/>
                <w:color w:val="auto"/>
              </w:rPr>
            </w:pPr>
            <w:r>
              <w:rPr>
                <w:rFonts w:ascii="Arial" w:cs="Arial" w:eastAsia="Arial" w:hAnsi="Arial"/>
                <w:sz w:val="11"/>
                <w:szCs w:val="11"/>
                <w:b w:val="1"/>
                <w:bCs w:val="1"/>
                <w:color w:val="auto"/>
              </w:rPr>
              <w:t>Common Stock</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Deficit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center"/>
              <w:ind w:right="63"/>
              <w:spacing w:after="0"/>
              <w:rPr>
                <w:sz w:val="20"/>
                <w:szCs w:val="20"/>
                <w:color w:val="auto"/>
              </w:rPr>
            </w:pPr>
            <w:r>
              <w:rPr>
                <w:rFonts w:ascii="Arial" w:cs="Arial" w:eastAsia="Arial" w:hAnsi="Arial"/>
                <w:sz w:val="11"/>
                <w:szCs w:val="11"/>
                <w:b w:val="1"/>
                <w:bCs w:val="1"/>
                <w:color w:val="auto"/>
              </w:rPr>
              <w:t>Income (Loss)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ind w:right="23"/>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600" w:type="dxa"/>
            <w:vAlign w:val="bottom"/>
            <w:shd w:val="clear" w:color="auto" w:fill="CCEEFF"/>
          </w:tcPr>
          <w:p>
            <w:pPr>
              <w:spacing w:after="0"/>
              <w:rPr>
                <w:sz w:val="20"/>
                <w:szCs w:val="20"/>
                <w:color w:val="auto"/>
              </w:rPr>
            </w:pPr>
            <w:r>
              <w:rPr>
                <w:rFonts w:ascii="Arial" w:cs="Arial" w:eastAsia="Arial" w:hAnsi="Arial"/>
                <w:sz w:val="11"/>
                <w:szCs w:val="11"/>
                <w:color w:val="auto"/>
              </w:rPr>
              <w:t>Balance at January 1, 2022</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jc w:val="center"/>
              <w:ind w:right="3"/>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3"/>
              <w:spacing w:after="0"/>
              <w:rPr>
                <w:sz w:val="20"/>
                <w:szCs w:val="20"/>
                <w:color w:val="auto"/>
              </w:rPr>
            </w:pPr>
            <w:r>
              <w:rPr>
                <w:rFonts w:ascii="Arial" w:cs="Arial" w:eastAsia="Arial" w:hAnsi="Arial"/>
                <w:sz w:val="11"/>
                <w:szCs w:val="11"/>
                <w:color w:val="auto"/>
              </w:rPr>
              <w:t>19,991,753</w:t>
            </w:r>
          </w:p>
        </w:tc>
        <w:tc>
          <w:tcPr>
            <w:tcW w:w="20" w:type="dxa"/>
            <w:vAlign w:val="bottom"/>
            <w:shd w:val="clear" w:color="auto" w:fill="CCEEFF"/>
          </w:tcPr>
          <w:p>
            <w:pPr>
              <w:spacing w:after="0"/>
              <w:rPr>
                <w:sz w:val="11"/>
                <w:szCs w:val="11"/>
                <w:color w:val="auto"/>
              </w:rPr>
            </w:pPr>
          </w:p>
        </w:tc>
        <w:tc>
          <w:tcPr>
            <w:tcW w:w="160" w:type="dxa"/>
            <w:vAlign w:val="bottom"/>
            <w:gridSpan w:val="2"/>
            <w:shd w:val="clear" w:color="auto" w:fill="CCEEFF"/>
          </w:tcPr>
          <w:p>
            <w:pPr>
              <w:jc w:val="center"/>
              <w:ind w:right="3"/>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19,992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310,666</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(124,245)</w:t>
            </w: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(2,516)</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203,897</w:t>
            </w:r>
          </w:p>
        </w:tc>
        <w:tc>
          <w:tcPr>
            <w:tcW w:w="0" w:type="dxa"/>
            <w:vAlign w:val="bottom"/>
          </w:tcPr>
          <w:p>
            <w:pPr>
              <w:spacing w:after="0"/>
              <w:rPr>
                <w:sz w:val="1"/>
                <w:szCs w:val="1"/>
                <w:color w:val="auto"/>
              </w:rPr>
            </w:pPr>
          </w:p>
        </w:tc>
      </w:tr>
      <w:tr>
        <w:trPr>
          <w:trHeight w:val="160"/>
        </w:trPr>
        <w:tc>
          <w:tcPr>
            <w:tcW w:w="2600" w:type="dxa"/>
            <w:vAlign w:val="bottom"/>
          </w:tcPr>
          <w:p>
            <w:pPr>
              <w:ind w:left="100"/>
              <w:spacing w:after="0"/>
              <w:rPr>
                <w:sz w:val="20"/>
                <w:szCs w:val="20"/>
                <w:color w:val="auto"/>
              </w:rPr>
            </w:pPr>
            <w:r>
              <w:rPr>
                <w:rFonts w:ascii="Arial" w:cs="Arial" w:eastAsia="Arial" w:hAnsi="Arial"/>
                <w:sz w:val="11"/>
                <w:szCs w:val="11"/>
                <w:color w:val="auto"/>
              </w:rPr>
              <w:t>Net income</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20,141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20,141</w:t>
            </w:r>
          </w:p>
        </w:tc>
        <w:tc>
          <w:tcPr>
            <w:tcW w:w="0" w:type="dxa"/>
            <w:vAlign w:val="bottom"/>
          </w:tcPr>
          <w:p>
            <w:pPr>
              <w:spacing w:after="0"/>
              <w:rPr>
                <w:sz w:val="1"/>
                <w:szCs w:val="1"/>
                <w:color w:val="auto"/>
              </w:rPr>
            </w:pPr>
          </w:p>
        </w:tc>
      </w:tr>
      <w:tr>
        <w:trPr>
          <w:trHeight w:val="160"/>
        </w:trPr>
        <w:tc>
          <w:tcPr>
            <w:tcW w:w="26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Other comprehensive loss</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(42,235)</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(42,235)</w:t>
            </w:r>
          </w:p>
        </w:tc>
        <w:tc>
          <w:tcPr>
            <w:tcW w:w="0" w:type="dxa"/>
            <w:vAlign w:val="bottom"/>
          </w:tcPr>
          <w:p>
            <w:pPr>
              <w:spacing w:after="0"/>
              <w:rPr>
                <w:sz w:val="1"/>
                <w:szCs w:val="1"/>
                <w:color w:val="auto"/>
              </w:rPr>
            </w:pPr>
          </w:p>
        </w:tc>
      </w:tr>
      <w:tr>
        <w:trPr>
          <w:trHeight w:val="160"/>
        </w:trPr>
        <w:tc>
          <w:tcPr>
            <w:tcW w:w="2600" w:type="dxa"/>
            <w:vAlign w:val="bottom"/>
          </w:tcPr>
          <w:p>
            <w:pPr>
              <w:ind w:left="100"/>
              <w:spacing w:after="0"/>
              <w:rPr>
                <w:sz w:val="20"/>
                <w:szCs w:val="20"/>
                <w:color w:val="auto"/>
              </w:rPr>
            </w:pPr>
            <w:r>
              <w:rPr>
                <w:rFonts w:ascii="Arial" w:cs="Arial" w:eastAsia="Arial" w:hAnsi="Arial"/>
                <w:sz w:val="11"/>
                <w:szCs w:val="11"/>
                <w:color w:val="auto"/>
              </w:rPr>
              <w:t>Issuance of common stock - exercised options</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3"/>
              <w:spacing w:after="0"/>
              <w:rPr>
                <w:sz w:val="20"/>
                <w:szCs w:val="20"/>
                <w:color w:val="auto"/>
              </w:rPr>
            </w:pPr>
            <w:r>
              <w:rPr>
                <w:rFonts w:ascii="Arial" w:cs="Arial" w:eastAsia="Arial" w:hAnsi="Arial"/>
                <w:sz w:val="11"/>
                <w:szCs w:val="11"/>
                <w:color w:val="auto"/>
              </w:rPr>
              <w:t>9,000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3"/>
              <w:spacing w:after="0"/>
              <w:rPr>
                <w:sz w:val="20"/>
                <w:szCs w:val="20"/>
                <w:color w:val="auto"/>
              </w:rPr>
            </w:pPr>
            <w:r>
              <w:rPr>
                <w:rFonts w:ascii="Arial" w:cs="Arial" w:eastAsia="Arial" w:hAnsi="Arial"/>
                <w:sz w:val="11"/>
                <w:szCs w:val="11"/>
                <w:color w:val="auto"/>
              </w:rPr>
              <w:t>9</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93</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102</w:t>
            </w:r>
          </w:p>
        </w:tc>
        <w:tc>
          <w:tcPr>
            <w:tcW w:w="0" w:type="dxa"/>
            <w:vAlign w:val="bottom"/>
          </w:tcPr>
          <w:p>
            <w:pPr>
              <w:spacing w:after="0"/>
              <w:rPr>
                <w:sz w:val="1"/>
                <w:szCs w:val="1"/>
                <w:color w:val="auto"/>
              </w:rPr>
            </w:pPr>
          </w:p>
        </w:tc>
      </w:tr>
      <w:tr>
        <w:trPr>
          <w:trHeight w:val="149"/>
        </w:trPr>
        <w:tc>
          <w:tcPr>
            <w:tcW w:w="2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Stock based compensation</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523</w:t>
            </w: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523</w:t>
            </w:r>
          </w:p>
        </w:tc>
        <w:tc>
          <w:tcPr>
            <w:tcW w:w="0" w:type="dxa"/>
            <w:vAlign w:val="bottom"/>
          </w:tcPr>
          <w:p>
            <w:pPr>
              <w:spacing w:after="0"/>
              <w:rPr>
                <w:sz w:val="1"/>
                <w:szCs w:val="1"/>
                <w:color w:val="auto"/>
              </w:rPr>
            </w:pPr>
          </w:p>
        </w:tc>
      </w:tr>
      <w:tr>
        <w:trPr>
          <w:trHeight w:val="201"/>
        </w:trPr>
        <w:tc>
          <w:tcPr>
            <w:tcW w:w="2600" w:type="dxa"/>
            <w:vAlign w:val="bottom"/>
          </w:tcPr>
          <w:p>
            <w:pPr>
              <w:spacing w:after="0"/>
              <w:rPr>
                <w:sz w:val="20"/>
                <w:szCs w:val="20"/>
                <w:color w:val="auto"/>
              </w:rPr>
            </w:pPr>
            <w:r>
              <w:rPr>
                <w:rFonts w:ascii="Arial" w:cs="Arial" w:eastAsia="Arial" w:hAnsi="Arial"/>
                <w:sz w:val="11"/>
                <w:szCs w:val="11"/>
                <w:color w:val="auto"/>
              </w:rPr>
              <w:t>Balance at December 31, 2022</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20,000,753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20,001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311,282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1"/>
                <w:szCs w:val="11"/>
                <w:color w:val="auto"/>
              </w:rPr>
              <w:t>(104,104)</w:t>
            </w:r>
          </w:p>
        </w:tc>
        <w:tc>
          <w:tcPr>
            <w:tcW w:w="8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(44,751)</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182,428</w:t>
            </w:r>
          </w:p>
        </w:tc>
        <w:tc>
          <w:tcPr>
            <w:tcW w:w="0" w:type="dxa"/>
            <w:vAlign w:val="bottom"/>
          </w:tcPr>
          <w:p>
            <w:pPr>
              <w:spacing w:after="0"/>
              <w:rPr>
                <w:sz w:val="1"/>
                <w:szCs w:val="1"/>
                <w:color w:val="auto"/>
              </w:rPr>
            </w:pPr>
          </w:p>
        </w:tc>
      </w:tr>
      <w:tr>
        <w:trPr>
          <w:trHeight w:val="111"/>
        </w:trPr>
        <w:tc>
          <w:tcPr>
            <w:tcW w:w="260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600" w:type="dxa"/>
            <w:vAlign w:val="bottom"/>
          </w:tcPr>
          <w:p>
            <w:pPr>
              <w:spacing w:after="0"/>
              <w:rPr>
                <w:sz w:val="20"/>
                <w:szCs w:val="20"/>
                <w:color w:val="auto"/>
              </w:rPr>
            </w:pPr>
            <w:r>
              <w:rPr>
                <w:rFonts w:ascii="Arial" w:cs="Arial" w:eastAsia="Arial" w:hAnsi="Arial"/>
                <w:sz w:val="11"/>
                <w:szCs w:val="11"/>
                <w:color w:val="auto"/>
              </w:rPr>
              <w:t>Balance at January 1, 2021</w:t>
            </w:r>
          </w:p>
        </w:tc>
        <w:tc>
          <w:tcPr>
            <w:tcW w:w="800" w:type="dxa"/>
            <w:vAlign w:val="bottom"/>
          </w:tcPr>
          <w:p>
            <w:pPr>
              <w:jc w:val="right"/>
              <w:spacing w:after="0"/>
              <w:rPr>
                <w:sz w:val="20"/>
                <w:szCs w:val="20"/>
                <w:color w:val="auto"/>
              </w:rPr>
            </w:pPr>
            <w:r>
              <w:rPr>
                <w:rFonts w:ascii="Arial" w:cs="Arial" w:eastAsia="Arial" w:hAnsi="Arial"/>
                <w:sz w:val="11"/>
                <w:szCs w:val="11"/>
                <w:color w:val="auto"/>
              </w:rPr>
              <w:t>12,350,879</w:t>
            </w:r>
          </w:p>
        </w:tc>
        <w:tc>
          <w:tcPr>
            <w:tcW w:w="40" w:type="dxa"/>
            <w:vAlign w:val="bottom"/>
          </w:tcPr>
          <w:p>
            <w:pPr>
              <w:spacing w:after="0"/>
              <w:rPr>
                <w:sz w:val="13"/>
                <w:szCs w:val="13"/>
                <w:color w:val="auto"/>
              </w:rPr>
            </w:pPr>
          </w:p>
        </w:tc>
        <w:tc>
          <w:tcPr>
            <w:tcW w:w="140" w:type="dxa"/>
            <w:vAlign w:val="bottom"/>
          </w:tcPr>
          <w:p>
            <w:pPr>
              <w:jc w:val="center"/>
              <w:ind w:right="3"/>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32,077</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10,010,521</w:t>
            </w:r>
          </w:p>
        </w:tc>
        <w:tc>
          <w:tcPr>
            <w:tcW w:w="20" w:type="dxa"/>
            <w:vAlign w:val="bottom"/>
          </w:tcPr>
          <w:p>
            <w:pPr>
              <w:spacing w:after="0"/>
              <w:rPr>
                <w:sz w:val="13"/>
                <w:szCs w:val="13"/>
                <w:color w:val="auto"/>
              </w:rPr>
            </w:pPr>
          </w:p>
        </w:tc>
        <w:tc>
          <w:tcPr>
            <w:tcW w:w="160" w:type="dxa"/>
            <w:vAlign w:val="bottom"/>
            <w:gridSpan w:val="2"/>
          </w:tcPr>
          <w:p>
            <w:pPr>
              <w:jc w:val="center"/>
              <w:ind w:right="3"/>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10,010</w:t>
            </w:r>
          </w:p>
        </w:tc>
        <w:tc>
          <w:tcPr>
            <w:tcW w:w="1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177,755</w:t>
            </w:r>
          </w:p>
        </w:tc>
        <w:tc>
          <w:tcPr>
            <w:tcW w:w="1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1"/>
                <w:szCs w:val="11"/>
                <w:color w:val="auto"/>
              </w:rPr>
              <w:t>(53,622)</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4,781</w:t>
            </w:r>
          </w:p>
        </w:tc>
        <w:tc>
          <w:tcPr>
            <w:tcW w:w="1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171,001</w:t>
            </w:r>
          </w:p>
        </w:tc>
        <w:tc>
          <w:tcPr>
            <w:tcW w:w="0" w:type="dxa"/>
            <w:vAlign w:val="bottom"/>
          </w:tcPr>
          <w:p>
            <w:pPr>
              <w:spacing w:after="0"/>
              <w:rPr>
                <w:sz w:val="1"/>
                <w:szCs w:val="1"/>
                <w:color w:val="auto"/>
              </w:rPr>
            </w:pPr>
          </w:p>
        </w:tc>
      </w:tr>
      <w:tr>
        <w:trPr>
          <w:trHeight w:val="160"/>
        </w:trPr>
        <w:tc>
          <w:tcPr>
            <w:tcW w:w="26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Net income</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21,077</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21,077</w:t>
            </w:r>
          </w:p>
        </w:tc>
        <w:tc>
          <w:tcPr>
            <w:tcW w:w="0" w:type="dxa"/>
            <w:vAlign w:val="bottom"/>
          </w:tcPr>
          <w:p>
            <w:pPr>
              <w:spacing w:after="0"/>
              <w:rPr>
                <w:sz w:val="1"/>
                <w:szCs w:val="1"/>
                <w:color w:val="auto"/>
              </w:rPr>
            </w:pPr>
          </w:p>
        </w:tc>
      </w:tr>
      <w:tr>
        <w:trPr>
          <w:trHeight w:val="160"/>
        </w:trPr>
        <w:tc>
          <w:tcPr>
            <w:tcW w:w="2600" w:type="dxa"/>
            <w:vAlign w:val="bottom"/>
          </w:tcPr>
          <w:p>
            <w:pPr>
              <w:ind w:left="100"/>
              <w:spacing w:after="0"/>
              <w:rPr>
                <w:sz w:val="20"/>
                <w:szCs w:val="20"/>
                <w:color w:val="auto"/>
              </w:rPr>
            </w:pPr>
            <w:r>
              <w:rPr>
                <w:rFonts w:ascii="Arial" w:cs="Arial" w:eastAsia="Arial" w:hAnsi="Arial"/>
                <w:sz w:val="11"/>
                <w:szCs w:val="11"/>
                <w:color w:val="auto"/>
              </w:rPr>
              <w:t>Other comprehensive loss</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(7,297)</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(7,297)</w:t>
            </w:r>
          </w:p>
        </w:tc>
        <w:tc>
          <w:tcPr>
            <w:tcW w:w="0" w:type="dxa"/>
            <w:vAlign w:val="bottom"/>
          </w:tcPr>
          <w:p>
            <w:pPr>
              <w:spacing w:after="0"/>
              <w:rPr>
                <w:sz w:val="1"/>
                <w:szCs w:val="1"/>
                <w:color w:val="auto"/>
              </w:rPr>
            </w:pPr>
          </w:p>
        </w:tc>
      </w:tr>
      <w:tr>
        <w:trPr>
          <w:trHeight w:val="160"/>
        </w:trPr>
        <w:tc>
          <w:tcPr>
            <w:tcW w:w="26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Dividends - preferred stock</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(2,077)</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(2,077)</w:t>
            </w:r>
          </w:p>
        </w:tc>
        <w:tc>
          <w:tcPr>
            <w:tcW w:w="0" w:type="dxa"/>
            <w:vAlign w:val="bottom"/>
          </w:tcPr>
          <w:p>
            <w:pPr>
              <w:spacing w:after="0"/>
              <w:rPr>
                <w:sz w:val="1"/>
                <w:szCs w:val="1"/>
                <w:color w:val="auto"/>
              </w:rPr>
            </w:pPr>
          </w:p>
        </w:tc>
      </w:tr>
      <w:tr>
        <w:trPr>
          <w:trHeight w:val="194"/>
        </w:trPr>
        <w:tc>
          <w:tcPr>
            <w:tcW w:w="2600" w:type="dxa"/>
            <w:vAlign w:val="bottom"/>
          </w:tcPr>
          <w:p>
            <w:pPr>
              <w:ind w:left="100"/>
              <w:spacing w:after="0"/>
              <w:rPr>
                <w:sz w:val="20"/>
                <w:szCs w:val="20"/>
                <w:color w:val="auto"/>
              </w:rPr>
            </w:pPr>
            <w:r>
              <w:rPr>
                <w:rFonts w:ascii="Arial" w:cs="Arial" w:eastAsia="Arial" w:hAnsi="Arial"/>
                <w:sz w:val="11"/>
                <w:szCs w:val="11"/>
                <w:color w:val="auto"/>
              </w:rPr>
              <w:t>Issuance of Class A common stock, net of</w:t>
            </w: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600" w:type="dxa"/>
            <w:vAlign w:val="bottom"/>
          </w:tcPr>
          <w:p>
            <w:pPr>
              <w:ind w:left="100"/>
              <w:spacing w:after="0"/>
              <w:rPr>
                <w:sz w:val="20"/>
                <w:szCs w:val="20"/>
                <w:color w:val="auto"/>
              </w:rPr>
            </w:pPr>
            <w:r>
              <w:rPr>
                <w:rFonts w:ascii="Arial" w:cs="Arial" w:eastAsia="Arial" w:hAnsi="Arial"/>
                <w:sz w:val="11"/>
                <w:szCs w:val="11"/>
                <w:color w:val="auto"/>
              </w:rPr>
              <w:t>offering costs of $6,048</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4,600,000</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jc w:val="right"/>
              <w:ind w:right="3"/>
              <w:spacing w:after="0"/>
              <w:rPr>
                <w:sz w:val="20"/>
                <w:szCs w:val="20"/>
                <w:color w:val="auto"/>
              </w:rPr>
            </w:pPr>
            <w:r>
              <w:rPr>
                <w:rFonts w:ascii="Arial" w:cs="Arial" w:eastAsia="Arial" w:hAnsi="Arial"/>
                <w:sz w:val="11"/>
                <w:szCs w:val="11"/>
                <w:color w:val="auto"/>
              </w:rPr>
              <w:t>4,600</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35,226</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39,826</w:t>
            </w:r>
          </w:p>
        </w:tc>
        <w:tc>
          <w:tcPr>
            <w:tcW w:w="0" w:type="dxa"/>
            <w:vAlign w:val="bottom"/>
          </w:tcPr>
          <w:p>
            <w:pPr>
              <w:spacing w:after="0"/>
              <w:rPr>
                <w:sz w:val="1"/>
                <w:szCs w:val="1"/>
                <w:color w:val="auto"/>
              </w:rPr>
            </w:pPr>
          </w:p>
        </w:tc>
      </w:tr>
      <w:tr>
        <w:trPr>
          <w:trHeight w:val="160"/>
        </w:trPr>
        <w:tc>
          <w:tcPr>
            <w:tcW w:w="26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Exchange of preferred stock</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(11,109,025)</w:t>
            </w: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(22,154)</w:t>
            </w:r>
          </w:p>
        </w:tc>
        <w:tc>
          <w:tcPr>
            <w:tcW w:w="860" w:type="dxa"/>
            <w:vAlign w:val="bottom"/>
            <w:gridSpan w:val="2"/>
            <w:shd w:val="clear" w:color="auto" w:fill="CCEEFF"/>
          </w:tcPr>
          <w:p>
            <w:pPr>
              <w:jc w:val="right"/>
              <w:ind w:right="3"/>
              <w:spacing w:after="0"/>
              <w:rPr>
                <w:sz w:val="20"/>
                <w:szCs w:val="20"/>
                <w:color w:val="auto"/>
              </w:rPr>
            </w:pPr>
            <w:r>
              <w:rPr>
                <w:rFonts w:ascii="Arial" w:cs="Arial" w:eastAsia="Arial" w:hAnsi="Arial"/>
                <w:sz w:val="11"/>
                <w:szCs w:val="11"/>
                <w:color w:val="auto"/>
              </w:rPr>
              <w:t>10,278,072</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10,279</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92,501</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(80,626)</w:t>
            </w: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0"/>
        </w:trPr>
        <w:tc>
          <w:tcPr>
            <w:tcW w:w="2600" w:type="dxa"/>
            <w:vAlign w:val="bottom"/>
          </w:tcPr>
          <w:p>
            <w:pPr>
              <w:ind w:left="100"/>
              <w:spacing w:after="0"/>
              <w:rPr>
                <w:sz w:val="20"/>
                <w:szCs w:val="20"/>
                <w:color w:val="auto"/>
              </w:rPr>
            </w:pPr>
            <w:r>
              <w:rPr>
                <w:rFonts w:ascii="Arial" w:cs="Arial" w:eastAsia="Arial" w:hAnsi="Arial"/>
                <w:sz w:val="11"/>
                <w:szCs w:val="11"/>
                <w:color w:val="auto"/>
              </w:rPr>
              <w:t>Redemption of preferred stock</w:t>
            </w:r>
          </w:p>
        </w:tc>
        <w:tc>
          <w:tcPr>
            <w:tcW w:w="840" w:type="dxa"/>
            <w:vAlign w:val="bottom"/>
            <w:gridSpan w:val="2"/>
          </w:tcPr>
          <w:p>
            <w:pPr>
              <w:jc w:val="right"/>
              <w:ind w:right="40"/>
              <w:spacing w:after="0"/>
              <w:rPr>
                <w:sz w:val="20"/>
                <w:szCs w:val="20"/>
                <w:color w:val="auto"/>
              </w:rPr>
            </w:pPr>
            <w:r>
              <w:rPr>
                <w:rFonts w:ascii="Arial" w:cs="Arial" w:eastAsia="Arial" w:hAnsi="Arial"/>
                <w:sz w:val="11"/>
                <w:szCs w:val="11"/>
                <w:color w:val="auto"/>
              </w:rPr>
              <w:t>(1,241,854)</w:t>
            </w: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(9,923)</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(8,997)</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(18,920)</w:t>
            </w:r>
          </w:p>
        </w:tc>
        <w:tc>
          <w:tcPr>
            <w:tcW w:w="0" w:type="dxa"/>
            <w:vAlign w:val="bottom"/>
          </w:tcPr>
          <w:p>
            <w:pPr>
              <w:spacing w:after="0"/>
              <w:rPr>
                <w:sz w:val="1"/>
                <w:szCs w:val="1"/>
                <w:color w:val="auto"/>
              </w:rPr>
            </w:pPr>
          </w:p>
        </w:tc>
      </w:tr>
      <w:tr>
        <w:trPr>
          <w:trHeight w:val="309"/>
        </w:trPr>
        <w:tc>
          <w:tcPr>
            <w:tcW w:w="26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Exchange of Class B to Class A common stock</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(4,896,840)</w:t>
            </w: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(4,897)</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4,897</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9"/>
        </w:trPr>
        <w:tc>
          <w:tcPr>
            <w:tcW w:w="2600" w:type="dxa"/>
            <w:vAlign w:val="bottom"/>
          </w:tcPr>
          <w:p>
            <w:pPr>
              <w:ind w:left="100"/>
              <w:spacing w:after="0"/>
              <w:rPr>
                <w:sz w:val="20"/>
                <w:szCs w:val="20"/>
                <w:color w:val="auto"/>
              </w:rPr>
            </w:pPr>
            <w:r>
              <w:rPr>
                <w:rFonts w:ascii="Arial" w:cs="Arial" w:eastAsia="Arial" w:hAnsi="Arial"/>
                <w:sz w:val="11"/>
                <w:szCs w:val="11"/>
                <w:color w:val="auto"/>
              </w:rPr>
              <w:t>Stock based compensation</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287</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287</w:t>
            </w:r>
          </w:p>
        </w:tc>
        <w:tc>
          <w:tcPr>
            <w:tcW w:w="0" w:type="dxa"/>
            <w:vAlign w:val="bottom"/>
          </w:tcPr>
          <w:p>
            <w:pPr>
              <w:spacing w:after="0"/>
              <w:rPr>
                <w:sz w:val="1"/>
                <w:szCs w:val="1"/>
                <w:color w:val="auto"/>
              </w:rPr>
            </w:pPr>
          </w:p>
        </w:tc>
      </w:tr>
      <w:tr>
        <w:trPr>
          <w:trHeight w:val="141"/>
        </w:trPr>
        <w:tc>
          <w:tcPr>
            <w:tcW w:w="2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1"/>
                <w:szCs w:val="11"/>
                <w:color w:val="auto"/>
              </w:rPr>
              <w:t>Balance at December 31, 2021</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center"/>
              <w:ind w:right="3"/>
              <w:spacing w:after="0"/>
              <w:rPr>
                <w:sz w:val="20"/>
                <w:szCs w:val="20"/>
                <w:color w:val="auto"/>
              </w:rPr>
            </w:pPr>
            <w:r>
              <w:rPr>
                <w:rFonts w:ascii="Arial" w:cs="Arial" w:eastAsia="Arial" w:hAnsi="Arial"/>
                <w:sz w:val="11"/>
                <w:szCs w:val="1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19,991,753</w:t>
            </w: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center"/>
              <w:ind w:right="23"/>
              <w:spacing w:after="0"/>
              <w:rPr>
                <w:sz w:val="20"/>
                <w:szCs w:val="20"/>
                <w:color w:val="auto"/>
              </w:rPr>
            </w:pPr>
            <w:r>
              <w:rPr>
                <w:rFonts w:ascii="Arial" w:cs="Arial" w:eastAsia="Arial" w:hAnsi="Arial"/>
                <w:sz w:val="11"/>
                <w:szCs w:val="11"/>
                <w:color w:val="auto"/>
                <w:w w:val="97"/>
              </w:rPr>
              <w:t>$</w:t>
            </w:r>
          </w:p>
        </w:tc>
        <w:tc>
          <w:tcPr>
            <w:tcW w:w="8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19,992</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310,666</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(124,245)</w:t>
            </w: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rPr>
              <w:t>(2,516)</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203,897</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The accompanying notes are an integral part ofthese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tabs>
          <w:tab w:leader="none" w:pos="260" w:val="left"/>
          <w:tab w:leader="none" w:pos="160" w:val="left"/>
        </w:tabs>
        <w:rPr>
          <w:sz w:val="20"/>
          <w:szCs w:val="20"/>
          <w:color w:val="auto"/>
        </w:rPr>
      </w:pPr>
      <w:r>
        <w:rPr>
          <w:rFonts w:ascii="Arial" w:cs="Arial" w:eastAsia="Arial" w:hAnsi="Arial"/>
          <w:sz w:val="14"/>
          <w:szCs w:val="14"/>
          <w:color w:val="auto"/>
        </w:rPr>
        <w:t>11</w:t>
      </w:r>
      <w:r>
        <w:rPr>
          <w:sz w:val="20"/>
          <w:szCs w:val="20"/>
          <w:color w:val="auto"/>
        </w:rPr>
        <w:tab/>
      </w:r>
      <w:r>
        <w:rPr>
          <w:rFonts w:ascii="Arial" w:cs="Arial" w:eastAsia="Arial" w:hAnsi="Arial"/>
          <w:sz w:val="14"/>
          <w:szCs w:val="14"/>
          <w:color w:val="auto"/>
        </w:rPr>
        <w:t>USCB Financial Holdings, Inc.</w:t>
        <w:tab/>
        <w:t>2022 10-K/A</w:t>
      </w:r>
    </w:p>
    <w:p>
      <w:pPr>
        <w:sectPr>
          <w:pgSz w:w="11900" w:h="16838" w:orient="portrait"/>
          <w:cols w:equalWidth="0" w:num="1">
            <w:col w:w="10240"/>
          </w:cols>
          <w:pgMar w:left="900" w:top="491" w:right="759" w:bottom="1440" w:gutter="0" w:footer="0" w:header="0"/>
        </w:sectPr>
      </w:pPr>
    </w:p>
    <w:bookmarkStart w:id="11" w:name="page12"/>
    <w:bookmarkEnd w:id="1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Consolidated Statements of Cash Flows</w:t>
      </w:r>
    </w:p>
    <w:p>
      <w:pPr>
        <w:jc w:val="center"/>
        <w:ind w:right="19"/>
        <w:spacing w:after="0"/>
        <w:rPr>
          <w:sz w:val="20"/>
          <w:szCs w:val="20"/>
          <w:color w:val="auto"/>
        </w:rPr>
      </w:pPr>
      <w:r>
        <w:rPr>
          <w:rFonts w:ascii="Arial" w:cs="Arial" w:eastAsia="Arial" w:hAnsi="Arial"/>
          <w:sz w:val="14"/>
          <w:szCs w:val="14"/>
          <w:color w:val="auto"/>
        </w:rPr>
        <w:t>(Dollars in thousands)</w:t>
      </w:r>
    </w:p>
    <w:p>
      <w:pPr>
        <w:spacing w:after="0" w:line="191" w:lineRule="exact"/>
        <w:rPr>
          <w:sz w:val="20"/>
          <w:szCs w:val="20"/>
          <w:color w:val="auto"/>
        </w:rPr>
      </w:pPr>
    </w:p>
    <w:tbl>
      <w:tblPr>
        <w:tblLayout w:type="fixed"/>
        <w:tblInd w:w="660" w:type="dxa"/>
        <w:tblCellMar>
          <w:top w:w="0" w:type="dxa"/>
          <w:left w:w="0" w:type="dxa"/>
          <w:bottom w:w="0" w:type="dxa"/>
          <w:right w:w="0" w:type="dxa"/>
        </w:tblCellMar>
      </w:tblPr>
      <w:tr>
        <w:trPr>
          <w:trHeight w:val="139"/>
        </w:trPr>
        <w:tc>
          <w:tcPr>
            <w:tcW w:w="5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0" w:type="dxa"/>
            <w:vAlign w:val="bottom"/>
            <w:gridSpan w:val="4"/>
          </w:tcPr>
          <w:p>
            <w:pPr>
              <w:jc w:val="right"/>
              <w:ind w:right="500"/>
              <w:spacing w:after="0"/>
              <w:rPr>
                <w:sz w:val="20"/>
                <w:szCs w:val="20"/>
                <w:color w:val="auto"/>
              </w:rPr>
            </w:pPr>
            <w:r>
              <w:rPr>
                <w:rFonts w:ascii="Arial" w:cs="Arial" w:eastAsia="Arial" w:hAnsi="Arial"/>
                <w:sz w:val="11"/>
                <w:szCs w:val="11"/>
                <w:b w:val="1"/>
                <w:bCs w:val="1"/>
                <w:color w:val="auto"/>
              </w:rPr>
              <w:t>Years Ended December 31,</w:t>
            </w:r>
          </w:p>
        </w:tc>
      </w:tr>
      <w:tr>
        <w:trPr>
          <w:trHeight w:val="140"/>
        </w:trPr>
        <w:tc>
          <w:tcPr>
            <w:tcW w:w="524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63"/>
              <w:spacing w:after="0"/>
              <w:rPr>
                <w:sz w:val="20"/>
                <w:szCs w:val="20"/>
                <w:color w:val="auto"/>
              </w:rPr>
            </w:pPr>
            <w:r>
              <w:rPr>
                <w:rFonts w:ascii="Arial" w:cs="Arial" w:eastAsia="Arial" w:hAnsi="Arial"/>
                <w:sz w:val="11"/>
                <w:szCs w:val="11"/>
                <w:b w:val="1"/>
                <w:bCs w:val="1"/>
                <w:color w:val="auto"/>
              </w:rPr>
              <w:t>2022</w:t>
            </w: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1"/>
                <w:szCs w:val="11"/>
                <w:b w:val="1"/>
                <w:bCs w:val="1"/>
                <w:color w:val="auto"/>
              </w:rPr>
              <w:t>2021</w:t>
            </w:r>
          </w:p>
        </w:tc>
        <w:tc>
          <w:tcPr>
            <w:tcW w:w="20" w:type="dxa"/>
            <w:vAlign w:val="bottom"/>
          </w:tcPr>
          <w:p>
            <w:pPr>
              <w:spacing w:after="0"/>
              <w:rPr>
                <w:sz w:val="12"/>
                <w:szCs w:val="12"/>
                <w:color w:val="auto"/>
              </w:rPr>
            </w:pPr>
          </w:p>
        </w:tc>
      </w:tr>
      <w:tr>
        <w:trPr>
          <w:trHeight w:val="140"/>
        </w:trPr>
        <w:tc>
          <w:tcPr>
            <w:tcW w:w="52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Cash flows from operating activities:</w:t>
            </w:r>
          </w:p>
        </w:tc>
        <w:tc>
          <w:tcPr>
            <w:tcW w:w="260" w:type="dxa"/>
            <w:vAlign w:val="bottom"/>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60"/>
        </w:trPr>
        <w:tc>
          <w:tcPr>
            <w:tcW w:w="5240" w:type="dxa"/>
            <w:vAlign w:val="bottom"/>
          </w:tcPr>
          <w:p>
            <w:pPr>
              <w:ind w:left="100"/>
              <w:spacing w:after="0"/>
              <w:rPr>
                <w:sz w:val="20"/>
                <w:szCs w:val="20"/>
                <w:color w:val="auto"/>
              </w:rPr>
            </w:pPr>
            <w:r>
              <w:rPr>
                <w:rFonts w:ascii="Arial" w:cs="Arial" w:eastAsia="Arial" w:hAnsi="Arial"/>
                <w:sz w:val="11"/>
                <w:szCs w:val="11"/>
                <w:color w:val="auto"/>
              </w:rPr>
              <w:t>Net income</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ind w:right="23"/>
              <w:spacing w:after="0"/>
              <w:rPr>
                <w:sz w:val="20"/>
                <w:szCs w:val="20"/>
                <w:color w:val="auto"/>
              </w:rPr>
            </w:pPr>
            <w:r>
              <w:rPr>
                <w:rFonts w:ascii="Arial" w:cs="Arial" w:eastAsia="Arial" w:hAnsi="Arial"/>
                <w:sz w:val="11"/>
                <w:szCs w:val="11"/>
                <w:color w:val="auto"/>
              </w:rPr>
              <w:t>20,141</w:t>
            </w:r>
          </w:p>
        </w:tc>
        <w:tc>
          <w:tcPr>
            <w:tcW w:w="280" w:type="dxa"/>
            <w:vAlign w:val="bottom"/>
          </w:tcPr>
          <w:p>
            <w:pPr>
              <w:jc w:val="right"/>
              <w:ind w:right="143"/>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21,077</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Adjustments to reconcile net income to net cash provided by operating activities:</w:t>
            </w:r>
          </w:p>
        </w:tc>
        <w:tc>
          <w:tcPr>
            <w:tcW w:w="260" w:type="dxa"/>
            <w:vAlign w:val="bottom"/>
            <w:shd w:val="clear" w:color="auto" w:fill="CCEEFF"/>
          </w:tcPr>
          <w:p>
            <w:pPr>
              <w:spacing w:after="0"/>
              <w:rPr>
                <w:sz w:val="13"/>
                <w:szCs w:val="13"/>
                <w:color w:val="auto"/>
              </w:rPr>
            </w:pPr>
          </w:p>
        </w:tc>
        <w:tc>
          <w:tcPr>
            <w:tcW w:w="980" w:type="dxa"/>
            <w:vAlign w:val="bottom"/>
            <w:tcBorders>
              <w:right w:val="single" w:sz="8" w:color="CCEEFF"/>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ind w:left="200"/>
              <w:spacing w:after="0"/>
              <w:rPr>
                <w:sz w:val="20"/>
                <w:szCs w:val="20"/>
                <w:color w:val="auto"/>
              </w:rPr>
            </w:pPr>
            <w:r>
              <w:rPr>
                <w:rFonts w:ascii="Arial" w:cs="Arial" w:eastAsia="Arial" w:hAnsi="Arial"/>
                <w:sz w:val="11"/>
                <w:szCs w:val="11"/>
                <w:color w:val="auto"/>
              </w:rPr>
              <w:t>Provision for credit losses</w:t>
            </w:r>
          </w:p>
        </w:tc>
        <w:tc>
          <w:tcPr>
            <w:tcW w:w="260" w:type="dxa"/>
            <w:vAlign w:val="bottom"/>
          </w:tcPr>
          <w:p>
            <w:pPr>
              <w:spacing w:after="0"/>
              <w:rPr>
                <w:sz w:val="13"/>
                <w:szCs w:val="13"/>
                <w:color w:val="auto"/>
              </w:rPr>
            </w:pPr>
          </w:p>
        </w:tc>
        <w:tc>
          <w:tcPr>
            <w:tcW w:w="980" w:type="dxa"/>
            <w:vAlign w:val="bottom"/>
          </w:tcPr>
          <w:p>
            <w:pPr>
              <w:jc w:val="right"/>
              <w:ind w:right="23"/>
              <w:spacing w:after="0"/>
              <w:rPr>
                <w:sz w:val="20"/>
                <w:szCs w:val="20"/>
                <w:color w:val="auto"/>
              </w:rPr>
            </w:pPr>
            <w:r>
              <w:rPr>
                <w:rFonts w:ascii="Arial" w:cs="Arial" w:eastAsia="Arial" w:hAnsi="Arial"/>
                <w:sz w:val="11"/>
                <w:szCs w:val="11"/>
                <w:color w:val="auto"/>
              </w:rPr>
              <w:t>2,495</w:t>
            </w:r>
          </w:p>
        </w:tc>
        <w:tc>
          <w:tcPr>
            <w:tcW w:w="280" w:type="dxa"/>
            <w:vAlign w:val="bottom"/>
          </w:tcPr>
          <w:p>
            <w:pPr>
              <w:spacing w:after="0"/>
              <w:rPr>
                <w:sz w:val="13"/>
                <w:szCs w:val="13"/>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1"/>
                <w:szCs w:val="11"/>
                <w:color w:val="auto"/>
              </w:rPr>
              <w:t>(160)</w:t>
            </w:r>
          </w:p>
        </w:tc>
      </w:tr>
      <w:tr>
        <w:trPr>
          <w:trHeight w:val="160"/>
        </w:trPr>
        <w:tc>
          <w:tcPr>
            <w:tcW w:w="52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Depreciation and amortization</w:t>
            </w:r>
          </w:p>
        </w:tc>
        <w:tc>
          <w:tcPr>
            <w:tcW w:w="260" w:type="dxa"/>
            <w:vAlign w:val="bottom"/>
            <w:shd w:val="clear" w:color="auto" w:fill="CCEEFF"/>
          </w:tcPr>
          <w:p>
            <w:pPr>
              <w:spacing w:after="0"/>
              <w:rPr>
                <w:sz w:val="13"/>
                <w:szCs w:val="13"/>
                <w:color w:val="auto"/>
              </w:rPr>
            </w:pPr>
          </w:p>
        </w:tc>
        <w:tc>
          <w:tcPr>
            <w:tcW w:w="980" w:type="dxa"/>
            <w:vAlign w:val="bottom"/>
            <w:tcBorders>
              <w:right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688</w:t>
            </w: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1,033</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ind w:left="200"/>
              <w:spacing w:after="0"/>
              <w:rPr>
                <w:sz w:val="20"/>
                <w:szCs w:val="20"/>
                <w:color w:val="auto"/>
              </w:rPr>
            </w:pPr>
            <w:r>
              <w:rPr>
                <w:rFonts w:ascii="Arial" w:cs="Arial" w:eastAsia="Arial" w:hAnsi="Arial"/>
                <w:sz w:val="11"/>
                <w:szCs w:val="11"/>
                <w:color w:val="auto"/>
              </w:rPr>
              <w:t>Amortization of premiums on securities, net</w:t>
            </w:r>
          </w:p>
        </w:tc>
        <w:tc>
          <w:tcPr>
            <w:tcW w:w="260" w:type="dxa"/>
            <w:vAlign w:val="bottom"/>
          </w:tcPr>
          <w:p>
            <w:pPr>
              <w:spacing w:after="0"/>
              <w:rPr>
                <w:sz w:val="13"/>
                <w:szCs w:val="13"/>
                <w:color w:val="auto"/>
              </w:rPr>
            </w:pPr>
          </w:p>
        </w:tc>
        <w:tc>
          <w:tcPr>
            <w:tcW w:w="980" w:type="dxa"/>
            <w:vAlign w:val="bottom"/>
          </w:tcPr>
          <w:p>
            <w:pPr>
              <w:jc w:val="right"/>
              <w:ind w:right="23"/>
              <w:spacing w:after="0"/>
              <w:rPr>
                <w:sz w:val="20"/>
                <w:szCs w:val="20"/>
                <w:color w:val="auto"/>
              </w:rPr>
            </w:pPr>
            <w:r>
              <w:rPr>
                <w:rFonts w:ascii="Arial" w:cs="Arial" w:eastAsia="Arial" w:hAnsi="Arial"/>
                <w:sz w:val="11"/>
                <w:szCs w:val="11"/>
                <w:color w:val="auto"/>
              </w:rPr>
              <w:t>433</w:t>
            </w: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596</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Accretion of deferred loan fees, net</w:t>
            </w:r>
          </w:p>
        </w:tc>
        <w:tc>
          <w:tcPr>
            <w:tcW w:w="260" w:type="dxa"/>
            <w:vAlign w:val="bottom"/>
            <w:shd w:val="clear" w:color="auto" w:fill="CCEEFF"/>
          </w:tcPr>
          <w:p>
            <w:pPr>
              <w:spacing w:after="0"/>
              <w:rPr>
                <w:sz w:val="13"/>
                <w:szCs w:val="13"/>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(1,497)</w:t>
            </w:r>
          </w:p>
        </w:tc>
        <w:tc>
          <w:tcPr>
            <w:tcW w:w="2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(3,754)</w:t>
            </w:r>
          </w:p>
        </w:tc>
      </w:tr>
      <w:tr>
        <w:trPr>
          <w:trHeight w:val="160"/>
        </w:trPr>
        <w:tc>
          <w:tcPr>
            <w:tcW w:w="5240" w:type="dxa"/>
            <w:vAlign w:val="bottom"/>
          </w:tcPr>
          <w:p>
            <w:pPr>
              <w:ind w:left="200"/>
              <w:spacing w:after="0"/>
              <w:rPr>
                <w:sz w:val="20"/>
                <w:szCs w:val="20"/>
                <w:color w:val="auto"/>
              </w:rPr>
            </w:pPr>
            <w:r>
              <w:rPr>
                <w:rFonts w:ascii="Arial" w:cs="Arial" w:eastAsia="Arial" w:hAnsi="Arial"/>
                <w:sz w:val="11"/>
                <w:szCs w:val="11"/>
                <w:color w:val="auto"/>
              </w:rPr>
              <w:t>Stock based compensation</w:t>
            </w:r>
          </w:p>
        </w:tc>
        <w:tc>
          <w:tcPr>
            <w:tcW w:w="260" w:type="dxa"/>
            <w:vAlign w:val="bottom"/>
          </w:tcPr>
          <w:p>
            <w:pPr>
              <w:spacing w:after="0"/>
              <w:rPr>
                <w:sz w:val="13"/>
                <w:szCs w:val="13"/>
                <w:color w:val="auto"/>
              </w:rPr>
            </w:pPr>
          </w:p>
        </w:tc>
        <w:tc>
          <w:tcPr>
            <w:tcW w:w="980" w:type="dxa"/>
            <w:vAlign w:val="bottom"/>
          </w:tcPr>
          <w:p>
            <w:pPr>
              <w:jc w:val="right"/>
              <w:ind w:right="23"/>
              <w:spacing w:after="0"/>
              <w:rPr>
                <w:sz w:val="20"/>
                <w:szCs w:val="20"/>
                <w:color w:val="auto"/>
              </w:rPr>
            </w:pPr>
            <w:r>
              <w:rPr>
                <w:rFonts w:ascii="Arial" w:cs="Arial" w:eastAsia="Arial" w:hAnsi="Arial"/>
                <w:sz w:val="11"/>
                <w:szCs w:val="11"/>
                <w:color w:val="auto"/>
              </w:rPr>
              <w:t>523</w:t>
            </w: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287</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Loss (Gain) on sale of available for sale securities, net</w:t>
            </w:r>
          </w:p>
        </w:tc>
        <w:tc>
          <w:tcPr>
            <w:tcW w:w="260" w:type="dxa"/>
            <w:vAlign w:val="bottom"/>
            <w:shd w:val="clear" w:color="auto" w:fill="CCEEFF"/>
          </w:tcPr>
          <w:p>
            <w:pPr>
              <w:spacing w:after="0"/>
              <w:rPr>
                <w:sz w:val="13"/>
                <w:szCs w:val="13"/>
                <w:color w:val="auto"/>
              </w:rPr>
            </w:pPr>
          </w:p>
        </w:tc>
        <w:tc>
          <w:tcPr>
            <w:tcW w:w="980" w:type="dxa"/>
            <w:vAlign w:val="bottom"/>
            <w:tcBorders>
              <w:right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2,529</w:t>
            </w:r>
          </w:p>
        </w:tc>
        <w:tc>
          <w:tcPr>
            <w:tcW w:w="2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(214)</w:t>
            </w:r>
          </w:p>
        </w:tc>
      </w:tr>
      <w:tr>
        <w:trPr>
          <w:trHeight w:val="160"/>
        </w:trPr>
        <w:tc>
          <w:tcPr>
            <w:tcW w:w="5240" w:type="dxa"/>
            <w:vAlign w:val="bottom"/>
          </w:tcPr>
          <w:p>
            <w:pPr>
              <w:ind w:left="200"/>
              <w:spacing w:after="0"/>
              <w:rPr>
                <w:sz w:val="20"/>
                <w:szCs w:val="20"/>
                <w:color w:val="auto"/>
              </w:rPr>
            </w:pPr>
            <w:r>
              <w:rPr>
                <w:rFonts w:ascii="Arial" w:cs="Arial" w:eastAsia="Arial" w:hAnsi="Arial"/>
                <w:sz w:val="11"/>
                <w:szCs w:val="11"/>
                <w:color w:val="auto"/>
              </w:rPr>
              <w:t>Gain on sale of loans held for sale</w:t>
            </w:r>
          </w:p>
        </w:tc>
        <w:tc>
          <w:tcPr>
            <w:tcW w:w="2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(891)</w:t>
            </w:r>
          </w:p>
        </w:tc>
        <w:tc>
          <w:tcPr>
            <w:tcW w:w="280" w:type="dxa"/>
            <w:vAlign w:val="bottom"/>
          </w:tcPr>
          <w:p>
            <w:pPr>
              <w:spacing w:after="0"/>
              <w:rPr>
                <w:sz w:val="13"/>
                <w:szCs w:val="13"/>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1"/>
                <w:szCs w:val="11"/>
                <w:color w:val="auto"/>
              </w:rPr>
              <w:t>(1,626)</w:t>
            </w:r>
          </w:p>
        </w:tc>
      </w:tr>
      <w:tr>
        <w:trPr>
          <w:trHeight w:val="160"/>
        </w:trPr>
        <w:tc>
          <w:tcPr>
            <w:tcW w:w="52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Gain on sale of premises and equipment, net</w:t>
            </w:r>
          </w:p>
        </w:tc>
        <w:tc>
          <w:tcPr>
            <w:tcW w:w="260" w:type="dxa"/>
            <w:vAlign w:val="bottom"/>
            <w:shd w:val="clear" w:color="auto" w:fill="CCEEFF"/>
          </w:tcPr>
          <w:p>
            <w:pPr>
              <w:spacing w:after="0"/>
              <w:rPr>
                <w:sz w:val="13"/>
                <w:szCs w:val="13"/>
                <w:color w:val="auto"/>
              </w:rPr>
            </w:pPr>
          </w:p>
        </w:tc>
        <w:tc>
          <w:tcPr>
            <w:tcW w:w="980" w:type="dxa"/>
            <w:vAlign w:val="bottom"/>
            <w:tcBorders>
              <w:right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(983)</w:t>
            </w:r>
          </w:p>
        </w:tc>
      </w:tr>
      <w:tr>
        <w:trPr>
          <w:trHeight w:val="160"/>
        </w:trPr>
        <w:tc>
          <w:tcPr>
            <w:tcW w:w="5240" w:type="dxa"/>
            <w:vAlign w:val="bottom"/>
          </w:tcPr>
          <w:p>
            <w:pPr>
              <w:ind w:left="200"/>
              <w:spacing w:after="0"/>
              <w:rPr>
                <w:sz w:val="20"/>
                <w:szCs w:val="20"/>
                <w:color w:val="auto"/>
              </w:rPr>
            </w:pPr>
            <w:r>
              <w:rPr>
                <w:rFonts w:ascii="Arial" w:cs="Arial" w:eastAsia="Arial" w:hAnsi="Arial"/>
                <w:sz w:val="11"/>
                <w:szCs w:val="11"/>
                <w:color w:val="auto"/>
              </w:rPr>
              <w:t>Increase in cash surrender value of bank owned life insurance</w:t>
            </w:r>
          </w:p>
        </w:tc>
        <w:tc>
          <w:tcPr>
            <w:tcW w:w="2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(1,061)</w:t>
            </w:r>
          </w:p>
        </w:tc>
        <w:tc>
          <w:tcPr>
            <w:tcW w:w="280" w:type="dxa"/>
            <w:vAlign w:val="bottom"/>
          </w:tcPr>
          <w:p>
            <w:pPr>
              <w:spacing w:after="0"/>
              <w:rPr>
                <w:sz w:val="13"/>
                <w:szCs w:val="13"/>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1"/>
                <w:szCs w:val="11"/>
                <w:color w:val="auto"/>
              </w:rPr>
              <w:t>(759)</w:t>
            </w:r>
          </w:p>
        </w:tc>
      </w:tr>
      <w:tr>
        <w:trPr>
          <w:trHeight w:val="160"/>
        </w:trPr>
        <w:tc>
          <w:tcPr>
            <w:tcW w:w="52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Decrease in deferred tax asset</w:t>
            </w:r>
          </w:p>
        </w:tc>
        <w:tc>
          <w:tcPr>
            <w:tcW w:w="260" w:type="dxa"/>
            <w:vAlign w:val="bottom"/>
            <w:shd w:val="clear" w:color="auto" w:fill="CCEEFF"/>
          </w:tcPr>
          <w:p>
            <w:pPr>
              <w:spacing w:after="0"/>
              <w:rPr>
                <w:sz w:val="13"/>
                <w:szCs w:val="13"/>
                <w:color w:val="auto"/>
              </w:rPr>
            </w:pPr>
          </w:p>
        </w:tc>
        <w:tc>
          <w:tcPr>
            <w:tcW w:w="980" w:type="dxa"/>
            <w:vAlign w:val="bottom"/>
            <w:tcBorders>
              <w:right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6,945</w:t>
            </w: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6,600</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ind w:left="100"/>
              <w:spacing w:after="0"/>
              <w:rPr>
                <w:sz w:val="20"/>
                <w:szCs w:val="20"/>
                <w:color w:val="auto"/>
              </w:rPr>
            </w:pPr>
            <w:r>
              <w:rPr>
                <w:rFonts w:ascii="Arial" w:cs="Arial" w:eastAsia="Arial" w:hAnsi="Arial"/>
                <w:sz w:val="11"/>
                <w:szCs w:val="11"/>
                <w:color w:val="auto"/>
              </w:rPr>
              <w:t>Net change in operating assets and liabilities:</w:t>
            </w: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Accrued interest receivable</w:t>
            </w:r>
          </w:p>
        </w:tc>
        <w:tc>
          <w:tcPr>
            <w:tcW w:w="260" w:type="dxa"/>
            <w:vAlign w:val="bottom"/>
            <w:shd w:val="clear" w:color="auto" w:fill="CCEEFF"/>
          </w:tcPr>
          <w:p>
            <w:pPr>
              <w:spacing w:after="0"/>
              <w:rPr>
                <w:sz w:val="13"/>
                <w:szCs w:val="13"/>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(1,571)</w:t>
            </w:r>
          </w:p>
        </w:tc>
        <w:tc>
          <w:tcPr>
            <w:tcW w:w="2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(428)</w:t>
            </w:r>
          </w:p>
        </w:tc>
      </w:tr>
      <w:tr>
        <w:trPr>
          <w:trHeight w:val="160"/>
        </w:trPr>
        <w:tc>
          <w:tcPr>
            <w:tcW w:w="5240" w:type="dxa"/>
            <w:vAlign w:val="bottom"/>
          </w:tcPr>
          <w:p>
            <w:pPr>
              <w:ind w:left="200"/>
              <w:spacing w:after="0"/>
              <w:rPr>
                <w:sz w:val="20"/>
                <w:szCs w:val="20"/>
                <w:color w:val="auto"/>
              </w:rPr>
            </w:pPr>
            <w:r>
              <w:rPr>
                <w:rFonts w:ascii="Arial" w:cs="Arial" w:eastAsia="Arial" w:hAnsi="Arial"/>
                <w:sz w:val="11"/>
                <w:szCs w:val="11"/>
                <w:color w:val="auto"/>
              </w:rPr>
              <w:t>Other assets</w:t>
            </w:r>
          </w:p>
        </w:tc>
        <w:tc>
          <w:tcPr>
            <w:tcW w:w="2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(3,449)</w:t>
            </w:r>
          </w:p>
        </w:tc>
        <w:tc>
          <w:tcPr>
            <w:tcW w:w="280" w:type="dxa"/>
            <w:vAlign w:val="bottom"/>
          </w:tcPr>
          <w:p>
            <w:pPr>
              <w:spacing w:after="0"/>
              <w:rPr>
                <w:sz w:val="13"/>
                <w:szCs w:val="13"/>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1"/>
                <w:szCs w:val="11"/>
                <w:color w:val="auto"/>
              </w:rPr>
              <w:t>(2,270)</w:t>
            </w:r>
          </w:p>
        </w:tc>
      </w:tr>
      <w:tr>
        <w:trPr>
          <w:trHeight w:val="160"/>
        </w:trPr>
        <w:tc>
          <w:tcPr>
            <w:tcW w:w="52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Accrued interest and other liabilities</w:t>
            </w:r>
          </w:p>
        </w:tc>
        <w:tc>
          <w:tcPr>
            <w:tcW w:w="26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right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4,252</w:t>
            </w:r>
          </w:p>
        </w:tc>
        <w:tc>
          <w:tcPr>
            <w:tcW w:w="2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2,652</w:t>
            </w:r>
          </w:p>
        </w:tc>
        <w:tc>
          <w:tcPr>
            <w:tcW w:w="20" w:type="dxa"/>
            <w:vAlign w:val="bottom"/>
            <w:shd w:val="clear" w:color="auto" w:fill="CCEEFF"/>
          </w:tcPr>
          <w:p>
            <w:pPr>
              <w:spacing w:after="0"/>
              <w:rPr>
                <w:sz w:val="13"/>
                <w:szCs w:val="13"/>
                <w:color w:val="auto"/>
              </w:rPr>
            </w:pPr>
          </w:p>
        </w:tc>
      </w:tr>
      <w:tr>
        <w:trPr>
          <w:trHeight w:val="140"/>
        </w:trPr>
        <w:tc>
          <w:tcPr>
            <w:tcW w:w="5240" w:type="dxa"/>
            <w:vAlign w:val="bottom"/>
          </w:tcPr>
          <w:p>
            <w:pPr>
              <w:ind w:left="380"/>
              <w:spacing w:after="0"/>
              <w:rPr>
                <w:sz w:val="20"/>
                <w:szCs w:val="20"/>
                <w:color w:val="auto"/>
              </w:rPr>
            </w:pPr>
            <w:r>
              <w:rPr>
                <w:rFonts w:ascii="Arial" w:cs="Arial" w:eastAsia="Arial" w:hAnsi="Arial"/>
                <w:sz w:val="11"/>
                <w:szCs w:val="11"/>
                <w:color w:val="auto"/>
              </w:rPr>
              <w:t>Net cash provided by operating activities</w:t>
            </w:r>
          </w:p>
        </w:tc>
        <w:tc>
          <w:tcPr>
            <w:tcW w:w="260" w:type="dxa"/>
            <w:vAlign w:val="bottom"/>
          </w:tcPr>
          <w:p>
            <w:pPr>
              <w:spacing w:after="0"/>
              <w:rPr>
                <w:sz w:val="12"/>
                <w:szCs w:val="12"/>
                <w:color w:val="auto"/>
              </w:rPr>
            </w:pPr>
          </w:p>
        </w:tc>
        <w:tc>
          <w:tcPr>
            <w:tcW w:w="980" w:type="dxa"/>
            <w:vAlign w:val="bottom"/>
          </w:tcPr>
          <w:p>
            <w:pPr>
              <w:jc w:val="right"/>
              <w:ind w:right="23"/>
              <w:spacing w:after="0"/>
              <w:rPr>
                <w:sz w:val="20"/>
                <w:szCs w:val="20"/>
                <w:color w:val="auto"/>
              </w:rPr>
            </w:pPr>
            <w:r>
              <w:rPr>
                <w:rFonts w:ascii="Arial" w:cs="Arial" w:eastAsia="Arial" w:hAnsi="Arial"/>
                <w:sz w:val="11"/>
                <w:szCs w:val="11"/>
                <w:color w:val="auto"/>
              </w:rPr>
              <w:t>29,537</w:t>
            </w: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22,051</w:t>
            </w:r>
          </w:p>
        </w:tc>
        <w:tc>
          <w:tcPr>
            <w:tcW w:w="20" w:type="dxa"/>
            <w:vAlign w:val="bottom"/>
          </w:tcPr>
          <w:p>
            <w:pPr>
              <w:spacing w:after="0"/>
              <w:rPr>
                <w:sz w:val="12"/>
                <w:szCs w:val="12"/>
                <w:color w:val="auto"/>
              </w:rPr>
            </w:pPr>
          </w:p>
        </w:tc>
      </w:tr>
      <w:tr>
        <w:trPr>
          <w:trHeight w:val="160"/>
        </w:trPr>
        <w:tc>
          <w:tcPr>
            <w:tcW w:w="5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tcBorders>
              <w:right w:val="single" w:sz="8" w:color="CCEEFF"/>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spacing w:after="0"/>
              <w:rPr>
                <w:sz w:val="20"/>
                <w:szCs w:val="20"/>
                <w:color w:val="auto"/>
              </w:rPr>
            </w:pPr>
            <w:r>
              <w:rPr>
                <w:rFonts w:ascii="Arial" w:cs="Arial" w:eastAsia="Arial" w:hAnsi="Arial"/>
                <w:sz w:val="11"/>
                <w:szCs w:val="11"/>
                <w:b w:val="1"/>
                <w:bCs w:val="1"/>
                <w:color w:val="auto"/>
              </w:rPr>
              <w:t>Cash flows from investing activities:</w:t>
            </w: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Purchase of investment securities held to maturity</w:t>
            </w:r>
          </w:p>
        </w:tc>
        <w:tc>
          <w:tcPr>
            <w:tcW w:w="260" w:type="dxa"/>
            <w:vAlign w:val="bottom"/>
            <w:shd w:val="clear" w:color="auto" w:fill="CCEEFF"/>
          </w:tcPr>
          <w:p>
            <w:pPr>
              <w:spacing w:after="0"/>
              <w:rPr>
                <w:sz w:val="13"/>
                <w:szCs w:val="13"/>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(14,739)</w:t>
            </w:r>
          </w:p>
        </w:tc>
        <w:tc>
          <w:tcPr>
            <w:tcW w:w="2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(57,917)</w:t>
            </w:r>
          </w:p>
        </w:tc>
      </w:tr>
      <w:tr>
        <w:trPr>
          <w:trHeight w:val="160"/>
        </w:trPr>
        <w:tc>
          <w:tcPr>
            <w:tcW w:w="5240" w:type="dxa"/>
            <w:vAlign w:val="bottom"/>
          </w:tcPr>
          <w:p>
            <w:pPr>
              <w:ind w:left="100"/>
              <w:spacing w:after="0"/>
              <w:rPr>
                <w:sz w:val="20"/>
                <w:szCs w:val="20"/>
                <w:color w:val="auto"/>
              </w:rPr>
            </w:pPr>
            <w:r>
              <w:rPr>
                <w:rFonts w:ascii="Arial" w:cs="Arial" w:eastAsia="Arial" w:hAnsi="Arial"/>
                <w:sz w:val="11"/>
                <w:szCs w:val="11"/>
                <w:color w:val="auto"/>
              </w:rPr>
              <w:t>Proceeds from maturities and pay-downs of investment securities held to maturity</w:t>
            </w:r>
          </w:p>
        </w:tc>
        <w:tc>
          <w:tcPr>
            <w:tcW w:w="260" w:type="dxa"/>
            <w:vAlign w:val="bottom"/>
          </w:tcPr>
          <w:p>
            <w:pPr>
              <w:spacing w:after="0"/>
              <w:rPr>
                <w:sz w:val="13"/>
                <w:szCs w:val="13"/>
                <w:color w:val="auto"/>
              </w:rPr>
            </w:pPr>
          </w:p>
        </w:tc>
        <w:tc>
          <w:tcPr>
            <w:tcW w:w="980" w:type="dxa"/>
            <w:vAlign w:val="bottom"/>
          </w:tcPr>
          <w:p>
            <w:pPr>
              <w:jc w:val="right"/>
              <w:ind w:right="23"/>
              <w:spacing w:after="0"/>
              <w:rPr>
                <w:sz w:val="20"/>
                <w:szCs w:val="20"/>
                <w:color w:val="auto"/>
              </w:rPr>
            </w:pPr>
            <w:r>
              <w:rPr>
                <w:rFonts w:ascii="Arial" w:cs="Arial" w:eastAsia="Arial" w:hAnsi="Arial"/>
                <w:sz w:val="11"/>
                <w:szCs w:val="11"/>
                <w:color w:val="auto"/>
              </w:rPr>
              <w:t>12,237</w:t>
            </w: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3,736</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Purchase of investment securities available for sale</w:t>
            </w:r>
          </w:p>
        </w:tc>
        <w:tc>
          <w:tcPr>
            <w:tcW w:w="260" w:type="dxa"/>
            <w:vAlign w:val="bottom"/>
            <w:shd w:val="clear" w:color="auto" w:fill="CCEEFF"/>
          </w:tcPr>
          <w:p>
            <w:pPr>
              <w:spacing w:after="0"/>
              <w:rPr>
                <w:sz w:val="13"/>
                <w:szCs w:val="13"/>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(53,113)</w:t>
            </w:r>
          </w:p>
        </w:tc>
        <w:tc>
          <w:tcPr>
            <w:tcW w:w="2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(258,767)</w:t>
            </w:r>
          </w:p>
        </w:tc>
      </w:tr>
      <w:tr>
        <w:trPr>
          <w:trHeight w:val="160"/>
        </w:trPr>
        <w:tc>
          <w:tcPr>
            <w:tcW w:w="5240" w:type="dxa"/>
            <w:vAlign w:val="bottom"/>
          </w:tcPr>
          <w:p>
            <w:pPr>
              <w:ind w:left="100"/>
              <w:spacing w:after="0"/>
              <w:rPr>
                <w:sz w:val="20"/>
                <w:szCs w:val="20"/>
                <w:color w:val="auto"/>
              </w:rPr>
            </w:pPr>
            <w:r>
              <w:rPr>
                <w:rFonts w:ascii="Arial" w:cs="Arial" w:eastAsia="Arial" w:hAnsi="Arial"/>
                <w:sz w:val="11"/>
                <w:szCs w:val="11"/>
                <w:color w:val="auto"/>
              </w:rPr>
              <w:t>Proceeds from maturities and pay-downs of investmentsecurities available for sale</w:t>
            </w:r>
          </w:p>
        </w:tc>
        <w:tc>
          <w:tcPr>
            <w:tcW w:w="260" w:type="dxa"/>
            <w:vAlign w:val="bottom"/>
          </w:tcPr>
          <w:p>
            <w:pPr>
              <w:spacing w:after="0"/>
              <w:rPr>
                <w:sz w:val="13"/>
                <w:szCs w:val="13"/>
                <w:color w:val="auto"/>
              </w:rPr>
            </w:pPr>
          </w:p>
        </w:tc>
        <w:tc>
          <w:tcPr>
            <w:tcW w:w="980" w:type="dxa"/>
            <w:vAlign w:val="bottom"/>
          </w:tcPr>
          <w:p>
            <w:pPr>
              <w:jc w:val="right"/>
              <w:ind w:right="23"/>
              <w:spacing w:after="0"/>
              <w:rPr>
                <w:sz w:val="20"/>
                <w:szCs w:val="20"/>
                <w:color w:val="auto"/>
              </w:rPr>
            </w:pPr>
            <w:r>
              <w:rPr>
                <w:rFonts w:ascii="Arial" w:cs="Arial" w:eastAsia="Arial" w:hAnsi="Arial"/>
                <w:sz w:val="11"/>
                <w:szCs w:val="11"/>
                <w:color w:val="auto"/>
              </w:rPr>
              <w:t>40,754</w:t>
            </w: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61,047</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Proceeds from sales of investment securities available for sale</w:t>
            </w:r>
          </w:p>
        </w:tc>
        <w:tc>
          <w:tcPr>
            <w:tcW w:w="260" w:type="dxa"/>
            <w:vAlign w:val="bottom"/>
            <w:shd w:val="clear" w:color="auto" w:fill="CCEEFF"/>
          </w:tcPr>
          <w:p>
            <w:pPr>
              <w:spacing w:after="0"/>
              <w:rPr>
                <w:sz w:val="13"/>
                <w:szCs w:val="13"/>
                <w:color w:val="auto"/>
              </w:rPr>
            </w:pPr>
          </w:p>
        </w:tc>
        <w:tc>
          <w:tcPr>
            <w:tcW w:w="980" w:type="dxa"/>
            <w:vAlign w:val="bottom"/>
            <w:tcBorders>
              <w:right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60,649</w:t>
            </w: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48,940</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ind w:left="100"/>
              <w:spacing w:after="0"/>
              <w:rPr>
                <w:sz w:val="20"/>
                <w:szCs w:val="20"/>
                <w:color w:val="auto"/>
              </w:rPr>
            </w:pPr>
            <w:r>
              <w:rPr>
                <w:rFonts w:ascii="Arial" w:cs="Arial" w:eastAsia="Arial" w:hAnsi="Arial"/>
                <w:sz w:val="11"/>
                <w:szCs w:val="11"/>
                <w:color w:val="auto"/>
              </w:rPr>
              <w:t>Proceeds from call of investment securities available for sale</w:t>
            </w:r>
          </w:p>
        </w:tc>
        <w:tc>
          <w:tcPr>
            <w:tcW w:w="260" w:type="dxa"/>
            <w:vAlign w:val="bottom"/>
          </w:tcPr>
          <w:p>
            <w:pPr>
              <w:spacing w:after="0"/>
              <w:rPr>
                <w:sz w:val="13"/>
                <w:szCs w:val="13"/>
                <w:color w:val="auto"/>
              </w:rPr>
            </w:pPr>
          </w:p>
        </w:tc>
        <w:tc>
          <w:tcPr>
            <w:tcW w:w="9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3,034</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Net increase in loans held for investment</w:t>
            </w:r>
          </w:p>
        </w:tc>
        <w:tc>
          <w:tcPr>
            <w:tcW w:w="260" w:type="dxa"/>
            <w:vAlign w:val="bottom"/>
            <w:shd w:val="clear" w:color="auto" w:fill="CCEEFF"/>
          </w:tcPr>
          <w:p>
            <w:pPr>
              <w:spacing w:after="0"/>
              <w:rPr>
                <w:sz w:val="13"/>
                <w:szCs w:val="13"/>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(257,580)</w:t>
            </w:r>
          </w:p>
        </w:tc>
        <w:tc>
          <w:tcPr>
            <w:tcW w:w="2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(33,515)</w:t>
            </w:r>
          </w:p>
        </w:tc>
      </w:tr>
      <w:tr>
        <w:trPr>
          <w:trHeight w:val="160"/>
        </w:trPr>
        <w:tc>
          <w:tcPr>
            <w:tcW w:w="5240" w:type="dxa"/>
            <w:vAlign w:val="bottom"/>
          </w:tcPr>
          <w:p>
            <w:pPr>
              <w:ind w:left="100"/>
              <w:spacing w:after="0"/>
              <w:rPr>
                <w:sz w:val="20"/>
                <w:szCs w:val="20"/>
                <w:color w:val="auto"/>
              </w:rPr>
            </w:pPr>
            <w:r>
              <w:rPr>
                <w:rFonts w:ascii="Arial" w:cs="Arial" w:eastAsia="Arial" w:hAnsi="Arial"/>
                <w:sz w:val="11"/>
                <w:szCs w:val="11"/>
                <w:color w:val="auto"/>
              </w:rPr>
              <w:t>Purchase of loans held for investment</w:t>
            </w:r>
          </w:p>
        </w:tc>
        <w:tc>
          <w:tcPr>
            <w:tcW w:w="2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(70,175)</w:t>
            </w:r>
          </w:p>
        </w:tc>
        <w:tc>
          <w:tcPr>
            <w:tcW w:w="28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(129,531)</w:t>
            </w:r>
          </w:p>
        </w:tc>
      </w:tr>
      <w:tr>
        <w:trPr>
          <w:trHeight w:val="160"/>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Additions to premises and equipment</w:t>
            </w:r>
          </w:p>
        </w:tc>
        <w:tc>
          <w:tcPr>
            <w:tcW w:w="260" w:type="dxa"/>
            <w:vAlign w:val="bottom"/>
            <w:shd w:val="clear" w:color="auto" w:fill="CCEEFF"/>
          </w:tcPr>
          <w:p>
            <w:pPr>
              <w:spacing w:after="0"/>
              <w:rPr>
                <w:sz w:val="13"/>
                <w:szCs w:val="13"/>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(673)</w:t>
            </w:r>
          </w:p>
        </w:tc>
        <w:tc>
          <w:tcPr>
            <w:tcW w:w="2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(633)</w:t>
            </w:r>
          </w:p>
        </w:tc>
      </w:tr>
      <w:tr>
        <w:trPr>
          <w:trHeight w:val="160"/>
        </w:trPr>
        <w:tc>
          <w:tcPr>
            <w:tcW w:w="5240" w:type="dxa"/>
            <w:vAlign w:val="bottom"/>
          </w:tcPr>
          <w:p>
            <w:pPr>
              <w:ind w:left="100"/>
              <w:spacing w:after="0"/>
              <w:rPr>
                <w:sz w:val="20"/>
                <w:szCs w:val="20"/>
                <w:color w:val="auto"/>
              </w:rPr>
            </w:pPr>
            <w:r>
              <w:rPr>
                <w:rFonts w:ascii="Arial" w:cs="Arial" w:eastAsia="Arial" w:hAnsi="Arial"/>
                <w:sz w:val="11"/>
                <w:szCs w:val="11"/>
                <w:color w:val="auto"/>
              </w:rPr>
              <w:t>Proceeds from the sale of loans held for sale</w:t>
            </w:r>
          </w:p>
        </w:tc>
        <w:tc>
          <w:tcPr>
            <w:tcW w:w="260" w:type="dxa"/>
            <w:vAlign w:val="bottom"/>
          </w:tcPr>
          <w:p>
            <w:pPr>
              <w:spacing w:after="0"/>
              <w:rPr>
                <w:sz w:val="13"/>
                <w:szCs w:val="13"/>
                <w:color w:val="auto"/>
              </w:rPr>
            </w:pPr>
          </w:p>
        </w:tc>
        <w:tc>
          <w:tcPr>
            <w:tcW w:w="980" w:type="dxa"/>
            <w:vAlign w:val="bottom"/>
          </w:tcPr>
          <w:p>
            <w:pPr>
              <w:jc w:val="right"/>
              <w:ind w:right="23"/>
              <w:spacing w:after="0"/>
              <w:rPr>
                <w:sz w:val="20"/>
                <w:szCs w:val="20"/>
                <w:color w:val="auto"/>
              </w:rPr>
            </w:pPr>
            <w:r>
              <w:rPr>
                <w:rFonts w:ascii="Arial" w:cs="Arial" w:eastAsia="Arial" w:hAnsi="Arial"/>
                <w:sz w:val="11"/>
                <w:szCs w:val="11"/>
                <w:color w:val="auto"/>
              </w:rPr>
              <w:t>12,821</w:t>
            </w: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16,980</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Proceeds from the sale of property</w:t>
            </w:r>
          </w:p>
        </w:tc>
        <w:tc>
          <w:tcPr>
            <w:tcW w:w="260" w:type="dxa"/>
            <w:vAlign w:val="bottom"/>
            <w:shd w:val="clear" w:color="auto" w:fill="CCEEFF"/>
          </w:tcPr>
          <w:p>
            <w:pPr>
              <w:spacing w:after="0"/>
              <w:rPr>
                <w:sz w:val="13"/>
                <w:szCs w:val="13"/>
                <w:color w:val="auto"/>
              </w:rPr>
            </w:pPr>
          </w:p>
        </w:tc>
        <w:tc>
          <w:tcPr>
            <w:tcW w:w="980" w:type="dxa"/>
            <w:vAlign w:val="bottom"/>
            <w:tcBorders>
              <w:right w:val="single" w:sz="8" w:color="CCEEFF"/>
            </w:tcBorders>
            <w:shd w:val="clear" w:color="auto" w:fill="CCEEFF"/>
          </w:tcPr>
          <w:p>
            <w:pPr>
              <w:jc w:val="right"/>
              <w:ind w:right="23"/>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1,652</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ind w:left="100"/>
              <w:spacing w:after="0"/>
              <w:rPr>
                <w:sz w:val="20"/>
                <w:szCs w:val="20"/>
                <w:color w:val="auto"/>
              </w:rPr>
            </w:pPr>
            <w:r>
              <w:rPr>
                <w:rFonts w:ascii="Arial" w:cs="Arial" w:eastAsia="Arial" w:hAnsi="Arial"/>
                <w:sz w:val="11"/>
                <w:szCs w:val="11"/>
                <w:color w:val="auto"/>
              </w:rPr>
              <w:t>Proceeds from the redemption of Federal Home Loan Bank stock</w:t>
            </w:r>
          </w:p>
        </w:tc>
        <w:tc>
          <w:tcPr>
            <w:tcW w:w="260" w:type="dxa"/>
            <w:vAlign w:val="bottom"/>
          </w:tcPr>
          <w:p>
            <w:pPr>
              <w:spacing w:after="0"/>
              <w:rPr>
                <w:sz w:val="13"/>
                <w:szCs w:val="13"/>
                <w:color w:val="auto"/>
              </w:rPr>
            </w:pPr>
          </w:p>
        </w:tc>
        <w:tc>
          <w:tcPr>
            <w:tcW w:w="980" w:type="dxa"/>
            <w:vAlign w:val="bottom"/>
          </w:tcPr>
          <w:p>
            <w:pPr>
              <w:jc w:val="right"/>
              <w:ind w:right="23"/>
              <w:spacing w:after="0"/>
              <w:rPr>
                <w:sz w:val="20"/>
                <w:szCs w:val="20"/>
                <w:color w:val="auto"/>
              </w:rPr>
            </w:pPr>
            <w:r>
              <w:rPr>
                <w:rFonts w:ascii="Arial" w:cs="Arial" w:eastAsia="Arial" w:hAnsi="Arial"/>
                <w:sz w:val="11"/>
                <w:szCs w:val="11"/>
                <w:color w:val="auto"/>
              </w:rPr>
              <w:t>3,440</w:t>
            </w: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611</w:t>
            </w:r>
          </w:p>
        </w:tc>
        <w:tc>
          <w:tcPr>
            <w:tcW w:w="20" w:type="dxa"/>
            <w:vAlign w:val="bottom"/>
          </w:tcPr>
          <w:p>
            <w:pPr>
              <w:spacing w:after="0"/>
              <w:rPr>
                <w:sz w:val="13"/>
                <w:szCs w:val="13"/>
                <w:color w:val="auto"/>
              </w:rPr>
            </w:pPr>
          </w:p>
        </w:tc>
      </w:tr>
      <w:tr>
        <w:trPr>
          <w:trHeight w:val="160"/>
        </w:trPr>
        <w:tc>
          <w:tcPr>
            <w:tcW w:w="5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Purchase of Federal Home Loan Bank stock</w:t>
            </w:r>
          </w:p>
        </w:tc>
        <w:tc>
          <w:tcPr>
            <w:tcW w:w="260" w:type="dxa"/>
            <w:vAlign w:val="bottom"/>
            <w:shd w:val="clear" w:color="auto" w:fill="CCEEFF"/>
          </w:tcPr>
          <w:p>
            <w:pPr>
              <w:spacing w:after="0"/>
              <w:rPr>
                <w:sz w:val="13"/>
                <w:szCs w:val="13"/>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(4,222)</w:t>
            </w: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r>
      <w:tr>
        <w:trPr>
          <w:trHeight w:val="160"/>
        </w:trPr>
        <w:tc>
          <w:tcPr>
            <w:tcW w:w="5240" w:type="dxa"/>
            <w:vAlign w:val="bottom"/>
          </w:tcPr>
          <w:p>
            <w:pPr>
              <w:ind w:left="100"/>
              <w:spacing w:after="0"/>
              <w:rPr>
                <w:sz w:val="20"/>
                <w:szCs w:val="20"/>
                <w:color w:val="auto"/>
              </w:rPr>
            </w:pPr>
            <w:r>
              <w:rPr>
                <w:rFonts w:ascii="Arial" w:cs="Arial" w:eastAsia="Arial" w:hAnsi="Arial"/>
                <w:sz w:val="11"/>
                <w:szCs w:val="11"/>
                <w:color w:val="auto"/>
              </w:rPr>
              <w:t>Purchase of bank owned life insurance</w:t>
            </w:r>
          </w:p>
        </w:tc>
        <w:tc>
          <w:tcPr>
            <w:tcW w:w="260" w:type="dxa"/>
            <w:vAlign w:val="bottom"/>
          </w:tcPr>
          <w:p>
            <w:pPr>
              <w:spacing w:after="0"/>
              <w:rPr>
                <w:sz w:val="13"/>
                <w:szCs w:val="13"/>
                <w:color w:val="auto"/>
              </w:rPr>
            </w:pPr>
          </w:p>
        </w:tc>
        <w:tc>
          <w:tcPr>
            <w:tcW w:w="98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1"/>
                <w:szCs w:val="11"/>
                <w:color w:val="auto"/>
              </w:rPr>
              <w:t>(15,000)</w:t>
            </w:r>
          </w:p>
        </w:tc>
      </w:tr>
      <w:tr>
        <w:trPr>
          <w:trHeight w:val="20"/>
        </w:trPr>
        <w:tc>
          <w:tcPr>
            <w:tcW w:w="5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0"/>
        </w:trPr>
        <w:tc>
          <w:tcPr>
            <w:tcW w:w="5240" w:type="dxa"/>
            <w:vAlign w:val="bottom"/>
            <w:shd w:val="clear" w:color="auto" w:fill="CCEEFF"/>
          </w:tcPr>
          <w:p>
            <w:pPr>
              <w:ind w:left="300"/>
              <w:spacing w:after="0"/>
              <w:rPr>
                <w:sz w:val="20"/>
                <w:szCs w:val="20"/>
                <w:color w:val="auto"/>
              </w:rPr>
            </w:pPr>
            <w:r>
              <w:rPr>
                <w:rFonts w:ascii="Arial" w:cs="Arial" w:eastAsia="Arial" w:hAnsi="Arial"/>
                <w:sz w:val="11"/>
                <w:szCs w:val="11"/>
                <w:color w:val="auto"/>
              </w:rPr>
              <w:t>Net cash used in investment activities</w:t>
            </w:r>
          </w:p>
        </w:tc>
        <w:tc>
          <w:tcPr>
            <w:tcW w:w="260" w:type="dxa"/>
            <w:vAlign w:val="bottom"/>
            <w:shd w:val="clear" w:color="auto" w:fill="CCEEFF"/>
          </w:tcPr>
          <w:p>
            <w:pPr>
              <w:spacing w:after="0"/>
              <w:rPr>
                <w:sz w:val="12"/>
                <w:szCs w:val="12"/>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(270,601)</w:t>
            </w:r>
          </w:p>
        </w:tc>
        <w:tc>
          <w:tcPr>
            <w:tcW w:w="2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(359,363)</w:t>
            </w:r>
          </w:p>
        </w:tc>
      </w:tr>
      <w:tr>
        <w:trPr>
          <w:trHeight w:val="173"/>
        </w:trPr>
        <w:tc>
          <w:tcPr>
            <w:tcW w:w="5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1"/>
                <w:szCs w:val="11"/>
                <w:color w:val="auto"/>
              </w:rPr>
              <w:t>(Continued)</w:t>
            </w:r>
          </w:p>
        </w:tc>
      </w:tr>
    </w:tbl>
    <w:p>
      <w:pPr>
        <w:spacing w:after="0" w:line="1"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12</w:t>
      </w:r>
      <w:r>
        <w:rPr>
          <w:sz w:val="20"/>
          <w:szCs w:val="20"/>
          <w:color w:val="auto"/>
        </w:rPr>
        <w:tab/>
      </w:r>
      <w:r>
        <w:rPr>
          <w:rFonts w:ascii="Arial" w:cs="Arial" w:eastAsia="Arial" w:hAnsi="Arial"/>
          <w:sz w:val="14"/>
          <w:szCs w:val="14"/>
          <w:color w:val="auto"/>
        </w:rPr>
        <w:t>USCB Financial Holdings, Inc.</w:t>
        <w:tab/>
        <w:t>2022 10-K/A</w:t>
      </w:r>
    </w:p>
    <w:p>
      <w:pPr>
        <w:sectPr>
          <w:pgSz w:w="11900" w:h="16838" w:orient="portrait"/>
          <w:cols w:equalWidth="0" w:num="1">
            <w:col w:w="9019"/>
          </w:cols>
          <w:pgMar w:left="1440" w:top="491" w:right="1440" w:bottom="1440" w:gutter="0" w:footer="0" w:header="0"/>
        </w:sectPr>
      </w:pPr>
    </w:p>
    <w:bookmarkStart w:id="12" w:name="page13"/>
    <w:bookmarkEnd w:id="1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Consolidated Statements of Cash Flows (Continued)</w:t>
      </w:r>
    </w:p>
    <w:p>
      <w:pPr>
        <w:jc w:val="center"/>
        <w:ind w:right="19"/>
        <w:spacing w:after="0"/>
        <w:rPr>
          <w:sz w:val="20"/>
          <w:szCs w:val="20"/>
          <w:color w:val="auto"/>
        </w:rPr>
      </w:pPr>
      <w:r>
        <w:rPr>
          <w:rFonts w:ascii="Arial" w:cs="Arial" w:eastAsia="Arial" w:hAnsi="Arial"/>
          <w:sz w:val="14"/>
          <w:szCs w:val="14"/>
          <w:color w:val="auto"/>
        </w:rPr>
        <w:t>(Dollars in thousands)</w:t>
      </w:r>
    </w:p>
    <w:p>
      <w:pPr>
        <w:spacing w:after="0" w:line="31" w:lineRule="exact"/>
        <w:rPr>
          <w:sz w:val="20"/>
          <w:szCs w:val="20"/>
          <w:color w:val="auto"/>
        </w:rPr>
      </w:pPr>
    </w:p>
    <w:tbl>
      <w:tblPr>
        <w:tblLayout w:type="fixed"/>
        <w:tblInd w:w="660" w:type="dxa"/>
        <w:tblCellMar>
          <w:top w:w="0" w:type="dxa"/>
          <w:left w:w="0" w:type="dxa"/>
          <w:bottom w:w="0" w:type="dxa"/>
          <w:right w:w="0" w:type="dxa"/>
        </w:tblCellMar>
      </w:tblPr>
      <w:tr>
        <w:trPr>
          <w:trHeight w:val="128"/>
        </w:trPr>
        <w:tc>
          <w:tcPr>
            <w:tcW w:w="12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280" w:type="dxa"/>
            <w:vAlign w:val="bottom"/>
            <w:tcBorders>
              <w:bottom w:val="single" w:sz="8" w:color="auto"/>
            </w:tcBorders>
            <w:gridSpan w:val="9"/>
          </w:tcPr>
          <w:p>
            <w:pPr>
              <w:jc w:val="right"/>
              <w:ind w:right="480"/>
              <w:spacing w:after="0"/>
              <w:rPr>
                <w:sz w:val="20"/>
                <w:szCs w:val="20"/>
                <w:color w:val="auto"/>
              </w:rPr>
            </w:pPr>
            <w:r>
              <w:rPr>
                <w:rFonts w:ascii="Arial" w:cs="Arial" w:eastAsia="Arial" w:hAnsi="Arial"/>
                <w:sz w:val="11"/>
                <w:szCs w:val="11"/>
                <w:b w:val="1"/>
                <w:bCs w:val="1"/>
                <w:color w:val="auto"/>
              </w:rPr>
              <w:t>Years Ended December 31,</w:t>
            </w:r>
          </w:p>
        </w:tc>
        <w:tc>
          <w:tcPr>
            <w:tcW w:w="20" w:type="dxa"/>
            <w:vAlign w:val="bottom"/>
          </w:tcPr>
          <w:p>
            <w:pPr>
              <w:spacing w:after="0"/>
              <w:rPr>
                <w:sz w:val="11"/>
                <w:szCs w:val="11"/>
                <w:color w:val="auto"/>
              </w:rPr>
            </w:pPr>
          </w:p>
        </w:tc>
      </w:tr>
      <w:tr>
        <w:trPr>
          <w:trHeight w:val="140"/>
        </w:trPr>
        <w:tc>
          <w:tcPr>
            <w:tcW w:w="120" w:type="dxa"/>
            <w:vAlign w:val="bottom"/>
            <w:tcBorders>
              <w:bottom w:val="single" w:sz="8" w:color="CCEEFF"/>
            </w:tcBorders>
          </w:tcPr>
          <w:p>
            <w:pPr>
              <w:spacing w:after="0"/>
              <w:rPr>
                <w:sz w:val="12"/>
                <w:szCs w:val="12"/>
                <w:color w:val="auto"/>
              </w:rPr>
            </w:pPr>
          </w:p>
        </w:tc>
        <w:tc>
          <w:tcPr>
            <w:tcW w:w="51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2022</w:t>
            </w:r>
          </w:p>
        </w:tc>
        <w:tc>
          <w:tcPr>
            <w:tcW w:w="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10" w:type="dxa"/>
            <w:vAlign w:val="bottom"/>
            <w:tcBorders>
              <w:bottom w:val="single" w:sz="8" w:color="auto"/>
            </w:tcBorders>
          </w:tcPr>
          <w:p>
            <w:pPr>
              <w:spacing w:after="0"/>
              <w:rPr>
                <w:sz w:val="12"/>
                <w:szCs w:val="12"/>
                <w:color w:val="auto"/>
              </w:rPr>
            </w:pPr>
          </w:p>
        </w:tc>
        <w:tc>
          <w:tcPr>
            <w:tcW w:w="1010" w:type="dxa"/>
            <w:vAlign w:val="bottom"/>
            <w:tcBorders>
              <w:bottom w:val="single" w:sz="8" w:color="auto"/>
            </w:tcBorders>
            <w:gridSpan w:val="2"/>
          </w:tcPr>
          <w:p>
            <w:pPr>
              <w:jc w:val="right"/>
              <w:ind w:right="343"/>
              <w:spacing w:after="0"/>
              <w:rPr>
                <w:sz w:val="20"/>
                <w:szCs w:val="20"/>
                <w:color w:val="auto"/>
              </w:rPr>
            </w:pPr>
            <w:r>
              <w:rPr>
                <w:rFonts w:ascii="Arial" w:cs="Arial" w:eastAsia="Arial" w:hAnsi="Arial"/>
                <w:sz w:val="11"/>
                <w:szCs w:val="11"/>
                <w:b w:val="1"/>
                <w:bCs w:val="1"/>
                <w:color w:val="auto"/>
              </w:rPr>
              <w:t>2021</w:t>
            </w:r>
          </w:p>
        </w:tc>
        <w:tc>
          <w:tcPr>
            <w:tcW w:w="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3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1"/>
        </w:trPr>
        <w:tc>
          <w:tcPr>
            <w:tcW w:w="5240" w:type="dxa"/>
            <w:vAlign w:val="bottom"/>
            <w:gridSpan w:val="2"/>
            <w:shd w:val="clear" w:color="auto" w:fill="CCEEFF"/>
          </w:tcPr>
          <w:p>
            <w:pPr>
              <w:ind w:left="40"/>
              <w:spacing w:after="0"/>
              <w:rPr>
                <w:sz w:val="20"/>
                <w:szCs w:val="20"/>
                <w:color w:val="auto"/>
              </w:rPr>
            </w:pPr>
            <w:r>
              <w:rPr>
                <w:rFonts w:ascii="Arial" w:cs="Arial" w:eastAsia="Arial" w:hAnsi="Arial"/>
                <w:sz w:val="11"/>
                <w:szCs w:val="11"/>
                <w:b w:val="1"/>
                <w:bCs w:val="1"/>
                <w:color w:val="auto"/>
              </w:rPr>
              <w:t>Cash flows from financing activities:</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10" w:type="dxa"/>
            <w:vAlign w:val="bottom"/>
            <w:shd w:val="clear" w:color="auto" w:fill="CCEEFF"/>
          </w:tcPr>
          <w:p>
            <w:pPr>
              <w:spacing w:after="0"/>
              <w:rPr>
                <w:sz w:val="11"/>
                <w:szCs w:val="11"/>
                <w:color w:val="auto"/>
              </w:rPr>
            </w:pPr>
          </w:p>
        </w:tc>
        <w:tc>
          <w:tcPr>
            <w:tcW w:w="3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60"/>
        </w:trPr>
        <w:tc>
          <w:tcPr>
            <w:tcW w:w="120" w:type="dxa"/>
            <w:vAlign w:val="bottom"/>
          </w:tcPr>
          <w:p>
            <w:pPr>
              <w:spacing w:after="0"/>
              <w:rPr>
                <w:sz w:val="13"/>
                <w:szCs w:val="13"/>
                <w:color w:val="auto"/>
              </w:rPr>
            </w:pPr>
          </w:p>
        </w:tc>
        <w:tc>
          <w:tcPr>
            <w:tcW w:w="5120" w:type="dxa"/>
            <w:vAlign w:val="bottom"/>
          </w:tcPr>
          <w:p>
            <w:pPr>
              <w:ind w:left="20"/>
              <w:spacing w:after="0"/>
              <w:rPr>
                <w:sz w:val="20"/>
                <w:szCs w:val="20"/>
                <w:color w:val="auto"/>
              </w:rPr>
            </w:pPr>
            <w:r>
              <w:rPr>
                <w:rFonts w:ascii="Arial" w:cs="Arial" w:eastAsia="Arial" w:hAnsi="Arial"/>
                <w:sz w:val="11"/>
                <w:szCs w:val="11"/>
                <w:color w:val="auto"/>
              </w:rPr>
              <w:t>Proceeds from issuance of Class A common stock, net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1"/>
                <w:szCs w:val="11"/>
                <w:color w:val="auto"/>
              </w:rPr>
              <w:t>102</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1070" w:type="dxa"/>
            <w:vAlign w:val="bottom"/>
            <w:gridSpan w:val="3"/>
          </w:tcPr>
          <w:p>
            <w:pPr>
              <w:jc w:val="right"/>
              <w:ind w:right="60"/>
              <w:spacing w:after="0"/>
              <w:rPr>
                <w:sz w:val="20"/>
                <w:szCs w:val="20"/>
                <w:color w:val="auto"/>
              </w:rPr>
            </w:pPr>
            <w:r>
              <w:rPr>
                <w:rFonts w:ascii="Arial" w:cs="Arial" w:eastAsia="Arial" w:hAnsi="Arial"/>
                <w:sz w:val="11"/>
                <w:szCs w:val="11"/>
                <w:color w:val="auto"/>
              </w:rPr>
              <w:t>39,826</w:t>
            </w:r>
          </w:p>
        </w:tc>
        <w:tc>
          <w:tcPr>
            <w:tcW w:w="20" w:type="dxa"/>
            <w:vAlign w:val="bottom"/>
          </w:tcPr>
          <w:p>
            <w:pPr>
              <w:spacing w:after="0"/>
              <w:rPr>
                <w:sz w:val="13"/>
                <w:szCs w:val="13"/>
                <w:color w:val="auto"/>
              </w:rPr>
            </w:pPr>
          </w:p>
        </w:tc>
      </w:tr>
      <w:tr>
        <w:trPr>
          <w:trHeight w:val="160"/>
        </w:trPr>
        <w:tc>
          <w:tcPr>
            <w:tcW w:w="120" w:type="dxa"/>
            <w:vAlign w:val="bottom"/>
            <w:shd w:val="clear" w:color="auto" w:fill="CCEEFF"/>
          </w:tcPr>
          <w:p>
            <w:pPr>
              <w:spacing w:after="0"/>
              <w:rPr>
                <w:sz w:val="13"/>
                <w:szCs w:val="13"/>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1"/>
                <w:szCs w:val="11"/>
                <w:color w:val="auto"/>
              </w:rPr>
              <w:t>Cash dividends paid</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3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(2,077)</w:t>
            </w:r>
          </w:p>
        </w:tc>
        <w:tc>
          <w:tcPr>
            <w:tcW w:w="20" w:type="dxa"/>
            <w:vAlign w:val="bottom"/>
            <w:shd w:val="clear" w:color="auto" w:fill="CCEEFF"/>
          </w:tcPr>
          <w:p>
            <w:pPr>
              <w:spacing w:after="0"/>
              <w:rPr>
                <w:sz w:val="13"/>
                <w:szCs w:val="13"/>
                <w:color w:val="auto"/>
              </w:rPr>
            </w:pPr>
          </w:p>
        </w:tc>
      </w:tr>
      <w:tr>
        <w:trPr>
          <w:trHeight w:val="160"/>
        </w:trPr>
        <w:tc>
          <w:tcPr>
            <w:tcW w:w="120" w:type="dxa"/>
            <w:vAlign w:val="bottom"/>
          </w:tcPr>
          <w:p>
            <w:pPr>
              <w:spacing w:after="0"/>
              <w:rPr>
                <w:sz w:val="13"/>
                <w:szCs w:val="13"/>
                <w:color w:val="auto"/>
              </w:rPr>
            </w:pPr>
          </w:p>
        </w:tc>
        <w:tc>
          <w:tcPr>
            <w:tcW w:w="5120" w:type="dxa"/>
            <w:vAlign w:val="bottom"/>
          </w:tcPr>
          <w:p>
            <w:pPr>
              <w:ind w:left="20"/>
              <w:spacing w:after="0"/>
              <w:rPr>
                <w:sz w:val="20"/>
                <w:szCs w:val="20"/>
                <w:color w:val="auto"/>
              </w:rPr>
            </w:pPr>
            <w:r>
              <w:rPr>
                <w:rFonts w:ascii="Arial" w:cs="Arial" w:eastAsia="Arial" w:hAnsi="Arial"/>
                <w:sz w:val="11"/>
                <w:szCs w:val="11"/>
                <w:color w:val="auto"/>
              </w:rPr>
              <w:t>Redemption of Preferred stock Class C</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1070" w:type="dxa"/>
            <w:vAlign w:val="bottom"/>
            <w:gridSpan w:val="3"/>
          </w:tcPr>
          <w:p>
            <w:pPr>
              <w:jc w:val="right"/>
              <w:ind w:right="20"/>
              <w:spacing w:after="0"/>
              <w:rPr>
                <w:sz w:val="20"/>
                <w:szCs w:val="20"/>
                <w:color w:val="auto"/>
              </w:rPr>
            </w:pPr>
            <w:r>
              <w:rPr>
                <w:rFonts w:ascii="Arial" w:cs="Arial" w:eastAsia="Arial" w:hAnsi="Arial"/>
                <w:sz w:val="11"/>
                <w:szCs w:val="11"/>
                <w:color w:val="auto"/>
              </w:rPr>
              <w:t>(5,275)</w:t>
            </w:r>
          </w:p>
        </w:tc>
        <w:tc>
          <w:tcPr>
            <w:tcW w:w="20" w:type="dxa"/>
            <w:vAlign w:val="bottom"/>
          </w:tcPr>
          <w:p>
            <w:pPr>
              <w:spacing w:after="0"/>
              <w:rPr>
                <w:sz w:val="13"/>
                <w:szCs w:val="13"/>
                <w:color w:val="auto"/>
              </w:rPr>
            </w:pPr>
          </w:p>
        </w:tc>
      </w:tr>
      <w:tr>
        <w:trPr>
          <w:trHeight w:val="160"/>
        </w:trPr>
        <w:tc>
          <w:tcPr>
            <w:tcW w:w="120" w:type="dxa"/>
            <w:vAlign w:val="bottom"/>
            <w:shd w:val="clear" w:color="auto" w:fill="CCEEFF"/>
          </w:tcPr>
          <w:p>
            <w:pPr>
              <w:spacing w:after="0"/>
              <w:rPr>
                <w:sz w:val="13"/>
                <w:szCs w:val="13"/>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Redemption of Preferred stock Class D</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3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(6,145)</w:t>
            </w:r>
          </w:p>
        </w:tc>
        <w:tc>
          <w:tcPr>
            <w:tcW w:w="20" w:type="dxa"/>
            <w:vAlign w:val="bottom"/>
            <w:shd w:val="clear" w:color="auto" w:fill="CCEEFF"/>
          </w:tcPr>
          <w:p>
            <w:pPr>
              <w:spacing w:after="0"/>
              <w:rPr>
                <w:sz w:val="13"/>
                <w:szCs w:val="13"/>
                <w:color w:val="auto"/>
              </w:rPr>
            </w:pPr>
          </w:p>
        </w:tc>
      </w:tr>
      <w:tr>
        <w:trPr>
          <w:trHeight w:val="160"/>
        </w:trPr>
        <w:tc>
          <w:tcPr>
            <w:tcW w:w="120" w:type="dxa"/>
            <w:vAlign w:val="bottom"/>
          </w:tcPr>
          <w:p>
            <w:pPr>
              <w:spacing w:after="0"/>
              <w:rPr>
                <w:sz w:val="13"/>
                <w:szCs w:val="13"/>
                <w:color w:val="auto"/>
              </w:rPr>
            </w:pPr>
          </w:p>
        </w:tc>
        <w:tc>
          <w:tcPr>
            <w:tcW w:w="5120" w:type="dxa"/>
            <w:vAlign w:val="bottom"/>
          </w:tcPr>
          <w:p>
            <w:pPr>
              <w:ind w:left="20"/>
              <w:spacing w:after="0"/>
              <w:rPr>
                <w:sz w:val="20"/>
                <w:szCs w:val="20"/>
                <w:color w:val="auto"/>
              </w:rPr>
            </w:pPr>
            <w:r>
              <w:rPr>
                <w:rFonts w:ascii="Arial" w:cs="Arial" w:eastAsia="Arial" w:hAnsi="Arial"/>
                <w:sz w:val="11"/>
                <w:szCs w:val="11"/>
                <w:color w:val="auto"/>
              </w:rPr>
              <w:t>Redemption of Preferred stock Class 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1070" w:type="dxa"/>
            <w:vAlign w:val="bottom"/>
            <w:gridSpan w:val="3"/>
          </w:tcPr>
          <w:p>
            <w:pPr>
              <w:jc w:val="right"/>
              <w:ind w:right="20"/>
              <w:spacing w:after="0"/>
              <w:rPr>
                <w:sz w:val="20"/>
                <w:szCs w:val="20"/>
                <w:color w:val="auto"/>
              </w:rPr>
            </w:pPr>
            <w:r>
              <w:rPr>
                <w:rFonts w:ascii="Arial" w:cs="Arial" w:eastAsia="Arial" w:hAnsi="Arial"/>
                <w:sz w:val="11"/>
                <w:szCs w:val="11"/>
                <w:color w:val="auto"/>
              </w:rPr>
              <w:t>(7,500)</w:t>
            </w:r>
          </w:p>
        </w:tc>
        <w:tc>
          <w:tcPr>
            <w:tcW w:w="20" w:type="dxa"/>
            <w:vAlign w:val="bottom"/>
          </w:tcPr>
          <w:p>
            <w:pPr>
              <w:spacing w:after="0"/>
              <w:rPr>
                <w:sz w:val="13"/>
                <w:szCs w:val="13"/>
                <w:color w:val="auto"/>
              </w:rPr>
            </w:pPr>
          </w:p>
        </w:tc>
      </w:tr>
      <w:tr>
        <w:trPr>
          <w:trHeight w:val="160"/>
        </w:trPr>
        <w:tc>
          <w:tcPr>
            <w:tcW w:w="120" w:type="dxa"/>
            <w:vAlign w:val="bottom"/>
            <w:shd w:val="clear" w:color="auto" w:fill="CCEEFF"/>
          </w:tcPr>
          <w:p>
            <w:pPr>
              <w:spacing w:after="0"/>
              <w:rPr>
                <w:sz w:val="13"/>
                <w:szCs w:val="13"/>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increase in deposits</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238,902</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3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316,977</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120" w:type="dxa"/>
            <w:vAlign w:val="bottom"/>
          </w:tcPr>
          <w:p>
            <w:pPr>
              <w:spacing w:after="0"/>
              <w:rPr>
                <w:sz w:val="13"/>
                <w:szCs w:val="13"/>
                <w:color w:val="auto"/>
              </w:rPr>
            </w:pPr>
          </w:p>
        </w:tc>
        <w:tc>
          <w:tcPr>
            <w:tcW w:w="5120" w:type="dxa"/>
            <w:vAlign w:val="bottom"/>
          </w:tcPr>
          <w:p>
            <w:pPr>
              <w:ind w:left="20"/>
              <w:spacing w:after="0"/>
              <w:rPr>
                <w:sz w:val="20"/>
                <w:szCs w:val="20"/>
                <w:color w:val="auto"/>
              </w:rPr>
            </w:pPr>
            <w:r>
              <w:rPr>
                <w:rFonts w:ascii="Arial" w:cs="Arial" w:eastAsia="Arial" w:hAnsi="Arial"/>
                <w:sz w:val="11"/>
                <w:szCs w:val="11"/>
                <w:color w:val="auto"/>
              </w:rPr>
              <w:t>Proceeds from Federal Home Loan Bank advances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1"/>
                <w:szCs w:val="11"/>
                <w:color w:val="auto"/>
              </w:rPr>
              <w:t>126,000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107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r>
      <w:tr>
        <w:trPr>
          <w:trHeight w:val="149"/>
        </w:trPr>
        <w:tc>
          <w:tcPr>
            <w:tcW w:w="120" w:type="dxa"/>
            <w:vAlign w:val="bottom"/>
            <w:tcBorders>
              <w:bottom w:val="single" w:sz="8" w:color="CCEEFF"/>
            </w:tcBorders>
            <w:shd w:val="clear" w:color="auto" w:fill="CCEEFF"/>
          </w:tcPr>
          <w:p>
            <w:pPr>
              <w:spacing w:after="0"/>
              <w:rPr>
                <w:sz w:val="12"/>
                <w:szCs w:val="12"/>
                <w:color w:val="auto"/>
              </w:rPr>
            </w:pPr>
          </w:p>
        </w:tc>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Repayments on Federal Home Loan Bank advances</w:t>
            </w:r>
          </w:p>
        </w:tc>
        <w:tc>
          <w:tcPr>
            <w:tcW w:w="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(116,000)</w:t>
            </w: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10" w:type="dxa"/>
            <w:vAlign w:val="bottom"/>
            <w:tcBorders>
              <w:bottom w:val="single" w:sz="8" w:color="auto"/>
            </w:tcBorders>
            <w:shd w:val="clear" w:color="auto" w:fill="CCEEFF"/>
          </w:tcPr>
          <w:p>
            <w:pPr>
              <w:spacing w:after="0"/>
              <w:rPr>
                <w:sz w:val="12"/>
                <w:szCs w:val="12"/>
                <w:color w:val="auto"/>
              </w:rPr>
            </w:pPr>
          </w:p>
        </w:tc>
        <w:tc>
          <w:tcPr>
            <w:tcW w:w="3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r>
      <w:tr>
        <w:trPr>
          <w:trHeight w:val="151"/>
        </w:trPr>
        <w:tc>
          <w:tcPr>
            <w:tcW w:w="120" w:type="dxa"/>
            <w:vAlign w:val="bottom"/>
          </w:tcPr>
          <w:p>
            <w:pPr>
              <w:spacing w:after="0"/>
              <w:rPr>
                <w:sz w:val="13"/>
                <w:szCs w:val="13"/>
                <w:color w:val="auto"/>
              </w:rPr>
            </w:pPr>
          </w:p>
        </w:tc>
        <w:tc>
          <w:tcPr>
            <w:tcW w:w="5120" w:type="dxa"/>
            <w:vAlign w:val="bottom"/>
          </w:tcPr>
          <w:p>
            <w:pPr>
              <w:ind w:left="200"/>
              <w:spacing w:after="0"/>
              <w:rPr>
                <w:sz w:val="20"/>
                <w:szCs w:val="20"/>
                <w:color w:val="auto"/>
              </w:rPr>
            </w:pPr>
            <w:r>
              <w:rPr>
                <w:rFonts w:ascii="Arial" w:cs="Arial" w:eastAsia="Arial" w:hAnsi="Arial"/>
                <w:sz w:val="11"/>
                <w:szCs w:val="11"/>
                <w:color w:val="auto"/>
              </w:rPr>
              <w:t>Net cash provided by financing activities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1"/>
                <w:szCs w:val="11"/>
                <w:color w:val="auto"/>
              </w:rPr>
              <w:t>249,004</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1070" w:type="dxa"/>
            <w:vAlign w:val="bottom"/>
            <w:gridSpan w:val="3"/>
          </w:tcPr>
          <w:p>
            <w:pPr>
              <w:jc w:val="right"/>
              <w:ind w:right="60"/>
              <w:spacing w:after="0"/>
              <w:rPr>
                <w:sz w:val="20"/>
                <w:szCs w:val="20"/>
                <w:color w:val="auto"/>
              </w:rPr>
            </w:pPr>
            <w:r>
              <w:rPr>
                <w:rFonts w:ascii="Arial" w:cs="Arial" w:eastAsia="Arial" w:hAnsi="Arial"/>
                <w:sz w:val="11"/>
                <w:szCs w:val="11"/>
                <w:color w:val="auto"/>
              </w:rPr>
              <w:t>335,806</w:t>
            </w:r>
          </w:p>
        </w:tc>
        <w:tc>
          <w:tcPr>
            <w:tcW w:w="20" w:type="dxa"/>
            <w:vAlign w:val="bottom"/>
          </w:tcPr>
          <w:p>
            <w:pPr>
              <w:spacing w:after="0"/>
              <w:rPr>
                <w:sz w:val="13"/>
                <w:szCs w:val="13"/>
                <w:color w:val="auto"/>
              </w:rPr>
            </w:pPr>
          </w:p>
        </w:tc>
      </w:tr>
      <w:tr>
        <w:trPr>
          <w:trHeight w:val="160"/>
        </w:trPr>
        <w:tc>
          <w:tcPr>
            <w:tcW w:w="5240" w:type="dxa"/>
            <w:vAlign w:val="bottom"/>
            <w:gridSpan w:val="2"/>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1070" w:type="dxa"/>
            <w:vAlign w:val="bottom"/>
            <w:gridSpan w:val="3"/>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5240" w:type="dxa"/>
            <w:vAlign w:val="bottom"/>
            <w:gridSpan w:val="2"/>
          </w:tcPr>
          <w:p>
            <w:pPr>
              <w:ind w:left="40"/>
              <w:spacing w:after="0"/>
              <w:rPr>
                <w:sz w:val="20"/>
                <w:szCs w:val="20"/>
                <w:color w:val="auto"/>
              </w:rPr>
            </w:pPr>
            <w:r>
              <w:rPr>
                <w:rFonts w:ascii="Arial" w:cs="Arial" w:eastAsia="Arial" w:hAnsi="Arial"/>
                <w:sz w:val="11"/>
                <w:szCs w:val="11"/>
                <w:color w:val="auto"/>
              </w:rPr>
              <w:t>Net increase (decrease) in cash and cash equivalents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1"/>
                <w:szCs w:val="11"/>
                <w:color w:val="auto"/>
              </w:rPr>
              <w:t>7,940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1070" w:type="dxa"/>
            <w:vAlign w:val="bottom"/>
            <w:gridSpan w:val="3"/>
          </w:tcPr>
          <w:p>
            <w:pPr>
              <w:jc w:val="right"/>
              <w:ind w:right="20"/>
              <w:spacing w:after="0"/>
              <w:rPr>
                <w:sz w:val="20"/>
                <w:szCs w:val="20"/>
                <w:color w:val="auto"/>
              </w:rPr>
            </w:pPr>
            <w:r>
              <w:rPr>
                <w:rFonts w:ascii="Arial" w:cs="Arial" w:eastAsia="Arial" w:hAnsi="Arial"/>
                <w:sz w:val="11"/>
                <w:szCs w:val="11"/>
                <w:color w:val="auto"/>
              </w:rPr>
              <w:t>(1,506)</w:t>
            </w:r>
          </w:p>
        </w:tc>
        <w:tc>
          <w:tcPr>
            <w:tcW w:w="20" w:type="dxa"/>
            <w:vAlign w:val="bottom"/>
          </w:tcPr>
          <w:p>
            <w:pPr>
              <w:spacing w:after="0"/>
              <w:rPr>
                <w:sz w:val="13"/>
                <w:szCs w:val="13"/>
                <w:color w:val="auto"/>
              </w:rPr>
            </w:pPr>
          </w:p>
        </w:tc>
      </w:tr>
      <w:tr>
        <w:trPr>
          <w:trHeight w:val="149"/>
        </w:trPr>
        <w:tc>
          <w:tcPr>
            <w:tcW w:w="5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Cash and cash equivalents at beginning of year</w:t>
            </w:r>
          </w:p>
        </w:tc>
        <w:tc>
          <w:tcPr>
            <w:tcW w:w="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46,228</w:t>
            </w:r>
          </w:p>
        </w:tc>
        <w:tc>
          <w:tcPr>
            <w:tcW w:w="8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10" w:type="dxa"/>
            <w:vAlign w:val="bottom"/>
            <w:tcBorders>
              <w:bottom w:val="single" w:sz="8" w:color="auto"/>
            </w:tcBorders>
            <w:shd w:val="clear" w:color="auto" w:fill="CCEEFF"/>
          </w:tcPr>
          <w:p>
            <w:pPr>
              <w:spacing w:after="0"/>
              <w:rPr>
                <w:sz w:val="12"/>
                <w:szCs w:val="12"/>
                <w:color w:val="auto"/>
              </w:rPr>
            </w:pPr>
          </w:p>
        </w:tc>
        <w:tc>
          <w:tcPr>
            <w:tcW w:w="3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47,734</w:t>
            </w:r>
          </w:p>
        </w:tc>
        <w:tc>
          <w:tcPr>
            <w:tcW w:w="6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r>
      <w:tr>
        <w:trPr>
          <w:trHeight w:val="201"/>
        </w:trPr>
        <w:tc>
          <w:tcPr>
            <w:tcW w:w="5240" w:type="dxa"/>
            <w:vAlign w:val="bottom"/>
            <w:gridSpan w:val="2"/>
          </w:tcPr>
          <w:p>
            <w:pPr>
              <w:ind w:left="40"/>
              <w:spacing w:after="0"/>
              <w:rPr>
                <w:sz w:val="20"/>
                <w:szCs w:val="20"/>
                <w:color w:val="auto"/>
              </w:rPr>
            </w:pPr>
            <w:r>
              <w:rPr>
                <w:rFonts w:ascii="Arial" w:cs="Arial" w:eastAsia="Arial" w:hAnsi="Arial"/>
                <w:sz w:val="11"/>
                <w:szCs w:val="11"/>
                <w:color w:val="auto"/>
              </w:rPr>
              <w:t>Cash and cash equivalents at end of year</w:t>
            </w:r>
          </w:p>
        </w:tc>
        <w:tc>
          <w:tcPr>
            <w:tcW w:w="1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1"/>
                <w:szCs w:val="11"/>
                <w:color w:val="auto"/>
              </w:rPr>
              <w:t>54,168</w:t>
            </w:r>
          </w:p>
        </w:tc>
        <w:tc>
          <w:tcPr>
            <w:tcW w:w="170" w:type="dxa"/>
            <w:vAlign w:val="bottom"/>
            <w:gridSpan w:val="4"/>
          </w:tcPr>
          <w:p>
            <w:pPr>
              <w:jc w:val="right"/>
              <w:spacing w:after="0"/>
              <w:rPr>
                <w:sz w:val="20"/>
                <w:szCs w:val="20"/>
                <w:color w:val="auto"/>
              </w:rPr>
            </w:pPr>
            <w:r>
              <w:rPr>
                <w:rFonts w:ascii="Arial" w:cs="Arial" w:eastAsia="Arial" w:hAnsi="Arial"/>
                <w:sz w:val="11"/>
                <w:szCs w:val="11"/>
                <w:color w:val="auto"/>
              </w:rPr>
              <w:t>$</w:t>
            </w:r>
          </w:p>
        </w:tc>
        <w:tc>
          <w:tcPr>
            <w:tcW w:w="1070" w:type="dxa"/>
            <w:vAlign w:val="bottom"/>
            <w:gridSpan w:val="3"/>
          </w:tcPr>
          <w:p>
            <w:pPr>
              <w:jc w:val="right"/>
              <w:ind w:right="60"/>
              <w:spacing w:after="0"/>
              <w:rPr>
                <w:sz w:val="20"/>
                <w:szCs w:val="20"/>
                <w:color w:val="auto"/>
              </w:rPr>
            </w:pPr>
            <w:r>
              <w:rPr>
                <w:rFonts w:ascii="Arial" w:cs="Arial" w:eastAsia="Arial" w:hAnsi="Arial"/>
                <w:sz w:val="11"/>
                <w:szCs w:val="11"/>
                <w:color w:val="auto"/>
              </w:rPr>
              <w:t>46,228</w:t>
            </w:r>
          </w:p>
        </w:tc>
        <w:tc>
          <w:tcPr>
            <w:tcW w:w="20" w:type="dxa"/>
            <w:vAlign w:val="bottom"/>
          </w:tcPr>
          <w:p>
            <w:pPr>
              <w:spacing w:after="0"/>
              <w:rPr>
                <w:sz w:val="17"/>
                <w:szCs w:val="17"/>
                <w:color w:val="auto"/>
              </w:rPr>
            </w:pPr>
          </w:p>
        </w:tc>
      </w:tr>
      <w:tr>
        <w:trPr>
          <w:trHeight w:val="111"/>
        </w:trPr>
        <w:tc>
          <w:tcPr>
            <w:tcW w:w="5240" w:type="dxa"/>
            <w:vAlign w:val="bottom"/>
            <w:tcBorders>
              <w:top w:val="single" w:sz="8" w:color="CCEEFF"/>
            </w:tcBorders>
            <w:gridSpan w:val="2"/>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9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10" w:type="dxa"/>
            <w:vAlign w:val="bottom"/>
            <w:tcBorders>
              <w:top w:val="single" w:sz="8" w:color="auto"/>
            </w:tcBorders>
            <w:shd w:val="clear" w:color="auto" w:fill="CCEEFF"/>
          </w:tcPr>
          <w:p>
            <w:pPr>
              <w:spacing w:after="0"/>
              <w:rPr>
                <w:sz w:val="9"/>
                <w:szCs w:val="9"/>
                <w:color w:val="auto"/>
              </w:rPr>
            </w:pPr>
          </w:p>
        </w:tc>
        <w:tc>
          <w:tcPr>
            <w:tcW w:w="30" w:type="dxa"/>
            <w:vAlign w:val="bottom"/>
            <w:tcBorders>
              <w:top w:val="single" w:sz="8" w:color="auto"/>
            </w:tcBorders>
            <w:shd w:val="clear" w:color="auto" w:fill="CCEEFF"/>
          </w:tcPr>
          <w:p>
            <w:pPr>
              <w:spacing w:after="0"/>
              <w:rPr>
                <w:sz w:val="9"/>
                <w:szCs w:val="9"/>
                <w:color w:val="auto"/>
              </w:rPr>
            </w:pPr>
          </w:p>
        </w:tc>
        <w:tc>
          <w:tcPr>
            <w:tcW w:w="9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r>
      <w:tr>
        <w:trPr>
          <w:trHeight w:val="160"/>
        </w:trPr>
        <w:tc>
          <w:tcPr>
            <w:tcW w:w="5240" w:type="dxa"/>
            <w:vAlign w:val="bottom"/>
            <w:gridSpan w:val="2"/>
          </w:tcPr>
          <w:p>
            <w:pPr>
              <w:ind w:left="40"/>
              <w:spacing w:after="0"/>
              <w:rPr>
                <w:sz w:val="20"/>
                <w:szCs w:val="20"/>
                <w:color w:val="auto"/>
              </w:rPr>
            </w:pPr>
            <w:r>
              <w:rPr>
                <w:rFonts w:ascii="Arial" w:cs="Arial" w:eastAsia="Arial" w:hAnsi="Arial"/>
                <w:sz w:val="11"/>
                <w:szCs w:val="11"/>
                <w:b w:val="1"/>
                <w:bCs w:val="1"/>
                <w:color w:val="auto"/>
              </w:rPr>
              <w:t>Supplemental disclosure of cash flow information:</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3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1"/>
        </w:trPr>
        <w:tc>
          <w:tcPr>
            <w:tcW w:w="120" w:type="dxa"/>
            <w:vAlign w:val="bottom"/>
            <w:shd w:val="clear" w:color="auto" w:fill="CCEEFF"/>
          </w:tcPr>
          <w:p>
            <w:pPr>
              <w:spacing w:after="0"/>
              <w:rPr>
                <w:sz w:val="14"/>
                <w:szCs w:val="14"/>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Interest paid</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7,306</w:t>
            </w:r>
          </w:p>
        </w:tc>
        <w:tc>
          <w:tcPr>
            <w:tcW w:w="80" w:type="dxa"/>
            <w:vAlign w:val="bottom"/>
            <w:shd w:val="clear" w:color="auto" w:fill="CCEEFF"/>
          </w:tcPr>
          <w:p>
            <w:pPr>
              <w:spacing w:after="0"/>
              <w:rPr>
                <w:sz w:val="14"/>
                <w:szCs w:val="14"/>
                <w:color w:val="auto"/>
              </w:rPr>
            </w:pPr>
          </w:p>
        </w:tc>
        <w:tc>
          <w:tcPr>
            <w:tcW w:w="60" w:type="dxa"/>
            <w:vAlign w:val="bottom"/>
            <w:gridSpan w:val="3"/>
            <w:shd w:val="clear" w:color="auto" w:fill="CCEEFF"/>
          </w:tcPr>
          <w:p>
            <w:pPr>
              <w:spacing w:after="0"/>
              <w:rPr>
                <w:sz w:val="14"/>
                <w:szCs w:val="14"/>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shd w:val="clear" w:color="auto" w:fill="CCEEFF"/>
              </w:rPr>
              <w:t>$</w:t>
            </w:r>
          </w:p>
        </w:tc>
        <w:tc>
          <w:tcPr>
            <w:tcW w:w="3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4,286</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20"/>
        </w:trPr>
        <w:tc>
          <w:tcPr>
            <w:tcW w:w="5240" w:type="dxa"/>
            <w:vAlign w:val="bottom"/>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 w:type="dxa"/>
            <w:vAlign w:val="bottom"/>
            <w:tcBorders>
              <w:top w:val="single" w:sz="8" w:color="auto"/>
              <w:bottom w:val="single" w:sz="8" w:color="auto"/>
            </w:tcBorders>
          </w:tcPr>
          <w:p>
            <w:pPr>
              <w:spacing w:after="0" w:line="20" w:lineRule="exact"/>
              <w:rPr>
                <w:sz w:val="1"/>
                <w:szCs w:val="1"/>
                <w:color w:val="auto"/>
              </w:rPr>
            </w:pPr>
          </w:p>
        </w:tc>
        <w:tc>
          <w:tcPr>
            <w:tcW w:w="3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111"/>
        </w:trPr>
        <w:tc>
          <w:tcPr>
            <w:tcW w:w="52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Pr>
          <w:p>
            <w:pPr>
              <w:spacing w:after="0"/>
              <w:rPr>
                <w:sz w:val="9"/>
                <w:szCs w:val="9"/>
                <w:color w:val="auto"/>
              </w:rPr>
            </w:pPr>
          </w:p>
        </w:tc>
        <w:tc>
          <w:tcPr>
            <w:tcW w:w="3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60"/>
        </w:trPr>
        <w:tc>
          <w:tcPr>
            <w:tcW w:w="5240" w:type="dxa"/>
            <w:vAlign w:val="bottom"/>
            <w:gridSpan w:val="2"/>
            <w:shd w:val="clear" w:color="auto" w:fill="CCEEFF"/>
          </w:tcPr>
          <w:p>
            <w:pPr>
              <w:ind w:left="40"/>
              <w:spacing w:after="0"/>
              <w:rPr>
                <w:sz w:val="20"/>
                <w:szCs w:val="20"/>
                <w:color w:val="auto"/>
              </w:rPr>
            </w:pPr>
            <w:r>
              <w:rPr>
                <w:rFonts w:ascii="Arial" w:cs="Arial" w:eastAsia="Arial" w:hAnsi="Arial"/>
                <w:sz w:val="11"/>
                <w:szCs w:val="11"/>
                <w:b w:val="1"/>
                <w:bCs w:val="1"/>
                <w:color w:val="auto"/>
              </w:rPr>
              <w:t>Supplemental schedule of non-cash investing and financing activities:</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3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211"/>
        </w:trPr>
        <w:tc>
          <w:tcPr>
            <w:tcW w:w="12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Arial" w:cs="Arial" w:eastAsia="Arial" w:hAnsi="Arial"/>
                <w:sz w:val="11"/>
                <w:szCs w:val="11"/>
                <w:color w:val="auto"/>
              </w:rPr>
              <w:t>Transfer of loans held for investment to loans held for sale</w:t>
            </w:r>
          </w:p>
        </w:tc>
        <w:tc>
          <w:tcPr>
            <w:tcW w:w="1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1"/>
                <w:szCs w:val="11"/>
                <w:color w:val="auto"/>
              </w:rPr>
              <w:t>11,930</w:t>
            </w:r>
          </w:p>
        </w:tc>
        <w:tc>
          <w:tcPr>
            <w:tcW w:w="170" w:type="dxa"/>
            <w:vAlign w:val="bottom"/>
            <w:gridSpan w:val="4"/>
          </w:tcPr>
          <w:p>
            <w:pPr>
              <w:jc w:val="right"/>
              <w:spacing w:after="0"/>
              <w:rPr>
                <w:sz w:val="20"/>
                <w:szCs w:val="20"/>
                <w:color w:val="auto"/>
              </w:rPr>
            </w:pPr>
            <w:r>
              <w:rPr>
                <w:rFonts w:ascii="Arial" w:cs="Arial" w:eastAsia="Arial" w:hAnsi="Arial"/>
                <w:sz w:val="11"/>
                <w:szCs w:val="11"/>
                <w:color w:val="auto"/>
              </w:rPr>
              <w:t>$</w:t>
            </w:r>
          </w:p>
        </w:tc>
        <w:tc>
          <w:tcPr>
            <w:tcW w:w="1070" w:type="dxa"/>
            <w:vAlign w:val="bottom"/>
            <w:gridSpan w:val="3"/>
          </w:tcPr>
          <w:p>
            <w:pPr>
              <w:jc w:val="right"/>
              <w:ind w:right="60"/>
              <w:spacing w:after="0"/>
              <w:rPr>
                <w:sz w:val="20"/>
                <w:szCs w:val="20"/>
                <w:color w:val="auto"/>
              </w:rPr>
            </w:pPr>
            <w:r>
              <w:rPr>
                <w:rFonts w:ascii="Arial" w:cs="Arial" w:eastAsia="Arial" w:hAnsi="Arial"/>
                <w:sz w:val="11"/>
                <w:szCs w:val="11"/>
                <w:color w:val="auto"/>
              </w:rPr>
              <w:t>15,354</w:t>
            </w:r>
          </w:p>
        </w:tc>
        <w:tc>
          <w:tcPr>
            <w:tcW w:w="20" w:type="dxa"/>
            <w:vAlign w:val="bottom"/>
          </w:tcPr>
          <w:p>
            <w:pPr>
              <w:spacing w:after="0"/>
              <w:rPr>
                <w:sz w:val="18"/>
                <w:szCs w:val="18"/>
                <w:color w:val="auto"/>
              </w:rPr>
            </w:pPr>
          </w:p>
        </w:tc>
      </w:tr>
      <w:tr>
        <w:trPr>
          <w:trHeight w:val="121"/>
        </w:trPr>
        <w:tc>
          <w:tcPr>
            <w:tcW w:w="120" w:type="dxa"/>
            <w:vAlign w:val="bottom"/>
            <w:tcBorders>
              <w:top w:val="single" w:sz="8" w:color="CCEEFF"/>
            </w:tcBorders>
            <w:shd w:val="clear" w:color="auto" w:fill="CCEEFF"/>
          </w:tcPr>
          <w:p>
            <w:pPr>
              <w:spacing w:after="0"/>
              <w:rPr>
                <w:sz w:val="10"/>
                <w:szCs w:val="10"/>
                <w:color w:val="auto"/>
              </w:rPr>
            </w:pPr>
          </w:p>
        </w:tc>
        <w:tc>
          <w:tcPr>
            <w:tcW w:w="5120" w:type="dxa"/>
            <w:vAlign w:val="bottom"/>
            <w:tcBorders>
              <w:top w:val="single" w:sz="8" w:color="CCEEFF"/>
            </w:tcBorders>
            <w:shd w:val="clear" w:color="auto" w:fill="CCEEFF"/>
          </w:tcPr>
          <w:p>
            <w:pPr>
              <w:ind w:left="20"/>
              <w:spacing w:after="0" w:line="122" w:lineRule="exact"/>
              <w:rPr>
                <w:sz w:val="20"/>
                <w:szCs w:val="20"/>
                <w:color w:val="auto"/>
              </w:rPr>
            </w:pPr>
            <w:r>
              <w:rPr>
                <w:rFonts w:ascii="Arial" w:cs="Arial" w:eastAsia="Arial" w:hAnsi="Arial"/>
                <w:sz w:val="11"/>
                <w:szCs w:val="11"/>
                <w:color w:val="auto"/>
              </w:rPr>
              <w:t>Transfer of investment securities from available-for-sale to held-to-maturity</w:t>
            </w:r>
          </w:p>
        </w:tc>
        <w:tc>
          <w:tcPr>
            <w:tcW w:w="20" w:type="dxa"/>
            <w:vAlign w:val="bottom"/>
            <w:tcBorders>
              <w:top w:val="single" w:sz="8" w:color="auto"/>
              <w:bottom w:val="single" w:sz="8" w:color="auto"/>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w w:val="97"/>
                <w:shd w:val="clear" w:color="auto" w:fill="CCEEFF"/>
              </w:rPr>
              <w:t>$</w:t>
            </w:r>
          </w:p>
        </w:tc>
        <w:tc>
          <w:tcPr>
            <w:tcW w:w="60" w:type="dxa"/>
            <w:vAlign w:val="bottom"/>
            <w:tcBorders>
              <w:top w:val="single" w:sz="8" w:color="auto"/>
              <w:bottom w:val="single" w:sz="8" w:color="auto"/>
            </w:tcBorders>
            <w:shd w:val="clear" w:color="auto" w:fill="CCEEFF"/>
          </w:tcPr>
          <w:p>
            <w:pPr>
              <w:spacing w:after="0"/>
              <w:rPr>
                <w:sz w:val="10"/>
                <w:szCs w:val="10"/>
                <w:color w:val="auto"/>
              </w:rPr>
            </w:pPr>
          </w:p>
        </w:tc>
        <w:tc>
          <w:tcPr>
            <w:tcW w:w="960" w:type="dxa"/>
            <w:vAlign w:val="bottom"/>
            <w:tcBorders>
              <w:top w:val="single" w:sz="8" w:color="auto"/>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63,798</w:t>
            </w: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20" w:type="dxa"/>
            <w:vAlign w:val="bottom"/>
            <w:tcBorders>
              <w:top w:val="single" w:sz="8" w:color="auto"/>
              <w:bottom w:val="single" w:sz="8" w:color="auto"/>
            </w:tcBorders>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c>
          <w:tcPr>
            <w:tcW w:w="110" w:type="dxa"/>
            <w:vAlign w:val="bottom"/>
            <w:tcBorders>
              <w:top w:val="single" w:sz="8" w:color="auto"/>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w w:val="97"/>
                <w:shd w:val="clear" w:color="auto" w:fill="CCEEFF"/>
              </w:rPr>
              <w:t>$</w:t>
            </w:r>
          </w:p>
        </w:tc>
        <w:tc>
          <w:tcPr>
            <w:tcW w:w="30" w:type="dxa"/>
            <w:vAlign w:val="bottom"/>
            <w:tcBorders>
              <w:top w:val="single" w:sz="8" w:color="auto"/>
              <w:bottom w:val="single" w:sz="8" w:color="auto"/>
            </w:tcBorders>
            <w:shd w:val="clear" w:color="auto" w:fill="CCEEFF"/>
          </w:tcPr>
          <w:p>
            <w:pPr>
              <w:spacing w:after="0"/>
              <w:rPr>
                <w:sz w:val="10"/>
                <w:szCs w:val="10"/>
                <w:color w:val="auto"/>
              </w:rPr>
            </w:pPr>
          </w:p>
        </w:tc>
        <w:tc>
          <w:tcPr>
            <w:tcW w:w="980" w:type="dxa"/>
            <w:vAlign w:val="bottom"/>
            <w:tcBorders>
              <w:top w:val="single" w:sz="8" w:color="auto"/>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68,667</w:t>
            </w:r>
          </w:p>
        </w:tc>
        <w:tc>
          <w:tcPr>
            <w:tcW w:w="60" w:type="dxa"/>
            <w:vAlign w:val="bottom"/>
            <w:tcBorders>
              <w:top w:val="single" w:sz="8" w:color="auto"/>
              <w:bottom w:val="single" w:sz="8" w:color="auto"/>
            </w:tcBorders>
            <w:shd w:val="clear" w:color="auto" w:fill="CCEEFF"/>
          </w:tcPr>
          <w:p>
            <w:pPr>
              <w:spacing w:after="0"/>
              <w:rPr>
                <w:sz w:val="10"/>
                <w:szCs w:val="10"/>
                <w:color w:val="auto"/>
              </w:rPr>
            </w:pPr>
          </w:p>
        </w:tc>
        <w:tc>
          <w:tcPr>
            <w:tcW w:w="20" w:type="dxa"/>
            <w:vAlign w:val="bottom"/>
            <w:tcBorders>
              <w:top w:val="single" w:sz="8" w:color="auto"/>
              <w:bottom w:val="single" w:sz="8" w:color="auto"/>
            </w:tcBorders>
            <w:shd w:val="clear" w:color="auto" w:fill="CCEEFF"/>
          </w:tcPr>
          <w:p>
            <w:pPr>
              <w:spacing w:after="0"/>
              <w:rPr>
                <w:sz w:val="10"/>
                <w:szCs w:val="10"/>
                <w:color w:val="auto"/>
              </w:rPr>
            </w:pPr>
          </w:p>
        </w:tc>
      </w:tr>
      <w:tr>
        <w:trPr>
          <w:trHeight w:val="20"/>
        </w:trPr>
        <w:tc>
          <w:tcPr>
            <w:tcW w:w="1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107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61"/>
        </w:trPr>
        <w:tc>
          <w:tcPr>
            <w:tcW w:w="120" w:type="dxa"/>
            <w:vAlign w:val="bottom"/>
          </w:tcPr>
          <w:p>
            <w:pPr>
              <w:spacing w:after="0"/>
              <w:rPr>
                <w:sz w:val="14"/>
                <w:szCs w:val="14"/>
                <w:color w:val="auto"/>
              </w:rPr>
            </w:pPr>
          </w:p>
        </w:tc>
        <w:tc>
          <w:tcPr>
            <w:tcW w:w="5120" w:type="dxa"/>
            <w:vAlign w:val="bottom"/>
          </w:tcPr>
          <w:p>
            <w:pPr>
              <w:ind w:left="20"/>
              <w:spacing w:after="0" w:line="122" w:lineRule="exact"/>
              <w:rPr>
                <w:sz w:val="20"/>
                <w:szCs w:val="20"/>
                <w:color w:val="auto"/>
              </w:rPr>
            </w:pPr>
            <w:r>
              <w:rPr>
                <w:rFonts w:ascii="Arial" w:cs="Arial" w:eastAsia="Arial" w:hAnsi="Arial"/>
                <w:sz w:val="11"/>
                <w:szCs w:val="11"/>
                <w:color w:val="auto"/>
              </w:rPr>
              <w:t>Transfer of premises and equipment to assets held for sale</w:t>
            </w:r>
          </w:p>
        </w:tc>
        <w:tc>
          <w:tcPr>
            <w:tcW w:w="1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104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17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w:t>
            </w:r>
          </w:p>
        </w:tc>
        <w:tc>
          <w:tcPr>
            <w:tcW w:w="1070" w:type="dxa"/>
            <w:vAlign w:val="bottom"/>
            <w:gridSpan w:val="3"/>
          </w:tcPr>
          <w:p>
            <w:pPr>
              <w:jc w:val="right"/>
              <w:ind w:right="60"/>
              <w:spacing w:after="0" w:line="122" w:lineRule="exact"/>
              <w:rPr>
                <w:sz w:val="20"/>
                <w:szCs w:val="20"/>
                <w:color w:val="auto"/>
              </w:rPr>
            </w:pPr>
            <w:r>
              <w:rPr>
                <w:rFonts w:ascii="Arial" w:cs="Arial" w:eastAsia="Arial" w:hAnsi="Arial"/>
                <w:sz w:val="11"/>
                <w:szCs w:val="11"/>
                <w:color w:val="auto"/>
              </w:rPr>
              <w:t>652</w:t>
            </w:r>
          </w:p>
        </w:tc>
        <w:tc>
          <w:tcPr>
            <w:tcW w:w="20" w:type="dxa"/>
            <w:vAlign w:val="bottom"/>
          </w:tcPr>
          <w:p>
            <w:pPr>
              <w:spacing w:after="0"/>
              <w:rPr>
                <w:sz w:val="14"/>
                <w:szCs w:val="14"/>
                <w:color w:val="auto"/>
              </w:rPr>
            </w:pPr>
          </w:p>
        </w:tc>
      </w:tr>
      <w:tr>
        <w:trPr>
          <w:trHeight w:val="121"/>
        </w:trPr>
        <w:tc>
          <w:tcPr>
            <w:tcW w:w="120" w:type="dxa"/>
            <w:vAlign w:val="bottom"/>
            <w:tcBorders>
              <w:top w:val="single" w:sz="8" w:color="CCEEFF"/>
            </w:tcBorders>
            <w:shd w:val="clear" w:color="auto" w:fill="CCEEFF"/>
          </w:tcPr>
          <w:p>
            <w:pPr>
              <w:spacing w:after="0"/>
              <w:rPr>
                <w:sz w:val="10"/>
                <w:szCs w:val="10"/>
                <w:color w:val="auto"/>
              </w:rPr>
            </w:pPr>
          </w:p>
        </w:tc>
        <w:tc>
          <w:tcPr>
            <w:tcW w:w="5120" w:type="dxa"/>
            <w:vAlign w:val="bottom"/>
            <w:tcBorders>
              <w:top w:val="single" w:sz="8" w:color="CCEEFF"/>
            </w:tcBorders>
            <w:shd w:val="clear" w:color="auto" w:fill="CCEEFF"/>
          </w:tcPr>
          <w:p>
            <w:pPr>
              <w:ind w:left="20"/>
              <w:spacing w:after="0" w:line="122" w:lineRule="exact"/>
              <w:rPr>
                <w:sz w:val="20"/>
                <w:szCs w:val="20"/>
                <w:color w:val="auto"/>
              </w:rPr>
            </w:pPr>
            <w:r>
              <w:rPr>
                <w:rFonts w:ascii="Arial" w:cs="Arial" w:eastAsia="Arial" w:hAnsi="Arial"/>
                <w:sz w:val="11"/>
                <w:szCs w:val="11"/>
                <w:color w:val="auto"/>
              </w:rPr>
              <w:t>Lease liability arising from obtaining right-of-use assets</w:t>
            </w:r>
          </w:p>
        </w:tc>
        <w:tc>
          <w:tcPr>
            <w:tcW w:w="100" w:type="dxa"/>
            <w:vAlign w:val="bottom"/>
            <w:tcBorders>
              <w:top w:val="single" w:sz="8" w:color="auto"/>
              <w:bottom w:val="single" w:sz="8" w:color="auto"/>
            </w:tcBorders>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Borders>
              <w:top w:val="single" w:sz="8" w:color="auto"/>
              <w:bottom w:val="single" w:sz="8" w:color="auto"/>
            </w:tcBorders>
            <w:shd w:val="clear" w:color="auto" w:fill="CCEEFF"/>
          </w:tcPr>
          <w:p>
            <w:pPr>
              <w:spacing w:after="0"/>
              <w:rPr>
                <w:sz w:val="10"/>
                <w:szCs w:val="10"/>
                <w:color w:val="auto"/>
              </w:rPr>
            </w:pPr>
          </w:p>
        </w:tc>
        <w:tc>
          <w:tcPr>
            <w:tcW w:w="1040" w:type="dxa"/>
            <w:vAlign w:val="bottom"/>
            <w:tcBorders>
              <w:top w:val="single" w:sz="8" w:color="auto"/>
              <w:bottom w:val="single" w:sz="8" w:color="auto"/>
            </w:tcBorders>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3,203</w:t>
            </w:r>
          </w:p>
        </w:tc>
        <w:tc>
          <w:tcPr>
            <w:tcW w:w="20" w:type="dxa"/>
            <w:vAlign w:val="bottom"/>
            <w:tcBorders>
              <w:top w:val="single" w:sz="8" w:color="auto"/>
              <w:bottom w:val="single" w:sz="8" w:color="auto"/>
            </w:tcBorders>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c>
          <w:tcPr>
            <w:tcW w:w="110" w:type="dxa"/>
            <w:vAlign w:val="bottom"/>
            <w:tcBorders>
              <w:top w:val="single" w:sz="8" w:color="auto"/>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w w:val="97"/>
              </w:rPr>
              <w:t>$</w:t>
            </w:r>
          </w:p>
        </w:tc>
        <w:tc>
          <w:tcPr>
            <w:tcW w:w="1070" w:type="dxa"/>
            <w:vAlign w:val="bottom"/>
            <w:tcBorders>
              <w:top w:val="single" w:sz="8" w:color="auto"/>
              <w:bottom w:val="single" w:sz="8" w:color="auto"/>
            </w:tcBorders>
            <w:gridSpan w:val="3"/>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328</w:t>
            </w:r>
          </w:p>
        </w:tc>
        <w:tc>
          <w:tcPr>
            <w:tcW w:w="20" w:type="dxa"/>
            <w:vAlign w:val="bottom"/>
            <w:tcBorders>
              <w:top w:val="single" w:sz="8" w:color="auto"/>
              <w:bottom w:val="single" w:sz="8" w:color="auto"/>
            </w:tcBorders>
            <w:shd w:val="clear" w:color="auto" w:fill="CCEEFF"/>
          </w:tcPr>
          <w:p>
            <w:pPr>
              <w:spacing w:after="0"/>
              <w:rPr>
                <w:sz w:val="10"/>
                <w:szCs w:val="10"/>
                <w:color w:val="auto"/>
              </w:rPr>
            </w:pPr>
          </w:p>
        </w:tc>
      </w:tr>
      <w:tr>
        <w:trPr>
          <w:trHeight w:val="20"/>
        </w:trPr>
        <w:tc>
          <w:tcPr>
            <w:tcW w:w="1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107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61"/>
        </w:trPr>
        <w:tc>
          <w:tcPr>
            <w:tcW w:w="120" w:type="dxa"/>
            <w:vAlign w:val="bottom"/>
          </w:tcPr>
          <w:p>
            <w:pPr>
              <w:spacing w:after="0"/>
              <w:rPr>
                <w:sz w:val="14"/>
                <w:szCs w:val="14"/>
                <w:color w:val="auto"/>
              </w:rPr>
            </w:pPr>
          </w:p>
        </w:tc>
        <w:tc>
          <w:tcPr>
            <w:tcW w:w="5120" w:type="dxa"/>
            <w:vAlign w:val="bottom"/>
          </w:tcPr>
          <w:p>
            <w:pPr>
              <w:ind w:left="20"/>
              <w:spacing w:after="0" w:line="122" w:lineRule="exact"/>
              <w:rPr>
                <w:sz w:val="20"/>
                <w:szCs w:val="20"/>
                <w:color w:val="auto"/>
              </w:rPr>
            </w:pPr>
            <w:r>
              <w:rPr>
                <w:rFonts w:ascii="Arial" w:cs="Arial" w:eastAsia="Arial" w:hAnsi="Arial"/>
                <w:sz w:val="11"/>
                <w:szCs w:val="11"/>
                <w:color w:val="auto"/>
              </w:rPr>
              <w:t>Exchange of Preferred C for Class A common stock</w:t>
            </w:r>
          </w:p>
        </w:tc>
        <w:tc>
          <w:tcPr>
            <w:tcW w:w="1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104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17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w:t>
            </w:r>
          </w:p>
        </w:tc>
        <w:tc>
          <w:tcPr>
            <w:tcW w:w="1070" w:type="dxa"/>
            <w:vAlign w:val="bottom"/>
            <w:gridSpan w:val="3"/>
          </w:tcPr>
          <w:p>
            <w:pPr>
              <w:jc w:val="right"/>
              <w:ind w:right="60"/>
              <w:spacing w:after="0" w:line="122" w:lineRule="exact"/>
              <w:rPr>
                <w:sz w:val="20"/>
                <w:szCs w:val="20"/>
                <w:color w:val="auto"/>
              </w:rPr>
            </w:pPr>
            <w:r>
              <w:rPr>
                <w:rFonts w:ascii="Arial" w:cs="Arial" w:eastAsia="Arial" w:hAnsi="Arial"/>
                <w:sz w:val="11"/>
                <w:szCs w:val="11"/>
                <w:color w:val="auto"/>
              </w:rPr>
              <w:t>47,473</w:t>
            </w:r>
          </w:p>
        </w:tc>
        <w:tc>
          <w:tcPr>
            <w:tcW w:w="20" w:type="dxa"/>
            <w:vAlign w:val="bottom"/>
          </w:tcPr>
          <w:p>
            <w:pPr>
              <w:spacing w:after="0"/>
              <w:rPr>
                <w:sz w:val="14"/>
                <w:szCs w:val="14"/>
                <w:color w:val="auto"/>
              </w:rPr>
            </w:pPr>
          </w:p>
        </w:tc>
      </w:tr>
      <w:tr>
        <w:trPr>
          <w:trHeight w:val="121"/>
        </w:trPr>
        <w:tc>
          <w:tcPr>
            <w:tcW w:w="120" w:type="dxa"/>
            <w:vAlign w:val="bottom"/>
            <w:tcBorders>
              <w:top w:val="single" w:sz="8" w:color="CCEEFF"/>
            </w:tcBorders>
            <w:shd w:val="clear" w:color="auto" w:fill="CCEEFF"/>
          </w:tcPr>
          <w:p>
            <w:pPr>
              <w:spacing w:after="0"/>
              <w:rPr>
                <w:sz w:val="10"/>
                <w:szCs w:val="10"/>
                <w:color w:val="auto"/>
              </w:rPr>
            </w:pPr>
          </w:p>
        </w:tc>
        <w:tc>
          <w:tcPr>
            <w:tcW w:w="5120" w:type="dxa"/>
            <w:vAlign w:val="bottom"/>
            <w:tcBorders>
              <w:top w:val="single" w:sz="8" w:color="CCEEFF"/>
            </w:tcBorders>
            <w:shd w:val="clear" w:color="auto" w:fill="CCEEFF"/>
          </w:tcPr>
          <w:p>
            <w:pPr>
              <w:ind w:left="20"/>
              <w:spacing w:after="0" w:line="122" w:lineRule="exact"/>
              <w:rPr>
                <w:sz w:val="20"/>
                <w:szCs w:val="20"/>
                <w:color w:val="auto"/>
              </w:rPr>
            </w:pPr>
            <w:r>
              <w:rPr>
                <w:rFonts w:ascii="Arial" w:cs="Arial" w:eastAsia="Arial" w:hAnsi="Arial"/>
                <w:sz w:val="11"/>
                <w:szCs w:val="11"/>
                <w:color w:val="auto"/>
              </w:rPr>
              <w:t>Exchange of Preferred D for Class A common stock</w:t>
            </w:r>
          </w:p>
        </w:tc>
        <w:tc>
          <w:tcPr>
            <w:tcW w:w="20" w:type="dxa"/>
            <w:vAlign w:val="bottom"/>
            <w:tcBorders>
              <w:top w:val="single" w:sz="8" w:color="auto"/>
              <w:bottom w:val="single" w:sz="8" w:color="auto"/>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w w:val="97"/>
                <w:shd w:val="clear" w:color="auto" w:fill="CCEEFF"/>
              </w:rPr>
              <w:t>$</w:t>
            </w:r>
          </w:p>
        </w:tc>
        <w:tc>
          <w:tcPr>
            <w:tcW w:w="60" w:type="dxa"/>
            <w:vAlign w:val="bottom"/>
            <w:tcBorders>
              <w:top w:val="single" w:sz="8" w:color="auto"/>
              <w:bottom w:val="single" w:sz="8" w:color="auto"/>
            </w:tcBorders>
            <w:shd w:val="clear" w:color="auto" w:fill="CCEEFF"/>
          </w:tcPr>
          <w:p>
            <w:pPr>
              <w:spacing w:after="0"/>
              <w:rPr>
                <w:sz w:val="10"/>
                <w:szCs w:val="10"/>
                <w:color w:val="auto"/>
              </w:rPr>
            </w:pPr>
          </w:p>
        </w:tc>
        <w:tc>
          <w:tcPr>
            <w:tcW w:w="960" w:type="dxa"/>
            <w:vAlign w:val="bottom"/>
            <w:tcBorders>
              <w:top w:val="single" w:sz="8" w:color="auto"/>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20" w:type="dxa"/>
            <w:vAlign w:val="bottom"/>
            <w:tcBorders>
              <w:top w:val="single" w:sz="8" w:color="auto"/>
              <w:bottom w:val="single" w:sz="8" w:color="auto"/>
            </w:tcBorders>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c>
          <w:tcPr>
            <w:tcW w:w="110" w:type="dxa"/>
            <w:vAlign w:val="bottom"/>
            <w:tcBorders>
              <w:top w:val="single" w:sz="8" w:color="auto"/>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w w:val="97"/>
                <w:shd w:val="clear" w:color="auto" w:fill="CCEEFF"/>
              </w:rPr>
              <w:t>$</w:t>
            </w:r>
          </w:p>
        </w:tc>
        <w:tc>
          <w:tcPr>
            <w:tcW w:w="30" w:type="dxa"/>
            <w:vAlign w:val="bottom"/>
            <w:tcBorders>
              <w:top w:val="single" w:sz="8" w:color="auto"/>
              <w:bottom w:val="single" w:sz="8" w:color="auto"/>
            </w:tcBorders>
            <w:shd w:val="clear" w:color="auto" w:fill="CCEEFF"/>
          </w:tcPr>
          <w:p>
            <w:pPr>
              <w:spacing w:after="0"/>
              <w:rPr>
                <w:sz w:val="10"/>
                <w:szCs w:val="10"/>
                <w:color w:val="auto"/>
              </w:rPr>
            </w:pPr>
          </w:p>
        </w:tc>
        <w:tc>
          <w:tcPr>
            <w:tcW w:w="980" w:type="dxa"/>
            <w:vAlign w:val="bottom"/>
            <w:tcBorders>
              <w:top w:val="single" w:sz="8" w:color="auto"/>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55,308</w:t>
            </w:r>
          </w:p>
        </w:tc>
        <w:tc>
          <w:tcPr>
            <w:tcW w:w="60" w:type="dxa"/>
            <w:vAlign w:val="bottom"/>
            <w:tcBorders>
              <w:top w:val="single" w:sz="8" w:color="auto"/>
              <w:bottom w:val="single" w:sz="8" w:color="auto"/>
            </w:tcBorders>
            <w:shd w:val="clear" w:color="auto" w:fill="CCEEFF"/>
          </w:tcPr>
          <w:p>
            <w:pPr>
              <w:spacing w:after="0"/>
              <w:rPr>
                <w:sz w:val="10"/>
                <w:szCs w:val="10"/>
                <w:color w:val="auto"/>
              </w:rPr>
            </w:pPr>
          </w:p>
        </w:tc>
        <w:tc>
          <w:tcPr>
            <w:tcW w:w="20" w:type="dxa"/>
            <w:vAlign w:val="bottom"/>
            <w:tcBorders>
              <w:top w:val="single" w:sz="8" w:color="auto"/>
              <w:bottom w:val="single" w:sz="8" w:color="auto"/>
            </w:tcBorders>
            <w:shd w:val="clear" w:color="auto" w:fill="CCEEFF"/>
          </w:tcPr>
          <w:p>
            <w:pPr>
              <w:spacing w:after="0"/>
              <w:rPr>
                <w:sz w:val="10"/>
                <w:szCs w:val="10"/>
                <w:color w:val="auto"/>
              </w:rPr>
            </w:pPr>
          </w:p>
        </w:tc>
      </w:tr>
      <w:tr>
        <w:trPr>
          <w:trHeight w:val="20"/>
        </w:trPr>
        <w:tc>
          <w:tcPr>
            <w:tcW w:w="1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107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21"/>
        </w:trPr>
        <w:tc>
          <w:tcPr>
            <w:tcW w:w="120" w:type="dxa"/>
            <w:vAlign w:val="bottom"/>
          </w:tcPr>
          <w:p>
            <w:pPr>
              <w:spacing w:after="0"/>
              <w:rPr>
                <w:sz w:val="10"/>
                <w:szCs w:val="10"/>
                <w:color w:val="auto"/>
              </w:rPr>
            </w:pPr>
          </w:p>
        </w:tc>
        <w:tc>
          <w:tcPr>
            <w:tcW w:w="5120" w:type="dxa"/>
            <w:vAlign w:val="bottom"/>
          </w:tcPr>
          <w:p>
            <w:pPr>
              <w:ind w:left="20"/>
              <w:spacing w:after="0" w:line="122" w:lineRule="exact"/>
              <w:rPr>
                <w:sz w:val="20"/>
                <w:szCs w:val="20"/>
                <w:color w:val="auto"/>
              </w:rPr>
            </w:pPr>
            <w:r>
              <w:rPr>
                <w:rFonts w:ascii="Arial" w:cs="Arial" w:eastAsia="Arial" w:hAnsi="Arial"/>
                <w:sz w:val="11"/>
                <w:szCs w:val="11"/>
                <w:color w:val="auto"/>
              </w:rPr>
              <w:t>Exchange of Class B common stock for Class A common stock</w:t>
            </w:r>
          </w:p>
        </w:tc>
        <w:tc>
          <w:tcPr>
            <w:tcW w:w="1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04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17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w:t>
            </w:r>
          </w:p>
        </w:tc>
        <w:tc>
          <w:tcPr>
            <w:tcW w:w="1070" w:type="dxa"/>
            <w:vAlign w:val="bottom"/>
            <w:gridSpan w:val="3"/>
          </w:tcPr>
          <w:p>
            <w:pPr>
              <w:jc w:val="right"/>
              <w:ind w:right="60"/>
              <w:spacing w:after="0" w:line="122" w:lineRule="exact"/>
              <w:rPr>
                <w:sz w:val="20"/>
                <w:szCs w:val="20"/>
                <w:color w:val="auto"/>
              </w:rPr>
            </w:pPr>
            <w:r>
              <w:rPr>
                <w:rFonts w:ascii="Arial" w:cs="Arial" w:eastAsia="Arial" w:hAnsi="Arial"/>
                <w:sz w:val="11"/>
                <w:szCs w:val="11"/>
                <w:color w:val="auto"/>
              </w:rPr>
              <w:t>4,897</w:t>
            </w:r>
          </w:p>
        </w:tc>
        <w:tc>
          <w:tcPr>
            <w:tcW w:w="20" w:type="dxa"/>
            <w:vAlign w:val="bottom"/>
          </w:tcPr>
          <w:p>
            <w:pPr>
              <w:spacing w:after="0"/>
              <w:rPr>
                <w:sz w:val="10"/>
                <w:szCs w:val="10"/>
                <w:color w:val="auto"/>
              </w:rPr>
            </w:pPr>
          </w:p>
        </w:tc>
      </w:tr>
      <w:tr>
        <w:trPr>
          <w:trHeight w:val="20"/>
        </w:trPr>
        <w:tc>
          <w:tcPr>
            <w:tcW w:w="1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 w:type="dxa"/>
            <w:vAlign w:val="bottom"/>
            <w:tcBorders>
              <w:top w:val="single" w:sz="8" w:color="auto"/>
              <w:bottom w:val="single" w:sz="8" w:color="auto"/>
            </w:tcBorders>
          </w:tcPr>
          <w:p>
            <w:pPr>
              <w:spacing w:after="0" w:line="20" w:lineRule="exact"/>
              <w:rPr>
                <w:sz w:val="1"/>
                <w:szCs w:val="1"/>
                <w:color w:val="auto"/>
              </w:rPr>
            </w:pPr>
          </w:p>
        </w:tc>
        <w:tc>
          <w:tcPr>
            <w:tcW w:w="3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The accompanying notes are an integral part ofthese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13</w:t>
      </w:r>
      <w:r>
        <w:rPr>
          <w:sz w:val="20"/>
          <w:szCs w:val="20"/>
          <w:color w:val="auto"/>
        </w:rPr>
        <w:tab/>
      </w:r>
      <w:r>
        <w:rPr>
          <w:rFonts w:ascii="Arial" w:cs="Arial" w:eastAsia="Arial" w:hAnsi="Arial"/>
          <w:sz w:val="14"/>
          <w:szCs w:val="14"/>
          <w:color w:val="auto"/>
        </w:rPr>
        <w:t>USCB Financial Holdings, Inc.</w:t>
        <w:tab/>
        <w:t>2022 10-K/A</w:t>
      </w:r>
    </w:p>
    <w:p>
      <w:pPr>
        <w:sectPr>
          <w:pgSz w:w="11900" w:h="16838" w:orient="portrait"/>
          <w:cols w:equalWidth="0" w:num="1">
            <w:col w:w="9019"/>
          </w:cols>
          <w:pgMar w:left="1440" w:top="491" w:right="1440" w:bottom="1440" w:gutter="0" w:footer="0" w:header="0"/>
        </w:sectPr>
      </w:pPr>
    </w:p>
    <w:bookmarkStart w:id="13" w:name="page14"/>
    <w:bookmarkEnd w:id="1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62" w:lineRule="exact"/>
        <w:rPr>
          <w:sz w:val="20"/>
          <w:szCs w:val="20"/>
          <w:color w:val="auto"/>
        </w:rPr>
      </w:pPr>
    </w:p>
    <w:p>
      <w:pPr>
        <w:ind w:left="1020" w:hanging="378"/>
        <w:spacing w:after="0"/>
        <w:tabs>
          <w:tab w:leader="none" w:pos="1020" w:val="left"/>
        </w:tabs>
        <w:numPr>
          <w:ilvl w:val="0"/>
          <w:numId w:val="4"/>
        </w:numPr>
        <w:rPr>
          <w:rFonts w:ascii="Arial" w:cs="Arial" w:eastAsia="Arial" w:hAnsi="Arial"/>
          <w:sz w:val="14"/>
          <w:szCs w:val="14"/>
          <w:b w:val="1"/>
          <w:bCs w:val="1"/>
          <w:color w:val="auto"/>
        </w:rPr>
      </w:pPr>
      <w:r>
        <w:rPr>
          <w:rFonts w:ascii="Arial" w:cs="Arial" w:eastAsia="Arial" w:hAnsi="Arial"/>
          <w:sz w:val="14"/>
          <w:szCs w:val="14"/>
          <w:b w:val="1"/>
          <w:bCs w:val="1"/>
          <w:color w:val="auto"/>
        </w:rPr>
        <w:t>SUMMARY OF SIGNIFICANT ACCOUNTING POLICIES</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Overview</w:t>
      </w:r>
    </w:p>
    <w:p>
      <w:pPr>
        <w:spacing w:after="0" w:line="188" w:lineRule="exact"/>
        <w:rPr>
          <w:sz w:val="20"/>
          <w:szCs w:val="20"/>
          <w:color w:val="auto"/>
        </w:rPr>
      </w:pPr>
    </w:p>
    <w:p>
      <w:pPr>
        <w:jc w:val="both"/>
        <w:ind w:left="640" w:right="699" w:firstLine="256"/>
        <w:spacing w:after="0" w:line="248" w:lineRule="auto"/>
        <w:rPr>
          <w:sz w:val="20"/>
          <w:szCs w:val="20"/>
          <w:color w:val="auto"/>
        </w:rPr>
      </w:pPr>
      <w:r>
        <w:rPr>
          <w:rFonts w:ascii="Arial" w:cs="Arial" w:eastAsia="Arial" w:hAnsi="Arial"/>
          <w:sz w:val="14"/>
          <w:szCs w:val="14"/>
          <w:color w:val="auto"/>
        </w:rPr>
        <w:t>USCB Financial Holdings, Inc., a Florida corporation incorporated in 2021, is a bank holding company with one wholly owned subsidiary, U.S. Century Bank (the “Bank”), together referred to as “the Company”. The Bank, established in 2002, is a Florida state-chartered, non-member financial institution providing financial services through its banking centers located in South Florida.</w:t>
      </w:r>
    </w:p>
    <w:p>
      <w:pPr>
        <w:spacing w:after="0" w:line="145" w:lineRule="exact"/>
        <w:rPr>
          <w:sz w:val="20"/>
          <w:szCs w:val="20"/>
          <w:color w:val="auto"/>
        </w:rPr>
      </w:pPr>
    </w:p>
    <w:p>
      <w:pPr>
        <w:jc w:val="both"/>
        <w:ind w:left="640" w:right="699" w:firstLine="256"/>
        <w:spacing w:after="0" w:line="248" w:lineRule="auto"/>
        <w:rPr>
          <w:sz w:val="20"/>
          <w:szCs w:val="20"/>
          <w:color w:val="auto"/>
        </w:rPr>
      </w:pPr>
      <w:r>
        <w:rPr>
          <w:rFonts w:ascii="Arial" w:cs="Arial" w:eastAsia="Arial" w:hAnsi="Arial"/>
          <w:sz w:val="14"/>
          <w:szCs w:val="14"/>
          <w:color w:val="auto"/>
        </w:rPr>
        <w:t>In December 2021, USCB Financial Holdings, Inc. acquired all issued and outstanding shares of the Class A common stock of the Bank. Each of the outstanding shares of the Bank’s common stock, par value $1.00 per share, formerly held by its shareholders were converted into and exchanged for one newly issued share of the Company’s common stock, par value $1.00 per share.</w:t>
      </w:r>
    </w:p>
    <w:p>
      <w:pPr>
        <w:spacing w:after="0" w:line="156" w:lineRule="exact"/>
        <w:rPr>
          <w:sz w:val="20"/>
          <w:szCs w:val="20"/>
          <w:color w:val="auto"/>
        </w:rPr>
      </w:pPr>
    </w:p>
    <w:p>
      <w:pPr>
        <w:jc w:val="both"/>
        <w:ind w:left="640" w:right="699" w:firstLine="256"/>
        <w:spacing w:after="0" w:line="253" w:lineRule="auto"/>
        <w:rPr>
          <w:sz w:val="20"/>
          <w:szCs w:val="20"/>
          <w:color w:val="auto"/>
        </w:rPr>
      </w:pPr>
      <w:r>
        <w:rPr>
          <w:rFonts w:ascii="Arial" w:cs="Arial" w:eastAsia="Arial" w:hAnsi="Arial"/>
          <w:sz w:val="14"/>
          <w:szCs w:val="14"/>
          <w:color w:val="auto"/>
        </w:rPr>
        <w:t>The Bank owns a subsidiary, Florida Peninsula Title LLC, that offers our clients title insurance policies for real estate transactions closed at the Bank. Licensed in the State of Florida and approved by the Department of Insurance Regulation, Florida Peninsula tittle LLC began operations in 2021.</w:t>
      </w:r>
    </w:p>
    <w:p>
      <w:pPr>
        <w:spacing w:after="0" w:line="124"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Principles of Consolidation</w:t>
      </w:r>
    </w:p>
    <w:p>
      <w:pPr>
        <w:spacing w:after="0" w:line="188" w:lineRule="exact"/>
        <w:rPr>
          <w:sz w:val="20"/>
          <w:szCs w:val="20"/>
          <w:color w:val="auto"/>
        </w:rPr>
      </w:pPr>
    </w:p>
    <w:p>
      <w:pPr>
        <w:ind w:left="620" w:right="719" w:firstLine="256"/>
        <w:spacing w:after="0" w:line="252" w:lineRule="auto"/>
        <w:rPr>
          <w:sz w:val="20"/>
          <w:szCs w:val="20"/>
          <w:color w:val="auto"/>
        </w:rPr>
      </w:pPr>
      <w:r>
        <w:rPr>
          <w:rFonts w:ascii="Arial" w:cs="Arial" w:eastAsia="Arial" w:hAnsi="Arial"/>
          <w:sz w:val="14"/>
          <w:szCs w:val="14"/>
          <w:color w:val="auto"/>
        </w:rPr>
        <w:t>Intercompany transactions and balances are eliminated in consolidation. The Consolidated financial statements have been prepared in accordance with U.S. Generally Accepted Accounting Principles ("GAAP").</w:t>
      </w:r>
    </w:p>
    <w:p>
      <w:pPr>
        <w:spacing w:after="0" w:line="135"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Initial Public Offering and Exchange and Redemption of Shares</w:t>
      </w:r>
    </w:p>
    <w:p>
      <w:pPr>
        <w:spacing w:after="0" w:line="188" w:lineRule="exact"/>
        <w:rPr>
          <w:sz w:val="20"/>
          <w:szCs w:val="20"/>
          <w:color w:val="auto"/>
        </w:rPr>
      </w:pPr>
    </w:p>
    <w:p>
      <w:pPr>
        <w:jc w:val="both"/>
        <w:ind w:left="620" w:right="699" w:firstLine="256"/>
        <w:spacing w:after="0" w:line="248" w:lineRule="auto"/>
        <w:rPr>
          <w:sz w:val="20"/>
          <w:szCs w:val="20"/>
          <w:color w:val="auto"/>
        </w:rPr>
      </w:pPr>
      <w:r>
        <w:rPr>
          <w:rFonts w:ascii="Arial" w:cs="Arial" w:eastAsia="Arial" w:hAnsi="Arial"/>
          <w:sz w:val="14"/>
          <w:szCs w:val="14"/>
          <w:color w:val="auto"/>
        </w:rPr>
        <w:t>On July 27, 2021, the Company completed an initial public offering (the “IPO”) and its Class A voting common shares began trading on the Nasdaq Stock Market under ticker symbol “USCB”. Following the IPO, the Company completed an exchange of then outstanding preferred shares for Class A common shares and thereafter redeemed the remaining outstanding preferred shares.</w:t>
      </w:r>
    </w:p>
    <w:p>
      <w:pPr>
        <w:spacing w:after="0" w:line="145" w:lineRule="exact"/>
        <w:rPr>
          <w:sz w:val="20"/>
          <w:szCs w:val="20"/>
          <w:color w:val="auto"/>
        </w:rPr>
      </w:pPr>
    </w:p>
    <w:p>
      <w:pPr>
        <w:jc w:val="both"/>
        <w:ind w:left="620" w:right="719" w:firstLine="256"/>
        <w:spacing w:after="0" w:line="248" w:lineRule="auto"/>
        <w:rPr>
          <w:sz w:val="20"/>
          <w:szCs w:val="20"/>
          <w:color w:val="auto"/>
        </w:rPr>
      </w:pPr>
      <w:r>
        <w:rPr>
          <w:rFonts w:ascii="Arial" w:cs="Arial" w:eastAsia="Arial" w:hAnsi="Arial"/>
          <w:sz w:val="14"/>
          <w:szCs w:val="14"/>
          <w:color w:val="auto"/>
        </w:rPr>
        <w:t>In December 2021, the Company reached agreements with the Class B common shareholders to receive Class A voting common stock in exchange for all outstanding Class B non-voting common stock in a 1 for 5 stock exchange. As of December 31, 2022, there were no issued and outstanding preferred shares or Class B common shares. See Note 13 “Stockholders’ Equity” for further information about the IPO and the exchange and redemption of shares.</w:t>
      </w:r>
    </w:p>
    <w:p>
      <w:pPr>
        <w:spacing w:after="0" w:line="138"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Risk and Uncertainties</w:t>
      </w:r>
    </w:p>
    <w:p>
      <w:pPr>
        <w:spacing w:after="0" w:line="174" w:lineRule="exact"/>
        <w:rPr>
          <w:sz w:val="20"/>
          <w:szCs w:val="20"/>
          <w:color w:val="auto"/>
        </w:rPr>
      </w:pPr>
    </w:p>
    <w:p>
      <w:pPr>
        <w:ind w:left="880"/>
        <w:spacing w:after="0"/>
        <w:rPr>
          <w:sz w:val="20"/>
          <w:szCs w:val="20"/>
          <w:color w:val="auto"/>
        </w:rPr>
      </w:pPr>
      <w:r>
        <w:rPr>
          <w:rFonts w:ascii="Arial" w:cs="Arial" w:eastAsia="Arial" w:hAnsi="Arial"/>
          <w:sz w:val="14"/>
          <w:szCs w:val="14"/>
          <w:i w:val="1"/>
          <w:iCs w:val="1"/>
          <w:color w:val="auto"/>
        </w:rPr>
        <w:t>Current Banking Environment</w:t>
      </w:r>
    </w:p>
    <w:p>
      <w:pPr>
        <w:spacing w:after="0" w:line="173" w:lineRule="exact"/>
        <w:rPr>
          <w:sz w:val="20"/>
          <w:szCs w:val="20"/>
          <w:color w:val="auto"/>
        </w:rPr>
      </w:pPr>
    </w:p>
    <w:p>
      <w:pPr>
        <w:jc w:val="both"/>
        <w:ind w:left="620" w:right="699" w:firstLine="256"/>
        <w:spacing w:after="0" w:line="249" w:lineRule="auto"/>
        <w:rPr>
          <w:sz w:val="20"/>
          <w:szCs w:val="20"/>
          <w:color w:val="auto"/>
        </w:rPr>
      </w:pPr>
      <w:r>
        <w:rPr>
          <w:rFonts w:ascii="Arial" w:cs="Arial" w:eastAsia="Arial" w:hAnsi="Arial"/>
          <w:sz w:val="14"/>
          <w:szCs w:val="14"/>
          <w:color w:val="auto"/>
        </w:rPr>
        <w:t>Industry events transpiring prior to the Company’s filing date, including bank failures, have led to uncertainty and concerns regarding the liquidity positions of the banking sector. These failures underscore the importance of maintaining access to diverse sources of funding. The Company’s deposit base includes a combination of consumer, commercial, and public funds deposits. The Company’s largest depositors include a mixture of government-related organizations and commercial clients without a high level of industry concentration.</w:t>
      </w:r>
    </w:p>
    <w:p>
      <w:pPr>
        <w:spacing w:after="0" w:line="146" w:lineRule="exact"/>
        <w:rPr>
          <w:sz w:val="20"/>
          <w:szCs w:val="20"/>
          <w:color w:val="auto"/>
        </w:rPr>
      </w:pPr>
    </w:p>
    <w:p>
      <w:pPr>
        <w:jc w:val="both"/>
        <w:ind w:left="620" w:right="739" w:firstLine="256"/>
        <w:spacing w:after="0" w:line="247" w:lineRule="auto"/>
        <w:rPr>
          <w:sz w:val="20"/>
          <w:szCs w:val="20"/>
          <w:color w:val="auto"/>
        </w:rPr>
      </w:pPr>
      <w:r>
        <w:rPr>
          <w:rFonts w:ascii="Arial" w:cs="Arial" w:eastAsia="Arial" w:hAnsi="Arial"/>
          <w:sz w:val="14"/>
          <w:szCs w:val="14"/>
          <w:color w:val="auto"/>
        </w:rPr>
        <w:t>In response to these events, the Treasury Department, Federal Reserve, and FDIC jointly announced the Bank Term Funding Program (BTFP) on March 12, 2023. This program aims to enhance liquidity by allowing institutions to pledge certain securities at the par value of the securities, and at a borrowing rate of ten basis points over the one-year overnight index swap rate. The BTFP is available to eligible U.S. federally insured depository institutions, with advances having a term of up to one year and no prepayment penalties. As of the date of the release of the Audited Consolidated Financial Statements, the Company has not accessed the BTFP.</w:t>
      </w:r>
    </w:p>
    <w:p>
      <w:pPr>
        <w:spacing w:after="0" w:line="158" w:lineRule="exact"/>
        <w:rPr>
          <w:sz w:val="20"/>
          <w:szCs w:val="20"/>
          <w:color w:val="auto"/>
        </w:rPr>
      </w:pPr>
    </w:p>
    <w:p>
      <w:pPr>
        <w:jc w:val="both"/>
        <w:ind w:left="620" w:right="719" w:firstLine="256"/>
        <w:spacing w:after="0" w:line="248" w:lineRule="auto"/>
        <w:rPr>
          <w:sz w:val="20"/>
          <w:szCs w:val="20"/>
          <w:color w:val="auto"/>
        </w:rPr>
      </w:pPr>
      <w:r>
        <w:rPr>
          <w:rFonts w:ascii="Arial" w:cs="Arial" w:eastAsia="Arial" w:hAnsi="Arial"/>
          <w:sz w:val="14"/>
          <w:szCs w:val="14"/>
          <w:color w:val="auto"/>
        </w:rPr>
        <w:t>Market conditions and external factors may unpredictably impact the competitive landscape for deposits in the banking industry. Additionally, the rising interest rate environment has increased competition for liquidity and the premium at which liquidity is available to meet funding needs. The Company believes its sources of liquidity are sufficient to meet its needs on the balance sheet date.</w:t>
      </w:r>
    </w:p>
    <w:p>
      <w:pPr>
        <w:spacing w:after="0" w:line="145" w:lineRule="exact"/>
        <w:rPr>
          <w:sz w:val="20"/>
          <w:szCs w:val="20"/>
          <w:color w:val="auto"/>
        </w:rPr>
      </w:pPr>
    </w:p>
    <w:p>
      <w:pPr>
        <w:jc w:val="both"/>
        <w:ind w:left="620" w:right="719" w:firstLine="256"/>
        <w:spacing w:after="0" w:line="307" w:lineRule="auto"/>
        <w:rPr>
          <w:sz w:val="20"/>
          <w:szCs w:val="20"/>
          <w:color w:val="auto"/>
        </w:rPr>
      </w:pPr>
      <w:r>
        <w:rPr>
          <w:rFonts w:ascii="Arial" w:cs="Arial" w:eastAsia="Arial" w:hAnsi="Arial"/>
          <w:sz w:val="13"/>
          <w:szCs w:val="13"/>
          <w:color w:val="auto"/>
        </w:rPr>
        <w:t>An unexpected influx of withdrawals of deposits could adversely impact the Company's ability to rely on organic deposits to primarily fund its operations, potentially requiring greater reliance on secondary sources of liquidity to meet withdrawal</w:t>
      </w:r>
    </w:p>
    <w:p>
      <w:pPr>
        <w:spacing w:after="0" w:line="151"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14</w:t>
      </w:r>
      <w:r>
        <w:rPr>
          <w:sz w:val="20"/>
          <w:szCs w:val="20"/>
          <w:color w:val="auto"/>
        </w:rPr>
        <w:tab/>
      </w:r>
      <w:r>
        <w:rPr>
          <w:rFonts w:ascii="Arial" w:cs="Arial" w:eastAsia="Arial" w:hAnsi="Arial"/>
          <w:sz w:val="14"/>
          <w:szCs w:val="14"/>
          <w:color w:val="auto"/>
        </w:rPr>
        <w:t>USCB Financial Holdings, Inc.</w:t>
        <w:tab/>
        <w:t>2022 10-K/A</w:t>
      </w:r>
    </w:p>
    <w:p>
      <w:pPr>
        <w:sectPr>
          <w:pgSz w:w="11900" w:h="16838" w:orient="portrait"/>
          <w:cols w:equalWidth="0" w:num="1">
            <w:col w:w="9019"/>
          </w:cols>
          <w:pgMar w:left="1440" w:top="490" w:right="1440" w:bottom="1440" w:gutter="0" w:footer="0" w:header="0"/>
        </w:sectPr>
      </w:pPr>
    </w:p>
    <w:bookmarkStart w:id="14" w:name="page15"/>
    <w:bookmarkEnd w:id="1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80" w:lineRule="exact"/>
        <w:rPr>
          <w:sz w:val="20"/>
          <w:szCs w:val="20"/>
          <w:color w:val="auto"/>
        </w:rPr>
      </w:pPr>
    </w:p>
    <w:p>
      <w:pPr>
        <w:jc w:val="both"/>
        <w:ind w:left="620" w:right="739"/>
        <w:spacing w:after="0" w:line="252" w:lineRule="auto"/>
        <w:rPr>
          <w:sz w:val="20"/>
          <w:szCs w:val="20"/>
          <w:color w:val="auto"/>
        </w:rPr>
      </w:pPr>
      <w:r>
        <w:rPr>
          <w:rFonts w:ascii="Arial" w:cs="Arial" w:eastAsia="Arial" w:hAnsi="Arial"/>
          <w:sz w:val="14"/>
          <w:szCs w:val="14"/>
          <w:color w:val="auto"/>
        </w:rPr>
        <w:t>demands or to fund continuing operations. These sources may include proceeds from FHLB advances, sales of investment securities and loans, federal funds lines of credit from correspondent banks, and out-of-market time deposits.</w:t>
      </w:r>
    </w:p>
    <w:p>
      <w:pPr>
        <w:spacing w:after="0" w:line="153" w:lineRule="exact"/>
        <w:rPr>
          <w:sz w:val="20"/>
          <w:szCs w:val="20"/>
          <w:color w:val="auto"/>
        </w:rPr>
      </w:pPr>
    </w:p>
    <w:p>
      <w:pPr>
        <w:jc w:val="both"/>
        <w:ind w:left="620" w:right="739" w:firstLine="256"/>
        <w:spacing w:after="0" w:line="248" w:lineRule="auto"/>
        <w:rPr>
          <w:sz w:val="20"/>
          <w:szCs w:val="20"/>
          <w:color w:val="auto"/>
        </w:rPr>
      </w:pPr>
      <w:r>
        <w:rPr>
          <w:rFonts w:ascii="Arial" w:cs="Arial" w:eastAsia="Arial" w:hAnsi="Arial"/>
          <w:sz w:val="14"/>
          <w:szCs w:val="14"/>
          <w:color w:val="auto"/>
        </w:rPr>
        <w:t>Such reliance on secondary funding sources could increase the Company's overall cost of funding and thereby reduce net income. While the Company believes its current sources of liquidity are adequate to fund operations, there is no guarantee they will suffice to meet future liquidity demands. This may necessitate slowing or discontinuing loan growth, capital expenditures, or other investments, or liquidating assets.</w:t>
      </w:r>
    </w:p>
    <w:p>
      <w:pPr>
        <w:spacing w:after="0" w:line="156" w:lineRule="exact"/>
        <w:rPr>
          <w:sz w:val="20"/>
          <w:szCs w:val="20"/>
          <w:color w:val="auto"/>
        </w:rPr>
      </w:pPr>
    </w:p>
    <w:p>
      <w:pPr>
        <w:ind w:left="600" w:right="879" w:firstLine="277"/>
        <w:spacing w:after="0" w:line="485" w:lineRule="auto"/>
        <w:rPr>
          <w:sz w:val="20"/>
          <w:szCs w:val="20"/>
          <w:color w:val="auto"/>
        </w:rPr>
      </w:pPr>
      <w:r>
        <w:rPr>
          <w:rFonts w:ascii="Arial" w:cs="Arial" w:eastAsia="Arial" w:hAnsi="Arial"/>
          <w:sz w:val="14"/>
          <w:szCs w:val="14"/>
          <w:color w:val="auto"/>
        </w:rPr>
        <w:t xml:space="preserve">For further discussion of the Company's liquidity practices, see page 59 and 62 of this Annual Report on Form 10-K. </w:t>
      </w:r>
      <w:r>
        <w:rPr>
          <w:rFonts w:ascii="Arial" w:cs="Arial" w:eastAsia="Arial" w:hAnsi="Arial"/>
          <w:sz w:val="14"/>
          <w:szCs w:val="14"/>
          <w:b w:val="1"/>
          <w:bCs w:val="1"/>
          <w:color w:val="auto"/>
        </w:rPr>
        <w:t>Use of Estimates</w:t>
      </w:r>
    </w:p>
    <w:p>
      <w:pPr>
        <w:jc w:val="both"/>
        <w:ind w:left="600" w:right="739" w:firstLine="256"/>
        <w:spacing w:after="0" w:line="252" w:lineRule="auto"/>
        <w:rPr>
          <w:sz w:val="20"/>
          <w:szCs w:val="20"/>
          <w:color w:val="auto"/>
        </w:rPr>
      </w:pPr>
      <w:r>
        <w:rPr>
          <w:rFonts w:ascii="Arial" w:cs="Arial" w:eastAsia="Arial" w:hAnsi="Arial"/>
          <w:sz w:val="14"/>
          <w:szCs w:val="14"/>
          <w:color w:val="auto"/>
        </w:rPr>
        <w:t>In preparing the consolidated financial statements, management is required to make estimates and assumptions based on available information that affect the amounts reported in the financial statements and the disclosures provided.</w:t>
      </w:r>
    </w:p>
    <w:p>
      <w:pPr>
        <w:spacing w:after="0" w:line="153" w:lineRule="exact"/>
        <w:rPr>
          <w:sz w:val="20"/>
          <w:szCs w:val="20"/>
          <w:color w:val="auto"/>
        </w:rPr>
      </w:pPr>
    </w:p>
    <w:p>
      <w:pPr>
        <w:jc w:val="both"/>
        <w:ind w:left="600" w:right="739" w:firstLine="256"/>
        <w:spacing w:after="0" w:line="245" w:lineRule="auto"/>
        <w:rPr>
          <w:sz w:val="20"/>
          <w:szCs w:val="20"/>
          <w:color w:val="auto"/>
        </w:rPr>
      </w:pPr>
      <w:r>
        <w:rPr>
          <w:rFonts w:ascii="Arial" w:cs="Arial" w:eastAsia="Arial" w:hAnsi="Arial"/>
          <w:sz w:val="14"/>
          <w:szCs w:val="14"/>
          <w:color w:val="auto"/>
        </w:rPr>
        <w:t>The coronavirus (“COVID-19”) pandemic has negatively affected many of the Company’s clients and could still impair their ability to fulfill their financial obligations. The Company’s business is dependent upon the willingness and ability of its associates and customers to conduct banking and other financial transactions. While we believe conditions have improved as of December 31, 2022, if there is a resurgence in the virus, the Company could experience further adverse effects on its business, financial condition, results of operations and cash flows. While it is not possible to know the full extent of the impact the COVID-19 pandemic will have on the Company's future operations, the Company continues to communicate with its associates and customers to understand their challenges, which allows us to respond to their needs and issues as they arise.</w:t>
      </w:r>
    </w:p>
    <w:p>
      <w:pPr>
        <w:spacing w:after="0" w:line="158" w:lineRule="exact"/>
        <w:rPr>
          <w:sz w:val="20"/>
          <w:szCs w:val="20"/>
          <w:color w:val="auto"/>
        </w:rPr>
      </w:pPr>
    </w:p>
    <w:p>
      <w:pPr>
        <w:jc w:val="both"/>
        <w:ind w:left="600" w:right="739" w:firstLine="256"/>
        <w:spacing w:after="0" w:line="245" w:lineRule="auto"/>
        <w:rPr>
          <w:sz w:val="20"/>
          <w:szCs w:val="20"/>
          <w:color w:val="auto"/>
        </w:rPr>
      </w:pPr>
      <w:r>
        <w:rPr>
          <w:rFonts w:ascii="Arial" w:cs="Arial" w:eastAsia="Arial" w:hAnsi="Arial"/>
          <w:sz w:val="14"/>
          <w:szCs w:val="14"/>
          <w:color w:val="auto"/>
        </w:rPr>
        <w:t>While there was not a material impact to the Company’s Consolidated Financial Statements as of and for the year ended December 31, 2022, future increases in the allowance for credit losses (“ACL”) may be required because of the potential economic downturn that a resurgence in the virus may cause and those ACL increases can be material. It is difficult to quantify the impact that COVID-19 will have on the estimates and assumptions used to prepare the financial statements. Actual results could differ from those estimates.</w:t>
      </w:r>
    </w:p>
    <w:p>
      <w:pPr>
        <w:spacing w:after="0" w:line="142"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Cash and Cash Equivalents</w:t>
      </w:r>
    </w:p>
    <w:p>
      <w:pPr>
        <w:spacing w:after="0" w:line="188" w:lineRule="exact"/>
        <w:rPr>
          <w:sz w:val="20"/>
          <w:szCs w:val="20"/>
          <w:color w:val="auto"/>
        </w:rPr>
      </w:pPr>
    </w:p>
    <w:p>
      <w:pPr>
        <w:jc w:val="both"/>
        <w:ind w:left="600" w:right="759" w:firstLine="256"/>
        <w:spacing w:after="0" w:line="245" w:lineRule="auto"/>
        <w:rPr>
          <w:sz w:val="20"/>
          <w:szCs w:val="20"/>
          <w:color w:val="auto"/>
        </w:rPr>
      </w:pPr>
      <w:r>
        <w:rPr>
          <w:rFonts w:ascii="Arial" w:cs="Arial" w:eastAsia="Arial" w:hAnsi="Arial"/>
          <w:sz w:val="14"/>
          <w:szCs w:val="14"/>
          <w:color w:val="auto"/>
        </w:rPr>
        <w:t>The Company considers investments with a maturity of 90 days or less from its original purchase date to be cash equivalents. For the Consolidated Statements of Cash Flows, cash and cash equivalents include cash on hand, amounts due from banks, and interest-bearing deposits in banks.</w:t>
      </w:r>
    </w:p>
    <w:p>
      <w:pPr>
        <w:spacing w:after="0" w:line="140"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Restricted Cash</w:t>
      </w:r>
    </w:p>
    <w:p>
      <w:pPr>
        <w:spacing w:after="0" w:line="188" w:lineRule="exact"/>
        <w:rPr>
          <w:sz w:val="20"/>
          <w:szCs w:val="20"/>
          <w:color w:val="auto"/>
        </w:rPr>
      </w:pPr>
    </w:p>
    <w:p>
      <w:pPr>
        <w:jc w:val="both"/>
        <w:ind w:left="600" w:right="739" w:firstLine="256"/>
        <w:spacing w:after="0" w:line="252" w:lineRule="auto"/>
        <w:rPr>
          <w:sz w:val="20"/>
          <w:szCs w:val="20"/>
          <w:color w:val="auto"/>
        </w:rPr>
      </w:pPr>
      <w:r>
        <w:rPr>
          <w:rFonts w:ascii="Arial" w:cs="Arial" w:eastAsia="Arial" w:hAnsi="Arial"/>
          <w:sz w:val="14"/>
          <w:szCs w:val="14"/>
          <w:color w:val="auto"/>
        </w:rPr>
        <w:t>The Company may be required to maintain funds at other banks to satisfy a loan participation agreement. The Company reports restricted cash within cash and cash equivalents.</w:t>
      </w:r>
    </w:p>
    <w:p>
      <w:pPr>
        <w:spacing w:after="0" w:line="135"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Interest-Bearing Deposits in Other Financial Institutions</w:t>
      </w:r>
    </w:p>
    <w:p>
      <w:pPr>
        <w:spacing w:after="0" w:line="188" w:lineRule="exact"/>
        <w:rPr>
          <w:sz w:val="20"/>
          <w:szCs w:val="20"/>
          <w:color w:val="auto"/>
        </w:rPr>
      </w:pPr>
    </w:p>
    <w:p>
      <w:pPr>
        <w:jc w:val="both"/>
        <w:ind w:left="600" w:right="739" w:firstLine="256"/>
        <w:spacing w:after="0" w:line="252" w:lineRule="auto"/>
        <w:rPr>
          <w:sz w:val="20"/>
          <w:szCs w:val="20"/>
          <w:color w:val="auto"/>
        </w:rPr>
      </w:pPr>
      <w:r>
        <w:rPr>
          <w:rFonts w:ascii="Arial" w:cs="Arial" w:eastAsia="Arial" w:hAnsi="Arial"/>
          <w:sz w:val="14"/>
          <w:szCs w:val="14"/>
          <w:color w:val="auto"/>
        </w:rPr>
        <w:t>Interest-bearing deposits in other financial institutions consist of Federal Reserve Bank, Federal Home Loan Bank and other accounts.</w:t>
      </w:r>
    </w:p>
    <w:p>
      <w:pPr>
        <w:spacing w:after="0" w:line="124"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Investment Securities</w:t>
      </w:r>
    </w:p>
    <w:p>
      <w:pPr>
        <w:spacing w:after="0" w:line="188" w:lineRule="exact"/>
        <w:rPr>
          <w:sz w:val="20"/>
          <w:szCs w:val="20"/>
          <w:color w:val="auto"/>
        </w:rPr>
      </w:pPr>
    </w:p>
    <w:p>
      <w:pPr>
        <w:jc w:val="both"/>
        <w:ind w:left="600" w:right="739" w:firstLine="256"/>
        <w:spacing w:after="0" w:line="245" w:lineRule="auto"/>
        <w:rPr>
          <w:sz w:val="20"/>
          <w:szCs w:val="20"/>
          <w:color w:val="auto"/>
        </w:rPr>
      </w:pPr>
      <w:r>
        <w:rPr>
          <w:rFonts w:ascii="Arial" w:cs="Arial" w:eastAsia="Arial" w:hAnsi="Arial"/>
          <w:sz w:val="14"/>
          <w:szCs w:val="14"/>
          <w:color w:val="auto"/>
        </w:rPr>
        <w:t>Debt securities are recorded at fair value except for those securities which the Company has the positive intent and ability to hold to maturity. Management determines the appropriate classification of its securities at the time of purchase and accounts for them on a trade date basis.</w:t>
      </w:r>
    </w:p>
    <w:p>
      <w:pPr>
        <w:spacing w:after="0" w:line="158" w:lineRule="exact"/>
        <w:rPr>
          <w:sz w:val="20"/>
          <w:szCs w:val="20"/>
          <w:color w:val="auto"/>
        </w:rPr>
      </w:pPr>
    </w:p>
    <w:p>
      <w:pPr>
        <w:jc w:val="both"/>
        <w:ind w:left="600" w:right="759" w:firstLine="256"/>
        <w:spacing w:after="0" w:line="245" w:lineRule="auto"/>
        <w:rPr>
          <w:sz w:val="20"/>
          <w:szCs w:val="20"/>
          <w:color w:val="auto"/>
        </w:rPr>
      </w:pPr>
      <w:r>
        <w:rPr>
          <w:rFonts w:ascii="Arial" w:cs="Arial" w:eastAsia="Arial" w:hAnsi="Arial"/>
          <w:sz w:val="14"/>
          <w:szCs w:val="14"/>
          <w:color w:val="auto"/>
        </w:rPr>
        <w:t>Debt securities that management has the positive intent and ability to hold to maturity are classified as "held-to-maturity" and recorded at amortized cost. Trading securities are recorded at fair value with changes in fair value included in earnings. Securities not classified as held-to-maturity or trading are classified as "available-for-sale" and recorded at fair value, with unrealized gains and losses excluded from earnings and reported in other comprehensive income (loss). Equity investments must be recorded at fair value with changes in fair value included in earnings.</w:t>
      </w:r>
    </w:p>
    <w:p>
      <w:pPr>
        <w:spacing w:after="0" w:line="200" w:lineRule="exact"/>
        <w:rPr>
          <w:sz w:val="20"/>
          <w:szCs w:val="20"/>
          <w:color w:val="auto"/>
        </w:rPr>
      </w:pPr>
    </w:p>
    <w:p>
      <w:pPr>
        <w:spacing w:after="0" w:line="365"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15</w:t>
      </w:r>
      <w:r>
        <w:rPr>
          <w:sz w:val="20"/>
          <w:szCs w:val="20"/>
          <w:color w:val="auto"/>
        </w:rPr>
        <w:tab/>
      </w:r>
      <w:r>
        <w:rPr>
          <w:rFonts w:ascii="Arial" w:cs="Arial" w:eastAsia="Arial" w:hAnsi="Arial"/>
          <w:sz w:val="14"/>
          <w:szCs w:val="14"/>
          <w:color w:val="auto"/>
        </w:rPr>
        <w:t>USCB Financial Holdings, Inc.</w:t>
        <w:tab/>
        <w:t>2022 10-K/A</w:t>
      </w:r>
    </w:p>
    <w:p>
      <w:pPr>
        <w:sectPr>
          <w:pgSz w:w="11900" w:h="16838" w:orient="portrait"/>
          <w:cols w:equalWidth="0" w:num="1">
            <w:col w:w="9019"/>
          </w:cols>
          <w:pgMar w:left="1440" w:top="490" w:right="1440" w:bottom="1440" w:gutter="0" w:footer="0" w:header="0"/>
        </w:sectPr>
      </w:pPr>
    </w:p>
    <w:bookmarkStart w:id="15" w:name="page16"/>
    <w:bookmarkEnd w:id="1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80" w:lineRule="exact"/>
        <w:rPr>
          <w:sz w:val="20"/>
          <w:szCs w:val="20"/>
          <w:color w:val="auto"/>
        </w:rPr>
      </w:pPr>
    </w:p>
    <w:p>
      <w:pPr>
        <w:jc w:val="both"/>
        <w:ind w:left="620" w:right="699" w:firstLine="256"/>
        <w:spacing w:after="0" w:line="245" w:lineRule="auto"/>
        <w:rPr>
          <w:sz w:val="20"/>
          <w:szCs w:val="20"/>
          <w:color w:val="auto"/>
        </w:rPr>
      </w:pPr>
      <w:r>
        <w:rPr>
          <w:rFonts w:ascii="Arial" w:cs="Arial" w:eastAsia="Arial" w:hAnsi="Arial"/>
          <w:sz w:val="14"/>
          <w:szCs w:val="14"/>
          <w:color w:val="auto"/>
        </w:rPr>
        <w:t>Purchase premiums and discounts are amortized or accreted over the estimated life of the related available-for-sale or held-to-maturity security as an adjustment to yield using the effective interest method. Prepayments of principal are considered in determining the estimated life of the security. Such amortization and accretion are included in interest income in the Consolidated Statements of Operations. Dividend and interest income are recognized when earned. Gains and losses on the sale of securities are recorded on trade date and are determined on a specific identification basis.</w:t>
      </w:r>
    </w:p>
    <w:p>
      <w:pPr>
        <w:spacing w:after="0" w:line="160" w:lineRule="exact"/>
        <w:rPr>
          <w:sz w:val="20"/>
          <w:szCs w:val="20"/>
          <w:color w:val="auto"/>
        </w:rPr>
      </w:pPr>
    </w:p>
    <w:p>
      <w:pPr>
        <w:jc w:val="both"/>
        <w:ind w:left="620" w:right="719" w:firstLine="256"/>
        <w:spacing w:after="0" w:line="247" w:lineRule="auto"/>
        <w:rPr>
          <w:sz w:val="20"/>
          <w:szCs w:val="20"/>
          <w:color w:val="auto"/>
        </w:rPr>
      </w:pPr>
      <w:r>
        <w:rPr>
          <w:rFonts w:ascii="Arial" w:cs="Arial" w:eastAsia="Arial" w:hAnsi="Arial"/>
          <w:sz w:val="14"/>
          <w:szCs w:val="14"/>
          <w:color w:val="auto"/>
        </w:rPr>
        <w:t>Declines in the fair value of available-for-sale debt securities below their cost that are deemed to be other-than-temporary are reflected in earnings as realized losses. In determining whether other-than-temporary impairment exists, management considers several factors in their analysis including (i) severity and duration of the impairment, (ii) credit rating of security including any downgrade, (iii) intent to sell the security, or if it is more likely than not that it will be required to sell the security before recovery, (iv) whether there have been any payment defaults and (v) underlying guarantor of the securities.</w:t>
      </w:r>
    </w:p>
    <w:p>
      <w:pPr>
        <w:spacing w:after="0" w:line="129"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Federal Home Loan Bank (FHLB) Stock</w:t>
      </w:r>
    </w:p>
    <w:p>
      <w:pPr>
        <w:spacing w:after="0" w:line="188" w:lineRule="exact"/>
        <w:rPr>
          <w:sz w:val="20"/>
          <w:szCs w:val="20"/>
          <w:color w:val="auto"/>
        </w:rPr>
      </w:pPr>
    </w:p>
    <w:p>
      <w:pPr>
        <w:jc w:val="both"/>
        <w:ind w:left="620" w:right="719" w:firstLine="256"/>
        <w:spacing w:after="0" w:line="245" w:lineRule="auto"/>
        <w:rPr>
          <w:sz w:val="20"/>
          <w:szCs w:val="20"/>
          <w:color w:val="auto"/>
        </w:rPr>
      </w:pPr>
      <w:r>
        <w:rPr>
          <w:rFonts w:ascii="Arial" w:cs="Arial" w:eastAsia="Arial" w:hAnsi="Arial"/>
          <w:sz w:val="14"/>
          <w:szCs w:val="14"/>
          <w:color w:val="auto"/>
        </w:rPr>
        <w:t>The Bank is a member of the FHLB system. Members are required to own a certain amount of stock based on the level of borrowings and other factors and may invest in additional amounts. FHLB stock is carried at cost, classified as a restricted asset, and periodically evaluated for impairment based on ultimate recovery of par value. As of December 31, 2022 and 2021, FHLB stock amounted to $ 2.9 million and $2.1 million, respectively, with no impairment deemed necessary. Both cash and stock dividends are reported as interest income.</w:t>
      </w:r>
    </w:p>
    <w:p>
      <w:pPr>
        <w:spacing w:after="0" w:line="142"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Loans Held for Investment and Allowance for Credit Losses</w:t>
      </w:r>
    </w:p>
    <w:p>
      <w:pPr>
        <w:spacing w:after="0" w:line="188" w:lineRule="exact"/>
        <w:rPr>
          <w:sz w:val="20"/>
          <w:szCs w:val="20"/>
          <w:color w:val="auto"/>
        </w:rPr>
      </w:pPr>
    </w:p>
    <w:p>
      <w:pPr>
        <w:jc w:val="both"/>
        <w:ind w:left="620" w:right="739" w:firstLine="256"/>
        <w:spacing w:after="0" w:line="248" w:lineRule="auto"/>
        <w:rPr>
          <w:sz w:val="20"/>
          <w:szCs w:val="20"/>
          <w:color w:val="auto"/>
        </w:rPr>
      </w:pPr>
      <w:r>
        <w:rPr>
          <w:rFonts w:ascii="Arial" w:cs="Arial" w:eastAsia="Arial" w:hAnsi="Arial"/>
          <w:sz w:val="14"/>
          <w:szCs w:val="14"/>
          <w:color w:val="auto"/>
        </w:rPr>
        <w:t>Loans held for investment (“loans”) are reported at their outstanding principal balance net of charge-offs, deferred loan fees, unearned income and the ACL. Interest income is generally recognized when income is earned using the interest method. Loan origination and commitment fees and the costs associated with the origination of loans are deferred and amortized, using the interest method or the straight-line method, over the life of the related loan.</w:t>
      </w:r>
    </w:p>
    <w:p>
      <w:pPr>
        <w:spacing w:after="0" w:line="145" w:lineRule="exact"/>
        <w:rPr>
          <w:sz w:val="20"/>
          <w:szCs w:val="20"/>
          <w:color w:val="auto"/>
        </w:rPr>
      </w:pPr>
    </w:p>
    <w:p>
      <w:pPr>
        <w:jc w:val="both"/>
        <w:ind w:left="620" w:right="699" w:firstLine="256"/>
        <w:spacing w:after="0" w:line="245" w:lineRule="auto"/>
        <w:rPr>
          <w:sz w:val="20"/>
          <w:szCs w:val="20"/>
          <w:color w:val="auto"/>
        </w:rPr>
      </w:pPr>
      <w:r>
        <w:rPr>
          <w:rFonts w:ascii="Arial" w:cs="Arial" w:eastAsia="Arial" w:hAnsi="Arial"/>
          <w:sz w:val="14"/>
          <w:szCs w:val="14"/>
          <w:color w:val="auto"/>
        </w:rPr>
        <w:t>If the principal or interest on a commercial loan becomes due and unpaid for 90 days or more, the loan is placed on non-accrual status as of the date it becomes 90 days past due and remains in non-accrual status until it meets the criteria for restoration to accrual status. Residential loans, on the other hand, are placed on non-accrual status when the principal or interest becomes due and unpaid for 120 days or more and remains in non-accrual status until it meets the criteria for restoration to accrual status. Restoring a loan to accrual status is possible when the borrower resumes payment of all principal and interest payments for a period of six months and the Company has a documented expectation of repayment of the remaining contractual principal and interest or the loan becomes secured and in the process of collection. All interest accrued but not collected for loans that are placed on nonaccrual status is reversed against interest income. The interest on these loans is accounted for on the cash-basis or cost-recovery method, under which cash collections are applied to unpaid principal, which may change as conditions dictate.</w:t>
      </w:r>
    </w:p>
    <w:p>
      <w:pPr>
        <w:spacing w:after="0" w:line="160" w:lineRule="exact"/>
        <w:rPr>
          <w:sz w:val="20"/>
          <w:szCs w:val="20"/>
          <w:color w:val="auto"/>
        </w:rPr>
      </w:pPr>
    </w:p>
    <w:p>
      <w:pPr>
        <w:jc w:val="both"/>
        <w:ind w:left="620" w:right="719" w:firstLine="256"/>
        <w:spacing w:after="0" w:line="253" w:lineRule="auto"/>
        <w:rPr>
          <w:sz w:val="20"/>
          <w:szCs w:val="20"/>
          <w:color w:val="auto"/>
        </w:rPr>
      </w:pPr>
      <w:r>
        <w:rPr>
          <w:rFonts w:ascii="Arial" w:cs="Arial" w:eastAsia="Arial" w:hAnsi="Arial"/>
          <w:sz w:val="14"/>
          <w:szCs w:val="14"/>
          <w:color w:val="auto"/>
        </w:rPr>
        <w:t>The Company has determined that the entire balance of a loan is contractually delinquent for all classes if the minimum payment is not received by the specified due date on the borrower's statement. Interest and fees continue to accrue on past due loans until the date the loan goes into nonaccrual status.</w:t>
      </w:r>
    </w:p>
    <w:p>
      <w:pPr>
        <w:spacing w:after="0" w:line="142" w:lineRule="exact"/>
        <w:rPr>
          <w:sz w:val="20"/>
          <w:szCs w:val="20"/>
          <w:color w:val="auto"/>
        </w:rPr>
      </w:pPr>
    </w:p>
    <w:p>
      <w:pPr>
        <w:jc w:val="both"/>
        <w:ind w:left="620" w:right="739" w:firstLine="256"/>
        <w:spacing w:after="0" w:line="253" w:lineRule="auto"/>
        <w:rPr>
          <w:sz w:val="20"/>
          <w:szCs w:val="20"/>
          <w:color w:val="auto"/>
        </w:rPr>
      </w:pPr>
      <w:r>
        <w:rPr>
          <w:rFonts w:ascii="Arial" w:cs="Arial" w:eastAsia="Arial" w:hAnsi="Arial"/>
          <w:sz w:val="14"/>
          <w:szCs w:val="14"/>
          <w:color w:val="auto"/>
        </w:rPr>
        <w:t>The Company provides for loan losses through a provision for credit losses charged to operations. When management believes that a loan or a portion of the loan balance is uncollectible, that amount is charged against the ACL. Subsequent recoveries, if any, are credited to the ACL.</w:t>
      </w:r>
    </w:p>
    <w:p>
      <w:pPr>
        <w:spacing w:after="0" w:line="152" w:lineRule="exact"/>
        <w:rPr>
          <w:sz w:val="20"/>
          <w:szCs w:val="20"/>
          <w:color w:val="auto"/>
        </w:rPr>
      </w:pPr>
    </w:p>
    <w:p>
      <w:pPr>
        <w:jc w:val="both"/>
        <w:ind w:left="620" w:right="719" w:firstLine="256"/>
        <w:spacing w:after="0" w:line="248" w:lineRule="auto"/>
        <w:rPr>
          <w:sz w:val="20"/>
          <w:szCs w:val="20"/>
          <w:color w:val="auto"/>
        </w:rPr>
      </w:pPr>
      <w:r>
        <w:rPr>
          <w:rFonts w:ascii="Arial" w:cs="Arial" w:eastAsia="Arial" w:hAnsi="Arial"/>
          <w:sz w:val="14"/>
          <w:szCs w:val="14"/>
          <w:color w:val="auto"/>
        </w:rPr>
        <w:t>The ACL reflects management's judgment of probable loan losses inherent in the portfolio at the balance sheet date. Management uses a disciplined process and methodology to establish the ACL each quarter. To determine the total ACL, the Company estimates the reserves needed for each segment of the portfolio, including loans analyzed individually and loans analyzed on a pooled basis. The ACL consists of the amount applicable to the following segments:</w:t>
      </w:r>
    </w:p>
    <w:p>
      <w:pPr>
        <w:spacing w:after="0" w:line="145" w:lineRule="exact"/>
        <w:rPr>
          <w:sz w:val="20"/>
          <w:szCs w:val="20"/>
          <w:color w:val="auto"/>
        </w:rPr>
      </w:pPr>
    </w:p>
    <w:p>
      <w:pPr>
        <w:ind w:left="1120" w:hanging="244"/>
        <w:spacing w:after="0"/>
        <w:tabs>
          <w:tab w:leader="none" w:pos="112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Residential real estate</w:t>
      </w:r>
    </w:p>
    <w:p>
      <w:pPr>
        <w:spacing w:after="0" w:line="9" w:lineRule="exact"/>
        <w:rPr>
          <w:rFonts w:ascii="Arial" w:cs="Arial" w:eastAsia="Arial" w:hAnsi="Arial"/>
          <w:sz w:val="14"/>
          <w:szCs w:val="14"/>
          <w:color w:val="auto"/>
        </w:rPr>
      </w:pPr>
    </w:p>
    <w:p>
      <w:pPr>
        <w:ind w:left="1120" w:hanging="244"/>
        <w:spacing w:after="0"/>
        <w:tabs>
          <w:tab w:leader="none" w:pos="1120" w:val="left"/>
        </w:tabs>
        <w:numPr>
          <w:ilvl w:val="0"/>
          <w:numId w:val="5"/>
        </w:numPr>
        <w:rPr>
          <w:rFonts w:ascii="Arial" w:cs="Arial" w:eastAsia="Arial" w:hAnsi="Arial"/>
          <w:sz w:val="14"/>
          <w:szCs w:val="14"/>
          <w:color w:val="auto"/>
        </w:rPr>
      </w:pPr>
      <w:r>
        <w:rPr>
          <w:rFonts w:ascii="Arial" w:cs="Arial" w:eastAsia="Arial" w:hAnsi="Arial"/>
          <w:sz w:val="14"/>
          <w:szCs w:val="14"/>
          <w:color w:val="auto"/>
        </w:rPr>
        <w:t>Commercial real estate</w:t>
      </w:r>
    </w:p>
    <w:p>
      <w:pPr>
        <w:ind w:left="1120" w:hanging="244"/>
        <w:spacing w:after="0"/>
        <w:tabs>
          <w:tab w:leader="none" w:pos="1120" w:val="left"/>
        </w:tabs>
        <w:numPr>
          <w:ilvl w:val="0"/>
          <w:numId w:val="5"/>
        </w:numPr>
        <w:rPr>
          <w:rFonts w:ascii="Arial" w:cs="Arial" w:eastAsia="Arial" w:hAnsi="Arial"/>
          <w:sz w:val="14"/>
          <w:szCs w:val="14"/>
          <w:color w:val="auto"/>
        </w:rPr>
      </w:pPr>
      <w:r>
        <w:rPr>
          <w:rFonts w:ascii="Arial" w:cs="Arial" w:eastAsia="Arial" w:hAnsi="Arial"/>
          <w:sz w:val="14"/>
          <w:szCs w:val="14"/>
          <w:color w:val="auto"/>
        </w:rPr>
        <w:t>Commercial and industrial</w:t>
      </w:r>
    </w:p>
    <w:p>
      <w:pPr>
        <w:spacing w:after="0" w:line="9" w:lineRule="exact"/>
        <w:rPr>
          <w:rFonts w:ascii="Arial" w:cs="Arial" w:eastAsia="Arial" w:hAnsi="Arial"/>
          <w:sz w:val="14"/>
          <w:szCs w:val="14"/>
          <w:color w:val="auto"/>
        </w:rPr>
      </w:pPr>
    </w:p>
    <w:p>
      <w:pPr>
        <w:ind w:left="1120" w:hanging="244"/>
        <w:spacing w:after="0"/>
        <w:tabs>
          <w:tab w:leader="none" w:pos="1120" w:val="left"/>
        </w:tabs>
        <w:numPr>
          <w:ilvl w:val="0"/>
          <w:numId w:val="5"/>
        </w:numPr>
        <w:rPr>
          <w:rFonts w:ascii="Arial" w:cs="Arial" w:eastAsia="Arial" w:hAnsi="Arial"/>
          <w:sz w:val="14"/>
          <w:szCs w:val="14"/>
          <w:color w:val="auto"/>
        </w:rPr>
      </w:pPr>
      <w:r>
        <w:rPr>
          <w:rFonts w:ascii="Arial" w:cs="Arial" w:eastAsia="Arial" w:hAnsi="Arial"/>
          <w:sz w:val="14"/>
          <w:szCs w:val="14"/>
          <w:color w:val="auto"/>
        </w:rPr>
        <w:t>Foreign banks</w:t>
      </w:r>
    </w:p>
    <w:p>
      <w:pPr>
        <w:ind w:left="1120" w:hanging="244"/>
        <w:spacing w:after="0"/>
        <w:tabs>
          <w:tab w:leader="none" w:pos="1120" w:val="left"/>
        </w:tabs>
        <w:numPr>
          <w:ilvl w:val="0"/>
          <w:numId w:val="5"/>
        </w:numPr>
        <w:rPr>
          <w:rFonts w:ascii="Arial" w:cs="Arial" w:eastAsia="Arial" w:hAnsi="Arial"/>
          <w:sz w:val="14"/>
          <w:szCs w:val="14"/>
          <w:color w:val="auto"/>
        </w:rPr>
      </w:pPr>
      <w:r>
        <w:rPr>
          <w:rFonts w:ascii="Arial" w:cs="Arial" w:eastAsia="Arial" w:hAnsi="Arial"/>
          <w:sz w:val="14"/>
          <w:szCs w:val="14"/>
          <w:color w:val="auto"/>
        </w:rPr>
        <w:t>Other loans (secured and unsecured consumer loans)</w:t>
      </w:r>
    </w:p>
    <w:p>
      <w:pPr>
        <w:spacing w:after="0" w:line="200" w:lineRule="exact"/>
        <w:rPr>
          <w:sz w:val="20"/>
          <w:szCs w:val="20"/>
          <w:color w:val="auto"/>
        </w:rPr>
      </w:pPr>
    </w:p>
    <w:p>
      <w:pPr>
        <w:spacing w:after="0" w:line="365"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16</w:t>
      </w:r>
      <w:r>
        <w:rPr>
          <w:sz w:val="20"/>
          <w:szCs w:val="20"/>
          <w:color w:val="auto"/>
        </w:rPr>
        <w:tab/>
      </w:r>
      <w:r>
        <w:rPr>
          <w:rFonts w:ascii="Arial" w:cs="Arial" w:eastAsia="Arial" w:hAnsi="Arial"/>
          <w:sz w:val="14"/>
          <w:szCs w:val="14"/>
          <w:color w:val="auto"/>
        </w:rPr>
        <w:t>USCB Financial Holdings, Inc.</w:t>
        <w:tab/>
        <w:t>2022 10-K/A</w:t>
      </w:r>
    </w:p>
    <w:p>
      <w:pPr>
        <w:sectPr>
          <w:pgSz w:w="11900" w:h="16838" w:orient="portrait"/>
          <w:cols w:equalWidth="0" w:num="1">
            <w:col w:w="9019"/>
          </w:cols>
          <w:pgMar w:left="1440" w:top="490" w:right="1440" w:bottom="1440" w:gutter="0" w:footer="0" w:header="0"/>
        </w:sectPr>
      </w:pPr>
    </w:p>
    <w:bookmarkStart w:id="16" w:name="page17"/>
    <w:bookmarkEnd w:id="1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80" w:lineRule="exact"/>
        <w:rPr>
          <w:sz w:val="20"/>
          <w:szCs w:val="20"/>
          <w:color w:val="auto"/>
        </w:rPr>
      </w:pPr>
    </w:p>
    <w:p>
      <w:pPr>
        <w:jc w:val="both"/>
        <w:ind w:left="620" w:right="719" w:firstLine="256"/>
        <w:spacing w:after="0" w:line="245" w:lineRule="auto"/>
        <w:rPr>
          <w:sz w:val="20"/>
          <w:szCs w:val="20"/>
          <w:color w:val="auto"/>
        </w:rPr>
      </w:pPr>
      <w:r>
        <w:rPr>
          <w:rFonts w:ascii="Arial" w:cs="Arial" w:eastAsia="Arial" w:hAnsi="Arial"/>
          <w:sz w:val="14"/>
          <w:szCs w:val="14"/>
          <w:color w:val="auto"/>
        </w:rPr>
        <w:t>Residential real estate loans are underwritten following the policies of the Company which includes a review of the borrower’s credit, capacity and the collateral securing the loan. The borrower’s ability to repay involves an analysis of factors including: current income, employment status, monthly payment of loan, current debt obligations, monthly debt to income ratio and credit history. The Company relies on appraisals in determining the value of the property. Risk is mitigated by this analysis and the diversity of the residential portfolio.</w:t>
      </w:r>
    </w:p>
    <w:p>
      <w:pPr>
        <w:spacing w:after="0" w:line="160" w:lineRule="exact"/>
        <w:rPr>
          <w:sz w:val="20"/>
          <w:szCs w:val="20"/>
          <w:color w:val="auto"/>
        </w:rPr>
      </w:pPr>
    </w:p>
    <w:p>
      <w:pPr>
        <w:jc w:val="both"/>
        <w:ind w:left="620" w:right="719" w:firstLine="256"/>
        <w:spacing w:after="0" w:line="246" w:lineRule="auto"/>
        <w:rPr>
          <w:sz w:val="20"/>
          <w:szCs w:val="20"/>
          <w:color w:val="auto"/>
        </w:rPr>
      </w:pPr>
      <w:r>
        <w:rPr>
          <w:rFonts w:ascii="Arial" w:cs="Arial" w:eastAsia="Arial" w:hAnsi="Arial"/>
          <w:sz w:val="14"/>
          <w:szCs w:val="14"/>
          <w:color w:val="auto"/>
        </w:rPr>
        <w:t>Commercial real estate loans are secured by liens on commercial properties, land, construction and multifamily housing. Underwriting of commercial loans will analyze the key market and business factors to arrive at a decision on the credit worthiness of the borrower. The analysis may include the capacity of the borrower, income generated by property for debt service, other sources of repayment, sensitivity analysis to fluctuations in market conditions including vacancy and rental rates in geographic location and loan to value. Land and construction analysis will include the time to develop, sell or lease the property. Appraisals are used to determine the value of the underlying collateral. Risk is mitigated as the properties securing the commercial real estate loans are diverse in type, location, and loan structure.</w:t>
      </w:r>
    </w:p>
    <w:p>
      <w:pPr>
        <w:spacing w:after="0" w:line="157" w:lineRule="exact"/>
        <w:rPr>
          <w:sz w:val="20"/>
          <w:szCs w:val="20"/>
          <w:color w:val="auto"/>
        </w:rPr>
      </w:pPr>
    </w:p>
    <w:p>
      <w:pPr>
        <w:jc w:val="both"/>
        <w:ind w:left="620" w:right="679" w:firstLine="256"/>
        <w:spacing w:after="0" w:line="248" w:lineRule="auto"/>
        <w:rPr>
          <w:sz w:val="20"/>
          <w:szCs w:val="20"/>
          <w:color w:val="auto"/>
        </w:rPr>
      </w:pPr>
      <w:r>
        <w:rPr>
          <w:rFonts w:ascii="Arial" w:cs="Arial" w:eastAsia="Arial" w:hAnsi="Arial"/>
          <w:sz w:val="14"/>
          <w:szCs w:val="14"/>
          <w:color w:val="auto"/>
        </w:rPr>
        <w:t>Commercial and industrial loans are secured by the business assets of the company and may include equipment, inventory, and receivables. The loans are underwritten based on the income capacity of the business, the ability to service the debt based on operating cash flows, the credit worthiness of the borrower, other sources of repayment and collateral. The Company mitigates the risk in the commercial portfolio through industry diversification.</w:t>
      </w:r>
    </w:p>
    <w:p>
      <w:pPr>
        <w:spacing w:after="0" w:line="145" w:lineRule="exact"/>
        <w:rPr>
          <w:sz w:val="20"/>
          <w:szCs w:val="20"/>
          <w:color w:val="auto"/>
        </w:rPr>
      </w:pPr>
    </w:p>
    <w:p>
      <w:pPr>
        <w:jc w:val="both"/>
        <w:ind w:left="620" w:right="739" w:firstLine="256"/>
        <w:spacing w:after="0" w:line="249" w:lineRule="auto"/>
        <w:rPr>
          <w:sz w:val="20"/>
          <w:szCs w:val="20"/>
          <w:color w:val="auto"/>
        </w:rPr>
      </w:pPr>
      <w:r>
        <w:rPr>
          <w:rFonts w:ascii="Arial" w:cs="Arial" w:eastAsia="Arial" w:hAnsi="Arial"/>
          <w:sz w:val="14"/>
          <w:szCs w:val="14"/>
          <w:color w:val="auto"/>
        </w:rPr>
        <w:t>Foreign Banks loans are short term loans with international correspondent banking institutions primarily domiciled in Latin America. Most of these loans are for trade capital and have a life of less than one year. The Company’s credit review includes a credit analysis, peer comparison and current country risk overview. Annual re-evaluation of the risk rating of the borrower and country and a review of authorized signer within the Company. The risk is mitigated as these loans are short term, have limited exposure, and are geographically dispersed.</w:t>
      </w:r>
    </w:p>
    <w:p>
      <w:pPr>
        <w:spacing w:after="0" w:line="146" w:lineRule="exact"/>
        <w:rPr>
          <w:sz w:val="20"/>
          <w:szCs w:val="20"/>
          <w:color w:val="auto"/>
        </w:rPr>
      </w:pPr>
    </w:p>
    <w:p>
      <w:pPr>
        <w:jc w:val="both"/>
        <w:ind w:left="620" w:right="679" w:firstLine="256"/>
        <w:spacing w:after="0" w:line="253" w:lineRule="auto"/>
        <w:rPr>
          <w:sz w:val="20"/>
          <w:szCs w:val="20"/>
          <w:color w:val="auto"/>
        </w:rPr>
      </w:pPr>
      <w:r>
        <w:rPr>
          <w:rFonts w:ascii="Arial" w:cs="Arial" w:eastAsia="Arial" w:hAnsi="Arial"/>
          <w:sz w:val="14"/>
          <w:szCs w:val="14"/>
          <w:color w:val="auto"/>
        </w:rPr>
        <w:t>Other loans are secured and unsecured consumer loans including personal loans, overdrafts and deposit account collateralized loans. Repayment of these loans are primarily from the personal income of the borrowers. Loans are underwritten based on the credit worthiness of the borrower. The risk on these loans is mitigated by small loan balances.</w:t>
      </w:r>
    </w:p>
    <w:p>
      <w:pPr>
        <w:spacing w:after="0" w:line="152" w:lineRule="exact"/>
        <w:rPr>
          <w:sz w:val="20"/>
          <w:szCs w:val="20"/>
          <w:color w:val="auto"/>
        </w:rPr>
      </w:pPr>
    </w:p>
    <w:p>
      <w:pPr>
        <w:jc w:val="both"/>
        <w:ind w:left="620" w:right="699" w:firstLine="256"/>
        <w:spacing w:after="0" w:line="245" w:lineRule="auto"/>
        <w:rPr>
          <w:sz w:val="20"/>
          <w:szCs w:val="20"/>
          <w:color w:val="auto"/>
        </w:rPr>
      </w:pPr>
      <w:r>
        <w:rPr>
          <w:rFonts w:ascii="Arial" w:cs="Arial" w:eastAsia="Arial" w:hAnsi="Arial"/>
          <w:sz w:val="14"/>
          <w:szCs w:val="14"/>
          <w:color w:val="auto"/>
        </w:rPr>
        <w:t>In determining the balance of the ACL, loans are pooled by product segments with similar risk characteristics and management evaluates the ACL on each segment and as a whole to maintain the allowance at an adequate level based on factors which, in management's judgment, deserve current recognition in estimating credit losses. Such factors include changes in prevailing economic conditions, historical loss experience, delinquency trends, changes in the composition and size of the loan portfolio and the overall credit worthiness of the borrowers.</w:t>
      </w:r>
    </w:p>
    <w:p>
      <w:pPr>
        <w:spacing w:after="0" w:line="160" w:lineRule="exact"/>
        <w:rPr>
          <w:sz w:val="20"/>
          <w:szCs w:val="20"/>
          <w:color w:val="auto"/>
        </w:rPr>
      </w:pPr>
    </w:p>
    <w:p>
      <w:pPr>
        <w:jc w:val="both"/>
        <w:ind w:left="620" w:right="739" w:firstLine="256"/>
        <w:spacing w:after="0" w:line="252" w:lineRule="auto"/>
        <w:rPr>
          <w:sz w:val="20"/>
          <w:szCs w:val="20"/>
          <w:color w:val="auto"/>
        </w:rPr>
      </w:pPr>
      <w:r>
        <w:rPr>
          <w:rFonts w:ascii="Arial" w:cs="Arial" w:eastAsia="Arial" w:hAnsi="Arial"/>
          <w:sz w:val="14"/>
          <w:szCs w:val="14"/>
          <w:color w:val="auto"/>
        </w:rPr>
        <w:t>The ACL consists of general and specific components. The following is how management determines the balance of the general component for the ACL account for each segment of the loans as described above.</w:t>
      </w:r>
    </w:p>
    <w:p>
      <w:pPr>
        <w:spacing w:after="0" w:line="153" w:lineRule="exact"/>
        <w:rPr>
          <w:sz w:val="20"/>
          <w:szCs w:val="20"/>
          <w:color w:val="auto"/>
        </w:rPr>
      </w:pPr>
    </w:p>
    <w:p>
      <w:pPr>
        <w:jc w:val="both"/>
        <w:ind w:left="620" w:right="719" w:firstLine="256"/>
        <w:spacing w:after="0" w:line="245" w:lineRule="auto"/>
        <w:rPr>
          <w:sz w:val="20"/>
          <w:szCs w:val="20"/>
          <w:color w:val="auto"/>
        </w:rPr>
      </w:pPr>
      <w:r>
        <w:rPr>
          <w:rFonts w:ascii="Arial" w:cs="Arial" w:eastAsia="Arial" w:hAnsi="Arial"/>
          <w:sz w:val="14"/>
          <w:szCs w:val="14"/>
          <w:color w:val="auto"/>
        </w:rPr>
        <w:t>The loan segments are primarily grouped by collateral type with similar risk characteristics and a historical loss rate is determined based on a ten year look back period. The Company applies time weights to consider various stages of a credit cycle.</w:t>
      </w:r>
    </w:p>
    <w:p>
      <w:pPr>
        <w:spacing w:after="0" w:line="158" w:lineRule="exact"/>
        <w:rPr>
          <w:sz w:val="20"/>
          <w:szCs w:val="20"/>
          <w:color w:val="auto"/>
        </w:rPr>
      </w:pPr>
    </w:p>
    <w:p>
      <w:pPr>
        <w:jc w:val="both"/>
        <w:ind w:left="620" w:right="739" w:firstLine="256"/>
        <w:spacing w:after="0" w:line="245" w:lineRule="auto"/>
        <w:rPr>
          <w:sz w:val="20"/>
          <w:szCs w:val="20"/>
          <w:color w:val="auto"/>
        </w:rPr>
      </w:pPr>
      <w:r>
        <w:rPr>
          <w:rFonts w:ascii="Arial" w:cs="Arial" w:eastAsia="Arial" w:hAnsi="Arial"/>
          <w:sz w:val="14"/>
          <w:szCs w:val="14"/>
          <w:color w:val="auto"/>
        </w:rPr>
        <w:t>The ACL calculation is based on the Company’s own net loss experience adjusted for certain qualitative and environmental factors. To estimate the impact of non-recurrent losses, management has developed a statistical study that tracks historical non-recurring losses at a loan level. This analysis is used to estimate an adjusted loss rate for each loan pool. Management believes the effect of these losses results in a loss rate that is more consistent with the behavior of the loan portfolio in the normal course of business.</w:t>
      </w:r>
    </w:p>
    <w:p>
      <w:pPr>
        <w:spacing w:after="0" w:line="160" w:lineRule="exact"/>
        <w:rPr>
          <w:sz w:val="20"/>
          <w:szCs w:val="20"/>
          <w:color w:val="auto"/>
        </w:rPr>
      </w:pPr>
    </w:p>
    <w:p>
      <w:pPr>
        <w:ind w:left="620" w:right="699" w:firstLine="256"/>
        <w:spacing w:after="0" w:line="252" w:lineRule="auto"/>
        <w:rPr>
          <w:sz w:val="20"/>
          <w:szCs w:val="20"/>
          <w:color w:val="auto"/>
        </w:rPr>
      </w:pPr>
      <w:r>
        <w:rPr>
          <w:rFonts w:ascii="Arial" w:cs="Arial" w:eastAsia="Arial" w:hAnsi="Arial"/>
          <w:sz w:val="14"/>
          <w:szCs w:val="14"/>
          <w:color w:val="auto"/>
        </w:rPr>
        <w:t>Qualitative factors are applied to historical loss rates based on management's experience and assessment. The following are the factors used to adjust the historical loss rates:</w:t>
      </w:r>
    </w:p>
    <w:p>
      <w:pPr>
        <w:spacing w:after="0" w:line="152" w:lineRule="exact"/>
        <w:rPr>
          <w:sz w:val="20"/>
          <w:szCs w:val="20"/>
          <w:color w:val="auto"/>
        </w:rPr>
      </w:pPr>
    </w:p>
    <w:p>
      <w:pPr>
        <w:ind w:left="1120" w:hanging="244"/>
        <w:spacing w:after="0"/>
        <w:tabs>
          <w:tab w:leader="none" w:pos="1120" w:val="left"/>
        </w:tabs>
        <w:numPr>
          <w:ilvl w:val="0"/>
          <w:numId w:val="6"/>
        </w:numPr>
        <w:rPr>
          <w:rFonts w:ascii="Arial" w:cs="Arial" w:eastAsia="Arial" w:hAnsi="Arial"/>
          <w:sz w:val="14"/>
          <w:szCs w:val="14"/>
          <w:color w:val="auto"/>
        </w:rPr>
      </w:pPr>
      <w:r>
        <w:rPr>
          <w:rFonts w:ascii="Arial" w:cs="Arial" w:eastAsia="Arial" w:hAnsi="Arial"/>
          <w:sz w:val="14"/>
          <w:szCs w:val="14"/>
          <w:color w:val="auto"/>
        </w:rPr>
        <w:t>Loan quality review</w:t>
      </w:r>
    </w:p>
    <w:p>
      <w:pPr>
        <w:ind w:left="1120" w:hanging="244"/>
        <w:spacing w:after="0"/>
        <w:tabs>
          <w:tab w:leader="none" w:pos="1120" w:val="left"/>
        </w:tabs>
        <w:numPr>
          <w:ilvl w:val="0"/>
          <w:numId w:val="6"/>
        </w:numPr>
        <w:rPr>
          <w:rFonts w:ascii="Arial" w:cs="Arial" w:eastAsia="Arial" w:hAnsi="Arial"/>
          <w:sz w:val="14"/>
          <w:szCs w:val="14"/>
          <w:color w:val="auto"/>
        </w:rPr>
      </w:pPr>
      <w:r>
        <w:rPr>
          <w:rFonts w:ascii="Arial" w:cs="Arial" w:eastAsia="Arial" w:hAnsi="Arial"/>
          <w:sz w:val="14"/>
          <w:szCs w:val="14"/>
          <w:color w:val="auto"/>
        </w:rPr>
        <w:t>Lending and credit management /staff expertise and practices</w:t>
      </w:r>
    </w:p>
    <w:p>
      <w:pPr>
        <w:spacing w:after="0" w:line="9" w:lineRule="exact"/>
        <w:rPr>
          <w:rFonts w:ascii="Arial" w:cs="Arial" w:eastAsia="Arial" w:hAnsi="Arial"/>
          <w:sz w:val="14"/>
          <w:szCs w:val="14"/>
          <w:color w:val="auto"/>
        </w:rPr>
      </w:pPr>
    </w:p>
    <w:p>
      <w:pPr>
        <w:ind w:left="1120" w:hanging="244"/>
        <w:spacing w:after="0"/>
        <w:tabs>
          <w:tab w:leader="none" w:pos="1120" w:val="left"/>
        </w:tabs>
        <w:numPr>
          <w:ilvl w:val="0"/>
          <w:numId w:val="6"/>
        </w:numPr>
        <w:rPr>
          <w:rFonts w:ascii="Arial" w:cs="Arial" w:eastAsia="Arial" w:hAnsi="Arial"/>
          <w:sz w:val="14"/>
          <w:szCs w:val="14"/>
          <w:color w:val="auto"/>
        </w:rPr>
      </w:pPr>
      <w:r>
        <w:rPr>
          <w:rFonts w:ascii="Arial" w:cs="Arial" w:eastAsia="Arial" w:hAnsi="Arial"/>
          <w:sz w:val="14"/>
          <w:szCs w:val="14"/>
          <w:color w:val="auto"/>
        </w:rPr>
        <w:t>Economic and business conditions</w:t>
      </w:r>
    </w:p>
    <w:p>
      <w:pPr>
        <w:ind w:left="1120" w:hanging="244"/>
        <w:spacing w:after="0"/>
        <w:tabs>
          <w:tab w:leader="none" w:pos="1120" w:val="left"/>
        </w:tabs>
        <w:numPr>
          <w:ilvl w:val="0"/>
          <w:numId w:val="6"/>
        </w:numPr>
        <w:rPr>
          <w:rFonts w:ascii="Arial" w:cs="Arial" w:eastAsia="Arial" w:hAnsi="Arial"/>
          <w:sz w:val="14"/>
          <w:szCs w:val="14"/>
          <w:color w:val="auto"/>
        </w:rPr>
      </w:pPr>
      <w:r>
        <w:rPr>
          <w:rFonts w:ascii="Arial" w:cs="Arial" w:eastAsia="Arial" w:hAnsi="Arial"/>
          <w:sz w:val="14"/>
          <w:szCs w:val="14"/>
          <w:color w:val="auto"/>
        </w:rPr>
        <w:t>Lending and credit underwriting policies and procedures</w:t>
      </w:r>
    </w:p>
    <w:p>
      <w:pPr>
        <w:ind w:left="1120" w:hanging="244"/>
        <w:spacing w:after="0"/>
        <w:tabs>
          <w:tab w:leader="none" w:pos="1120" w:val="left"/>
        </w:tabs>
        <w:numPr>
          <w:ilvl w:val="0"/>
          <w:numId w:val="6"/>
        </w:numPr>
        <w:rPr>
          <w:rFonts w:ascii="Arial" w:cs="Arial" w:eastAsia="Arial" w:hAnsi="Arial"/>
          <w:sz w:val="14"/>
          <w:szCs w:val="14"/>
          <w:color w:val="auto"/>
        </w:rPr>
      </w:pPr>
      <w:r>
        <w:rPr>
          <w:rFonts w:ascii="Arial" w:cs="Arial" w:eastAsia="Arial" w:hAnsi="Arial"/>
          <w:sz w:val="14"/>
          <w:szCs w:val="14"/>
          <w:color w:val="auto"/>
        </w:rPr>
        <w:t>Problem loan levels and trends</w:t>
      </w:r>
    </w:p>
    <w:p>
      <w:pPr>
        <w:spacing w:after="0" w:line="9" w:lineRule="exact"/>
        <w:rPr>
          <w:rFonts w:ascii="Arial" w:cs="Arial" w:eastAsia="Arial" w:hAnsi="Arial"/>
          <w:sz w:val="14"/>
          <w:szCs w:val="14"/>
          <w:color w:val="auto"/>
        </w:rPr>
      </w:pPr>
    </w:p>
    <w:p>
      <w:pPr>
        <w:ind w:left="1120" w:hanging="244"/>
        <w:spacing w:after="0"/>
        <w:tabs>
          <w:tab w:leader="none" w:pos="1120" w:val="left"/>
        </w:tabs>
        <w:numPr>
          <w:ilvl w:val="0"/>
          <w:numId w:val="6"/>
        </w:numPr>
        <w:rPr>
          <w:rFonts w:ascii="Arial" w:cs="Arial" w:eastAsia="Arial" w:hAnsi="Arial"/>
          <w:sz w:val="14"/>
          <w:szCs w:val="14"/>
          <w:color w:val="auto"/>
        </w:rPr>
      </w:pPr>
      <w:r>
        <w:rPr>
          <w:rFonts w:ascii="Arial" w:cs="Arial" w:eastAsia="Arial" w:hAnsi="Arial"/>
          <w:sz w:val="14"/>
          <w:szCs w:val="14"/>
          <w:color w:val="auto"/>
        </w:rPr>
        <w:t>Collateral concentrations</w:t>
      </w:r>
    </w:p>
    <w:p>
      <w:pPr>
        <w:ind w:left="1120" w:hanging="244"/>
        <w:spacing w:after="0"/>
        <w:tabs>
          <w:tab w:leader="none" w:pos="1120" w:val="left"/>
        </w:tabs>
        <w:numPr>
          <w:ilvl w:val="0"/>
          <w:numId w:val="6"/>
        </w:numPr>
        <w:rPr>
          <w:rFonts w:ascii="Arial" w:cs="Arial" w:eastAsia="Arial" w:hAnsi="Arial"/>
          <w:sz w:val="14"/>
          <w:szCs w:val="14"/>
          <w:color w:val="auto"/>
        </w:rPr>
      </w:pPr>
      <w:r>
        <w:rPr>
          <w:rFonts w:ascii="Arial" w:cs="Arial" w:eastAsia="Arial" w:hAnsi="Arial"/>
          <w:sz w:val="14"/>
          <w:szCs w:val="14"/>
          <w:color w:val="auto"/>
        </w:rPr>
        <w:t>Large obligor concentration</w:t>
      </w:r>
    </w:p>
    <w:p>
      <w:pPr>
        <w:ind w:left="1120" w:hanging="244"/>
        <w:spacing w:after="0"/>
        <w:tabs>
          <w:tab w:leader="none" w:pos="1120" w:val="left"/>
        </w:tabs>
        <w:numPr>
          <w:ilvl w:val="0"/>
          <w:numId w:val="6"/>
        </w:numPr>
        <w:rPr>
          <w:rFonts w:ascii="Arial" w:cs="Arial" w:eastAsia="Arial" w:hAnsi="Arial"/>
          <w:sz w:val="14"/>
          <w:szCs w:val="14"/>
          <w:color w:val="auto"/>
        </w:rPr>
      </w:pPr>
      <w:r>
        <w:rPr>
          <w:rFonts w:ascii="Arial" w:cs="Arial" w:eastAsia="Arial" w:hAnsi="Arial"/>
          <w:sz w:val="14"/>
          <w:szCs w:val="14"/>
          <w:color w:val="auto"/>
        </w:rPr>
        <w:t>New loan volumes</w:t>
      </w:r>
    </w:p>
    <w:p>
      <w:pPr>
        <w:spacing w:after="0" w:line="244"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17</w:t>
      </w:r>
      <w:r>
        <w:rPr>
          <w:sz w:val="20"/>
          <w:szCs w:val="20"/>
          <w:color w:val="auto"/>
        </w:rPr>
        <w:tab/>
      </w:r>
      <w:r>
        <w:rPr>
          <w:rFonts w:ascii="Arial" w:cs="Arial" w:eastAsia="Arial" w:hAnsi="Arial"/>
          <w:sz w:val="14"/>
          <w:szCs w:val="14"/>
          <w:color w:val="auto"/>
        </w:rPr>
        <w:t>USCB Financial Holdings, Inc.</w:t>
        <w:tab/>
        <w:t>2022 10-K/A</w:t>
      </w:r>
    </w:p>
    <w:p>
      <w:pPr>
        <w:sectPr>
          <w:pgSz w:w="11900" w:h="16838" w:orient="portrait"/>
          <w:cols w:equalWidth="0" w:num="1">
            <w:col w:w="9019"/>
          </w:cols>
          <w:pgMar w:left="1440" w:top="490" w:right="1440" w:bottom="1440" w:gutter="0" w:footer="0" w:header="0"/>
        </w:sectPr>
      </w:pPr>
    </w:p>
    <w:bookmarkStart w:id="17" w:name="page18"/>
    <w:bookmarkEnd w:id="1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80" w:lineRule="exact"/>
        <w:rPr>
          <w:sz w:val="20"/>
          <w:szCs w:val="20"/>
          <w:color w:val="auto"/>
        </w:rPr>
      </w:pPr>
    </w:p>
    <w:p>
      <w:pPr>
        <w:ind w:left="1120" w:hanging="244"/>
        <w:spacing w:after="0"/>
        <w:tabs>
          <w:tab w:leader="none" w:pos="1120" w:val="left"/>
        </w:tabs>
        <w:numPr>
          <w:ilvl w:val="0"/>
          <w:numId w:val="7"/>
        </w:numPr>
        <w:rPr>
          <w:rFonts w:ascii="Arial" w:cs="Arial" w:eastAsia="Arial" w:hAnsi="Arial"/>
          <w:sz w:val="14"/>
          <w:szCs w:val="14"/>
          <w:color w:val="auto"/>
        </w:rPr>
      </w:pPr>
      <w:r>
        <w:rPr>
          <w:rFonts w:ascii="Arial" w:cs="Arial" w:eastAsia="Arial" w:hAnsi="Arial"/>
          <w:sz w:val="14"/>
          <w:szCs w:val="14"/>
          <w:color w:val="auto"/>
        </w:rPr>
        <w:t>Combined loan to value (“CLTV”) qualitative adjustment for substandard accrual loan segment</w:t>
      </w:r>
    </w:p>
    <w:p>
      <w:pPr>
        <w:spacing w:after="0" w:line="170" w:lineRule="exact"/>
        <w:rPr>
          <w:sz w:val="20"/>
          <w:szCs w:val="20"/>
          <w:color w:val="auto"/>
        </w:rPr>
      </w:pPr>
    </w:p>
    <w:p>
      <w:pPr>
        <w:jc w:val="both"/>
        <w:ind w:left="620" w:right="739" w:firstLine="256"/>
        <w:spacing w:after="0" w:line="252" w:lineRule="auto"/>
        <w:rPr>
          <w:sz w:val="20"/>
          <w:szCs w:val="20"/>
          <w:color w:val="auto"/>
        </w:rPr>
      </w:pPr>
      <w:r>
        <w:rPr>
          <w:rFonts w:ascii="Arial" w:cs="Arial" w:eastAsia="Arial" w:hAnsi="Arial"/>
          <w:sz w:val="14"/>
          <w:szCs w:val="14"/>
          <w:color w:val="auto"/>
        </w:rPr>
        <w:t>Changes in these factors could result in material adjustments to the ACL. The losses the Company may ultimately incur could differ materially from the amounts estimated in arriving at the ACL.</w:t>
      </w:r>
    </w:p>
    <w:p>
      <w:pPr>
        <w:spacing w:after="0" w:line="153" w:lineRule="exact"/>
        <w:rPr>
          <w:sz w:val="20"/>
          <w:szCs w:val="20"/>
          <w:color w:val="auto"/>
        </w:rPr>
      </w:pPr>
    </w:p>
    <w:p>
      <w:pPr>
        <w:jc w:val="both"/>
        <w:ind w:left="620" w:right="719" w:firstLine="256"/>
        <w:spacing w:after="0" w:line="244" w:lineRule="auto"/>
        <w:rPr>
          <w:sz w:val="20"/>
          <w:szCs w:val="20"/>
          <w:color w:val="auto"/>
        </w:rPr>
      </w:pPr>
      <w:r>
        <w:rPr>
          <w:rFonts w:ascii="Arial" w:cs="Arial" w:eastAsia="Arial" w:hAnsi="Arial"/>
          <w:sz w:val="14"/>
          <w:szCs w:val="14"/>
          <w:color w:val="auto"/>
        </w:rPr>
        <w:t>In addition to the ACL, the Company also estimates probable losses related to financial instruments with off-balance sheet risk, such as letters of credit and unfunded loan commitments, and records these estimates in other liabilities on the Consolidated Balance Sheets with the offset recorded in non-interest expense on the Consolidated Statements of Operations. Financial instruments with off-balance sheet risk are subject to review on an aggregate basis. Past loss experience and any other pertinent information is reviewed, resulting in the estimation of the reserve for financial instruments with off-balance sheet risk.</w:t>
      </w:r>
    </w:p>
    <w:p>
      <w:pPr>
        <w:spacing w:after="0" w:line="160" w:lineRule="exact"/>
        <w:rPr>
          <w:sz w:val="20"/>
          <w:szCs w:val="20"/>
          <w:color w:val="auto"/>
        </w:rPr>
      </w:pPr>
    </w:p>
    <w:p>
      <w:pPr>
        <w:jc w:val="both"/>
        <w:ind w:left="620" w:right="719" w:firstLine="256"/>
        <w:spacing w:after="0" w:line="245" w:lineRule="auto"/>
        <w:rPr>
          <w:sz w:val="20"/>
          <w:szCs w:val="20"/>
          <w:color w:val="auto"/>
        </w:rPr>
      </w:pPr>
      <w:r>
        <w:rPr>
          <w:rFonts w:ascii="Arial" w:cs="Arial" w:eastAsia="Arial" w:hAnsi="Arial"/>
          <w:sz w:val="14"/>
          <w:szCs w:val="14"/>
          <w:color w:val="auto"/>
        </w:rPr>
        <w:t>A loan is considered impaired when, based on current information and events, it is probable that the Company will be unable to collect the scheduled payments of principal or interest when due according to the contractual terms of the loan agreement or when the loan is designated as a Troubled Debt Restructuring (“TDR”). Factors considered by management in determining impairment include payment status, collateral value, and the probability of collecting scheduled principal and interest payments when due. Loans that experience insignificant payment delays and payment shortfalls generally are not classified as impaired. Impairment is measured on a loan by loan basis by either the present value of expected future cash flows discounted at the loan's effective interest rate, the loan's obtainable fair value, or the fair value of the collateral, if the loan is collateral dependent. If management determines that the value of the impaired loan is less than the recorded investment in the loan (outstanding principal balance plus accrued interest, net of previous charge-offs, and net of deferred loan fees or cost), impairment is recognized through an allowance estimate or a charge-off to the ACL.</w:t>
      </w:r>
    </w:p>
    <w:p>
      <w:pPr>
        <w:spacing w:after="0" w:line="160" w:lineRule="exact"/>
        <w:rPr>
          <w:sz w:val="20"/>
          <w:szCs w:val="20"/>
          <w:color w:val="auto"/>
        </w:rPr>
      </w:pPr>
    </w:p>
    <w:p>
      <w:pPr>
        <w:ind w:left="620" w:right="779" w:firstLine="256"/>
        <w:spacing w:after="0" w:line="252" w:lineRule="auto"/>
        <w:rPr>
          <w:sz w:val="20"/>
          <w:szCs w:val="20"/>
          <w:color w:val="auto"/>
        </w:rPr>
      </w:pPr>
      <w:r>
        <w:rPr>
          <w:rFonts w:ascii="Arial" w:cs="Arial" w:eastAsia="Arial" w:hAnsi="Arial"/>
          <w:sz w:val="14"/>
          <w:szCs w:val="14"/>
          <w:color w:val="auto"/>
        </w:rPr>
        <w:t>In situations where, due to a borrower's financial difficulties, management grants a concession for other than an insignificant period of time to the borrower that would not otherwise be granted, the loan is classified as a TDR.</w:t>
      </w:r>
    </w:p>
    <w:p>
      <w:pPr>
        <w:spacing w:after="0" w:line="153" w:lineRule="exact"/>
        <w:rPr>
          <w:sz w:val="20"/>
          <w:szCs w:val="20"/>
          <w:color w:val="auto"/>
        </w:rPr>
      </w:pPr>
    </w:p>
    <w:p>
      <w:pPr>
        <w:jc w:val="both"/>
        <w:ind w:left="620" w:right="719" w:firstLine="256"/>
        <w:spacing w:after="0" w:line="265" w:lineRule="auto"/>
        <w:rPr>
          <w:sz w:val="20"/>
          <w:szCs w:val="20"/>
          <w:color w:val="auto"/>
        </w:rPr>
      </w:pPr>
      <w:r>
        <w:rPr>
          <w:rFonts w:ascii="Arial" w:cs="Arial" w:eastAsia="Arial" w:hAnsi="Arial"/>
          <w:sz w:val="13"/>
          <w:szCs w:val="13"/>
          <w:color w:val="auto"/>
        </w:rPr>
        <w:t>On March 27, 2020, the Coronavirus Aid, Relief, and Economic Security Act (“CARES Act”) was signed by the President of the United States. The CARES Act has certain provisions which encourage financial institutions to prudently work with borrowers impacted by COVID-19. Under these provisions, modifications deemed to be COVID-19 related would not be considered a TDR if the loan was not more than 30 days past due as of December 31, 2019. The deferral would need to be executed March 1, 2020 and the earlier of 60 days after the date of termination of the COVID-19 national emergency or December 31, 2020. Additional legislation was passed in December of 2020 that extended the TDR relief to January 1, 2022. Banking regulators issued similar guidance clarifying that a COVID-19 related modification should not be considered a TDR if the borrower was current on payments at the time the underlying loan modification program was implemented and considered short-term. See Note 3 “Loans” for additional disclosures of loans that were modified and not considered TDR.</w:t>
      </w:r>
    </w:p>
    <w:p>
      <w:pPr>
        <w:spacing w:after="0" w:line="147" w:lineRule="exact"/>
        <w:rPr>
          <w:sz w:val="20"/>
          <w:szCs w:val="20"/>
          <w:color w:val="auto"/>
        </w:rPr>
      </w:pPr>
    </w:p>
    <w:p>
      <w:pPr>
        <w:jc w:val="both"/>
        <w:ind w:left="620" w:right="719" w:firstLine="256"/>
        <w:spacing w:after="0" w:line="248" w:lineRule="auto"/>
        <w:rPr>
          <w:sz w:val="20"/>
          <w:szCs w:val="20"/>
          <w:color w:val="auto"/>
        </w:rPr>
      </w:pPr>
      <w:r>
        <w:rPr>
          <w:rFonts w:ascii="Arial" w:cs="Arial" w:eastAsia="Arial" w:hAnsi="Arial"/>
          <w:sz w:val="14"/>
          <w:szCs w:val="14"/>
          <w:color w:val="auto"/>
        </w:rPr>
        <w:t>In addition to the allowance for the pooled portfolios, management has developed a separate allowance for loans that are identified as impaired through a TDR. These loans are excluded from the general component of the ACL, and a separate reserve is provided under the accounting guidance for loan impairment. Residential loans whose terms have been modified in a TDR are also individually analyzed for estimated impairment.</w:t>
      </w:r>
    </w:p>
    <w:p>
      <w:pPr>
        <w:spacing w:after="0" w:line="156" w:lineRule="exact"/>
        <w:rPr>
          <w:sz w:val="20"/>
          <w:szCs w:val="20"/>
          <w:color w:val="auto"/>
        </w:rPr>
      </w:pPr>
    </w:p>
    <w:p>
      <w:pPr>
        <w:jc w:val="both"/>
        <w:ind w:left="620" w:right="739" w:firstLine="256"/>
        <w:spacing w:after="0" w:line="248" w:lineRule="auto"/>
        <w:rPr>
          <w:sz w:val="20"/>
          <w:szCs w:val="20"/>
          <w:color w:val="auto"/>
        </w:rPr>
      </w:pPr>
      <w:r>
        <w:rPr>
          <w:rFonts w:ascii="Arial" w:cs="Arial" w:eastAsia="Arial" w:hAnsi="Arial"/>
          <w:sz w:val="14"/>
          <w:szCs w:val="14"/>
          <w:color w:val="auto"/>
        </w:rPr>
        <w:t>The Company's charge-off policy is to review all impaired loans on a quarterly basis in order to monitor the Company's ability to collect them in full at maturity date and/or in accordance with terms of any restructurings. For loans which are collateral dependent, or deemed to be uncollectible, any shortfall in the fair value of the collateral relative to the recorded investment in the loan is charged off.</w:t>
      </w:r>
    </w:p>
    <w:p>
      <w:pPr>
        <w:spacing w:after="0" w:line="127"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Concentration of Credit Risks</w:t>
      </w:r>
    </w:p>
    <w:p>
      <w:pPr>
        <w:spacing w:after="0" w:line="188" w:lineRule="exact"/>
        <w:rPr>
          <w:sz w:val="20"/>
          <w:szCs w:val="20"/>
          <w:color w:val="auto"/>
        </w:rPr>
      </w:pPr>
    </w:p>
    <w:p>
      <w:pPr>
        <w:jc w:val="both"/>
        <w:ind w:left="620" w:right="719" w:firstLine="256"/>
        <w:spacing w:after="0" w:line="244" w:lineRule="auto"/>
        <w:rPr>
          <w:sz w:val="20"/>
          <w:szCs w:val="20"/>
          <w:color w:val="auto"/>
        </w:rPr>
      </w:pPr>
      <w:r>
        <w:rPr>
          <w:rFonts w:ascii="Arial" w:cs="Arial" w:eastAsia="Arial" w:hAnsi="Arial"/>
          <w:sz w:val="14"/>
          <w:szCs w:val="14"/>
          <w:color w:val="auto"/>
        </w:rPr>
        <w:t>Credit risk represents the accounting loss that would be recognized at the reporting date if counterparties failed to perform as contracted and any collateral or security proved to be insufficient to cover the loss. Concentrations of credit risk (whether on or off-balance sheet) arising from financial instruments exist in relation to certain groups of customers. A group concentration arises when a number of counterparties have similar economic characteristics that would cause their ability to meet contractual obligations to be similarly affected by changes in economic or other conditions. The Company does not have a significant exposure to any individual customer or counterparty.</w:t>
      </w:r>
    </w:p>
    <w:p>
      <w:pPr>
        <w:spacing w:after="0" w:line="160" w:lineRule="exact"/>
        <w:rPr>
          <w:sz w:val="20"/>
          <w:szCs w:val="20"/>
          <w:color w:val="auto"/>
        </w:rPr>
      </w:pPr>
    </w:p>
    <w:p>
      <w:pPr>
        <w:jc w:val="both"/>
        <w:ind w:left="620" w:right="719" w:firstLine="256"/>
        <w:spacing w:after="0" w:line="253" w:lineRule="auto"/>
        <w:rPr>
          <w:sz w:val="20"/>
          <w:szCs w:val="20"/>
          <w:color w:val="auto"/>
        </w:rPr>
      </w:pPr>
      <w:r>
        <w:rPr>
          <w:rFonts w:ascii="Arial" w:cs="Arial" w:eastAsia="Arial" w:hAnsi="Arial"/>
          <w:sz w:val="14"/>
          <w:szCs w:val="14"/>
          <w:color w:val="auto"/>
        </w:rPr>
        <w:t>Most of the Company's business activity is with customers located within its primary market area, which is generally the State of Florida. The Company's loan portfolio is concentrated largely in real estate and commercial loans in South Florida. Many of the Company's loan customers are engaged in real estate development. Circumstances, which negatively impact</w:t>
      </w:r>
    </w:p>
    <w:p>
      <w:pPr>
        <w:spacing w:after="0" w:line="387"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18</w:t>
      </w:r>
      <w:r>
        <w:rPr>
          <w:sz w:val="20"/>
          <w:szCs w:val="20"/>
          <w:color w:val="auto"/>
        </w:rPr>
        <w:tab/>
      </w:r>
      <w:r>
        <w:rPr>
          <w:rFonts w:ascii="Arial" w:cs="Arial" w:eastAsia="Arial" w:hAnsi="Arial"/>
          <w:sz w:val="14"/>
          <w:szCs w:val="14"/>
          <w:color w:val="auto"/>
        </w:rPr>
        <w:t>USCB Financial Holdings, Inc.</w:t>
        <w:tab/>
        <w:t>2022 10-K/A</w:t>
      </w:r>
    </w:p>
    <w:p>
      <w:pPr>
        <w:sectPr>
          <w:pgSz w:w="11900" w:h="16838" w:orient="portrait"/>
          <w:cols w:equalWidth="0" w:num="1">
            <w:col w:w="9019"/>
          </w:cols>
          <w:pgMar w:left="1440" w:top="490" w:right="1440" w:bottom="1440" w:gutter="0" w:footer="0" w:header="0"/>
        </w:sectPr>
      </w:pPr>
    </w:p>
    <w:bookmarkStart w:id="18" w:name="page19"/>
    <w:bookmarkEnd w:id="1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80" w:lineRule="exact"/>
        <w:rPr>
          <w:sz w:val="20"/>
          <w:szCs w:val="20"/>
          <w:color w:val="auto"/>
        </w:rPr>
      </w:pPr>
    </w:p>
    <w:p>
      <w:pPr>
        <w:jc w:val="both"/>
        <w:ind w:left="620" w:right="739"/>
        <w:spacing w:after="0" w:line="252" w:lineRule="auto"/>
        <w:rPr>
          <w:sz w:val="20"/>
          <w:szCs w:val="20"/>
          <w:color w:val="auto"/>
        </w:rPr>
      </w:pPr>
      <w:r>
        <w:rPr>
          <w:rFonts w:ascii="Arial" w:cs="Arial" w:eastAsia="Arial" w:hAnsi="Arial"/>
          <w:sz w:val="14"/>
          <w:szCs w:val="14"/>
          <w:color w:val="auto"/>
        </w:rPr>
        <w:t>the South Florida real estate industry or the South Florida economy, in general, could adversely impact the Company's loan portfolio.</w:t>
      </w:r>
    </w:p>
    <w:p>
      <w:pPr>
        <w:spacing w:after="0" w:line="153" w:lineRule="exact"/>
        <w:rPr>
          <w:sz w:val="20"/>
          <w:szCs w:val="20"/>
          <w:color w:val="auto"/>
        </w:rPr>
      </w:pPr>
    </w:p>
    <w:p>
      <w:pPr>
        <w:jc w:val="both"/>
        <w:ind w:left="620" w:right="719" w:firstLine="256"/>
        <w:spacing w:after="0" w:line="231" w:lineRule="auto"/>
        <w:rPr>
          <w:sz w:val="20"/>
          <w:szCs w:val="20"/>
          <w:color w:val="auto"/>
        </w:rPr>
      </w:pPr>
      <w:r>
        <w:rPr>
          <w:rFonts w:ascii="Arial" w:cs="Arial" w:eastAsia="Arial" w:hAnsi="Arial"/>
          <w:sz w:val="14"/>
          <w:szCs w:val="14"/>
          <w:color w:val="auto"/>
        </w:rPr>
        <w:t>At December 31, 2022 and 2021, the Company had a concentration of risk with loans outstanding to the Company’s top ten lending relationships totaling $197.9 million and $156.4 million, respectively. At December 31, 2022 and 2021, this concentration represented 13.1%, of the net loans outstanding. For the period ended December 31, 2022 there was one commercial real estate loan note with an outstanding balance of $20 million collateralized by a 1</w:t>
      </w:r>
      <w:r>
        <w:rPr>
          <w:rFonts w:ascii="Arial" w:cs="Arial" w:eastAsia="Arial" w:hAnsi="Arial"/>
          <w:sz w:val="18"/>
          <w:szCs w:val="18"/>
          <w:color w:val="auto"/>
          <w:vertAlign w:val="superscript"/>
        </w:rPr>
        <w:t>st</w:t>
      </w:r>
      <w:r>
        <w:rPr>
          <w:rFonts w:ascii="Arial" w:cs="Arial" w:eastAsia="Arial" w:hAnsi="Arial"/>
          <w:sz w:val="14"/>
          <w:szCs w:val="14"/>
          <w:color w:val="auto"/>
        </w:rPr>
        <w:t xml:space="preserve"> lien commercial property located in New York State.</w:t>
      </w:r>
    </w:p>
    <w:p>
      <w:pPr>
        <w:spacing w:after="0" w:line="163" w:lineRule="exact"/>
        <w:rPr>
          <w:sz w:val="20"/>
          <w:szCs w:val="20"/>
          <w:color w:val="auto"/>
        </w:rPr>
      </w:pPr>
    </w:p>
    <w:p>
      <w:pPr>
        <w:jc w:val="both"/>
        <w:ind w:left="620" w:right="719" w:firstLine="256"/>
        <w:spacing w:after="0" w:line="245" w:lineRule="auto"/>
        <w:rPr>
          <w:sz w:val="20"/>
          <w:szCs w:val="20"/>
          <w:color w:val="auto"/>
        </w:rPr>
      </w:pPr>
      <w:r>
        <w:rPr>
          <w:rFonts w:ascii="Arial" w:cs="Arial" w:eastAsia="Arial" w:hAnsi="Arial"/>
          <w:sz w:val="14"/>
          <w:szCs w:val="14"/>
          <w:color w:val="auto"/>
        </w:rPr>
        <w:t>At December 31, 2022, the Company also had a concentration of risk with loans outstanding totaling $88.8 million to foreign banks located in Ecuador, Dominican Republic, Honduras, and El Salvador. At December 31, 2021, the Company also had a concentration of risk with loans outstanding totaling $47.9 million to foreign banks located in Ecuador, Honduras, and El Salvador. These banks maintained deposits with right of offset totaling $31.4 million and $28.9 million at December 31, 2022 and 2021, respectively.</w:t>
      </w:r>
    </w:p>
    <w:p>
      <w:pPr>
        <w:spacing w:after="0" w:line="160" w:lineRule="exact"/>
        <w:rPr>
          <w:sz w:val="20"/>
          <w:szCs w:val="20"/>
          <w:color w:val="auto"/>
        </w:rPr>
      </w:pPr>
    </w:p>
    <w:p>
      <w:pPr>
        <w:jc w:val="both"/>
        <w:ind w:left="620" w:right="719" w:firstLine="256"/>
        <w:spacing w:after="0" w:line="253" w:lineRule="auto"/>
        <w:rPr>
          <w:sz w:val="20"/>
          <w:szCs w:val="20"/>
          <w:color w:val="auto"/>
        </w:rPr>
      </w:pPr>
      <w:r>
        <w:rPr>
          <w:rFonts w:ascii="Arial" w:cs="Arial" w:eastAsia="Arial" w:hAnsi="Arial"/>
          <w:sz w:val="14"/>
          <w:szCs w:val="14"/>
          <w:color w:val="auto"/>
        </w:rPr>
        <w:t>At various times during the year, the Company has maintained deposits with other financial institutions. The exposure to the Company from these transactions is solely dependent upon daily balances and the financial strength of the respective institution.</w:t>
      </w:r>
    </w:p>
    <w:p>
      <w:pPr>
        <w:spacing w:after="0" w:line="124"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Premises and Equipment, net</w:t>
      </w:r>
    </w:p>
    <w:p>
      <w:pPr>
        <w:spacing w:after="0" w:line="188" w:lineRule="exact"/>
        <w:rPr>
          <w:sz w:val="20"/>
          <w:szCs w:val="20"/>
          <w:color w:val="auto"/>
        </w:rPr>
      </w:pPr>
    </w:p>
    <w:p>
      <w:pPr>
        <w:jc w:val="both"/>
        <w:ind w:left="620" w:right="739" w:firstLine="256"/>
        <w:spacing w:after="0" w:line="248" w:lineRule="auto"/>
        <w:rPr>
          <w:sz w:val="20"/>
          <w:szCs w:val="20"/>
          <w:color w:val="auto"/>
        </w:rPr>
      </w:pPr>
      <w:r>
        <w:rPr>
          <w:rFonts w:ascii="Arial" w:cs="Arial" w:eastAsia="Arial" w:hAnsi="Arial"/>
          <w:sz w:val="14"/>
          <w:szCs w:val="14"/>
          <w:color w:val="auto"/>
        </w:rPr>
        <w:t>Land is carried at cost. Premises and equipment are stated at cost less accumulated depreciation and amortization. Depreciation is computed on the straight-line method over the estimated useful life of the asset. Leasehold improvements are amortized over the remaining term of the applicable leases or their useful lives, whichever is shorter. Estimated useful lives of these assets were as follows:</w:t>
      </w:r>
    </w:p>
    <w:p>
      <w:pPr>
        <w:sectPr>
          <w:pgSz w:w="11900" w:h="16838" w:orient="portrait"/>
          <w:cols w:equalWidth="0" w:num="1">
            <w:col w:w="9019"/>
          </w:cols>
          <w:pgMar w:left="1440" w:top="490" w:right="1440" w:bottom="1440" w:gutter="0" w:footer="0" w:header="0"/>
        </w:sectPr>
      </w:pPr>
    </w:p>
    <w:p>
      <w:pPr>
        <w:spacing w:after="0" w:line="145" w:lineRule="exact"/>
        <w:rPr>
          <w:sz w:val="20"/>
          <w:szCs w:val="20"/>
          <w:color w:val="auto"/>
        </w:rPr>
      </w:pPr>
    </w:p>
    <w:p>
      <w:pPr>
        <w:ind w:left="1640"/>
        <w:spacing w:after="0"/>
        <w:rPr>
          <w:sz w:val="20"/>
          <w:szCs w:val="20"/>
          <w:color w:val="auto"/>
        </w:rPr>
      </w:pPr>
      <w:r>
        <w:rPr>
          <w:rFonts w:ascii="Arial" w:cs="Arial" w:eastAsia="Arial" w:hAnsi="Arial"/>
          <w:sz w:val="14"/>
          <w:szCs w:val="14"/>
          <w:color w:val="auto"/>
        </w:rPr>
        <w:t>Building</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40 years</w:t>
      </w:r>
    </w:p>
    <w:p>
      <w:pPr>
        <w:spacing w:after="0" w:line="9" w:lineRule="exact"/>
        <w:rPr>
          <w:sz w:val="20"/>
          <w:szCs w:val="20"/>
          <w:color w:val="auto"/>
        </w:rPr>
      </w:pPr>
    </w:p>
    <w:p>
      <w:pPr>
        <w:sectPr>
          <w:pgSz w:w="11900" w:h="16838" w:orient="portrait"/>
          <w:cols w:equalWidth="0" w:num="2">
            <w:col w:w="4000" w:space="720"/>
            <w:col w:w="4299"/>
          </w:cols>
          <w:pgMar w:left="1440" w:top="490" w:right="1440" w:bottom="1440" w:gutter="0" w:footer="0" w:header="0"/>
          <w:type w:val="continuous"/>
        </w:sectPr>
      </w:pPr>
    </w:p>
    <w:p>
      <w:pPr>
        <w:ind w:left="1640"/>
        <w:spacing w:after="0"/>
        <w:rPr>
          <w:sz w:val="20"/>
          <w:szCs w:val="20"/>
          <w:color w:val="auto"/>
        </w:rPr>
      </w:pPr>
      <w:r>
        <w:rPr>
          <w:rFonts w:ascii="Arial" w:cs="Arial" w:eastAsia="Arial" w:hAnsi="Arial"/>
          <w:sz w:val="14"/>
          <w:szCs w:val="14"/>
          <w:color w:val="auto"/>
        </w:rPr>
        <w:t>Furniture, fixtures and equipment</w:t>
      </w:r>
    </w:p>
    <w:p>
      <w:pPr>
        <w:ind w:left="1640"/>
        <w:spacing w:after="0"/>
        <w:rPr>
          <w:sz w:val="20"/>
          <w:szCs w:val="20"/>
          <w:color w:val="auto"/>
        </w:rPr>
      </w:pPr>
      <w:r>
        <w:rPr>
          <w:rFonts w:ascii="Arial" w:cs="Arial" w:eastAsia="Arial" w:hAnsi="Arial"/>
          <w:sz w:val="14"/>
          <w:szCs w:val="14"/>
          <w:color w:val="auto"/>
        </w:rPr>
        <w:t>Computer hardware and software</w:t>
      </w:r>
    </w:p>
    <w:p>
      <w:pPr>
        <w:ind w:left="1640"/>
        <w:spacing w:after="0"/>
        <w:rPr>
          <w:sz w:val="20"/>
          <w:szCs w:val="20"/>
          <w:color w:val="auto"/>
        </w:rPr>
      </w:pPr>
      <w:r>
        <w:rPr>
          <w:rFonts w:ascii="Arial" w:cs="Arial" w:eastAsia="Arial" w:hAnsi="Arial"/>
          <w:sz w:val="14"/>
          <w:szCs w:val="14"/>
          <w:color w:val="auto"/>
        </w:rPr>
        <w:t>Leasehold improvements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3 to 25 years</w:t>
      </w:r>
    </w:p>
    <w:p>
      <w:pPr>
        <w:spacing w:after="0"/>
        <w:rPr>
          <w:sz w:val="20"/>
          <w:szCs w:val="20"/>
          <w:color w:val="auto"/>
        </w:rPr>
      </w:pPr>
      <w:r>
        <w:rPr>
          <w:rFonts w:ascii="Arial" w:cs="Arial" w:eastAsia="Arial" w:hAnsi="Arial"/>
          <w:sz w:val="14"/>
          <w:szCs w:val="14"/>
          <w:color w:val="auto"/>
        </w:rPr>
        <w:t>3 to 5 years</w:t>
      </w:r>
    </w:p>
    <w:p>
      <w:pPr>
        <w:spacing w:after="0"/>
        <w:rPr>
          <w:sz w:val="20"/>
          <w:szCs w:val="20"/>
          <w:color w:val="auto"/>
        </w:rPr>
      </w:pPr>
      <w:r>
        <w:rPr>
          <w:rFonts w:ascii="Arial" w:cs="Arial" w:eastAsia="Arial" w:hAnsi="Arial"/>
          <w:sz w:val="14"/>
          <w:szCs w:val="14"/>
          <w:color w:val="auto"/>
        </w:rPr>
        <w:t>Shorter of life or term of lease</w:t>
      </w:r>
    </w:p>
    <w:p>
      <w:pPr>
        <w:spacing w:after="0" w:line="170" w:lineRule="exact"/>
        <w:rPr>
          <w:sz w:val="20"/>
          <w:szCs w:val="20"/>
          <w:color w:val="auto"/>
        </w:rPr>
      </w:pPr>
    </w:p>
    <w:p>
      <w:pPr>
        <w:sectPr>
          <w:pgSz w:w="11900" w:h="16838" w:orient="portrait"/>
          <w:cols w:equalWidth="0" w:num="2">
            <w:col w:w="4000" w:space="720"/>
            <w:col w:w="4299"/>
          </w:cols>
          <w:pgMar w:left="1440" w:top="490" w:right="1440" w:bottom="1440" w:gutter="0" w:footer="0" w:header="0"/>
          <w:type w:val="continuous"/>
        </w:sectPr>
      </w:pPr>
    </w:p>
    <w:p>
      <w:pPr>
        <w:jc w:val="both"/>
        <w:ind w:left="620" w:right="739" w:firstLine="256"/>
        <w:spacing w:after="0" w:line="253" w:lineRule="auto"/>
        <w:rPr>
          <w:sz w:val="20"/>
          <w:szCs w:val="20"/>
          <w:color w:val="auto"/>
        </w:rPr>
      </w:pPr>
      <w:r>
        <w:rPr>
          <w:rFonts w:ascii="Arial" w:cs="Arial" w:eastAsia="Arial" w:hAnsi="Arial"/>
          <w:sz w:val="14"/>
          <w:szCs w:val="14"/>
          <w:color w:val="auto"/>
        </w:rPr>
        <w:t>Maintenance and repairs are charged to expense as incurred while improvements and betterments are capitalized. When items are retired or are otherwise disposed of, the related costs and accumulated depreciation and amortization are removed from the accounts and any resulting gains or losses are credited or charged to income.</w:t>
      </w:r>
    </w:p>
    <w:p>
      <w:pPr>
        <w:spacing w:after="0" w:line="134"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Other Real Estate Owned</w:t>
      </w:r>
    </w:p>
    <w:p>
      <w:pPr>
        <w:spacing w:after="0" w:line="188" w:lineRule="exact"/>
        <w:rPr>
          <w:sz w:val="20"/>
          <w:szCs w:val="20"/>
          <w:color w:val="auto"/>
        </w:rPr>
      </w:pPr>
    </w:p>
    <w:p>
      <w:pPr>
        <w:jc w:val="both"/>
        <w:ind w:left="620" w:right="679" w:firstLine="256"/>
        <w:spacing w:after="0" w:line="245" w:lineRule="auto"/>
        <w:rPr>
          <w:sz w:val="20"/>
          <w:szCs w:val="20"/>
          <w:color w:val="auto"/>
        </w:rPr>
      </w:pPr>
      <w:r>
        <w:rPr>
          <w:rFonts w:ascii="Arial" w:cs="Arial" w:eastAsia="Arial" w:hAnsi="Arial"/>
          <w:sz w:val="14"/>
          <w:szCs w:val="14"/>
          <w:color w:val="auto"/>
        </w:rPr>
        <w:t>Other real estate owned (“OREO”) consists of real estate property acquired through, or in lieu of, foreclosure that are held for sale and are initially recorded at the fair value of the property less estimated selling costs at the date of foreclosure, establishing a new cost basis. Subsequent to foreclosure, valuations are periodically performed by management and the assets are carried at the lower of carrying amount or fair value less cost to sell. Subsequent write-downs are recognized as a valuation allowance with the offset recorded in the Consolidated Statements of Operations. Carrying costs are charged to other real estate owned expenses in the accompanying Consolidated Statements of Operation. Gains or losses on sale of OREO are recognized when consideration has been exchanged, all closing conditions have been met and permanent financing has been arranged.</w:t>
      </w:r>
    </w:p>
    <w:p>
      <w:pPr>
        <w:spacing w:after="0" w:line="129"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Bank Owned Life Insurance</w:t>
      </w:r>
    </w:p>
    <w:p>
      <w:pPr>
        <w:spacing w:after="0" w:line="188" w:lineRule="exact"/>
        <w:rPr>
          <w:sz w:val="20"/>
          <w:szCs w:val="20"/>
          <w:color w:val="auto"/>
        </w:rPr>
      </w:pPr>
    </w:p>
    <w:p>
      <w:pPr>
        <w:jc w:val="both"/>
        <w:ind w:left="620" w:right="679" w:firstLine="256"/>
        <w:spacing w:after="0" w:line="245" w:lineRule="auto"/>
        <w:rPr>
          <w:sz w:val="20"/>
          <w:szCs w:val="20"/>
          <w:color w:val="auto"/>
        </w:rPr>
      </w:pPr>
      <w:r>
        <w:rPr>
          <w:rFonts w:ascii="Arial" w:cs="Arial" w:eastAsia="Arial" w:hAnsi="Arial"/>
          <w:sz w:val="14"/>
          <w:szCs w:val="14"/>
          <w:color w:val="auto"/>
        </w:rPr>
        <w:t>Bank owned life insurance (“BOLI”) is carried at the amount that could be realized under the contract at the balance sheet date, which is typically cash surrender value. Changes in cash surrender value are recorded in non-interest income. At December 31, 2022, the Company maintained BOLI policies with five insurance carriers with a combined cash surrender value of $42.8 million. These policies cover certain present and former executives and officers, the Company is the beneficiary of these policies.</w:t>
      </w:r>
    </w:p>
    <w:p>
      <w:pPr>
        <w:spacing w:after="0" w:line="142"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Employee 401(k) Plan</w:t>
      </w:r>
    </w:p>
    <w:p>
      <w:pPr>
        <w:spacing w:after="0" w:line="188" w:lineRule="exact"/>
        <w:rPr>
          <w:sz w:val="20"/>
          <w:szCs w:val="20"/>
          <w:color w:val="auto"/>
        </w:rPr>
      </w:pPr>
    </w:p>
    <w:p>
      <w:pPr>
        <w:ind w:left="620" w:right="699" w:firstLine="256"/>
        <w:spacing w:after="0" w:line="252" w:lineRule="auto"/>
        <w:rPr>
          <w:sz w:val="20"/>
          <w:szCs w:val="20"/>
          <w:color w:val="auto"/>
        </w:rPr>
      </w:pPr>
      <w:r>
        <w:rPr>
          <w:rFonts w:ascii="Arial" w:cs="Arial" w:eastAsia="Arial" w:hAnsi="Arial"/>
          <w:sz w:val="14"/>
          <w:szCs w:val="14"/>
          <w:color w:val="auto"/>
        </w:rPr>
        <w:t>The Company has an employee 401(k) plan covering substantially all eligible employees. Employee 401(k) plan expense is the amount of matching contributions.</w:t>
      </w:r>
    </w:p>
    <w:p>
      <w:pPr>
        <w:spacing w:after="0" w:line="387"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19</w:t>
      </w:r>
      <w:r>
        <w:rPr>
          <w:sz w:val="20"/>
          <w:szCs w:val="20"/>
          <w:color w:val="auto"/>
        </w:rPr>
        <w:tab/>
      </w:r>
      <w:r>
        <w:rPr>
          <w:rFonts w:ascii="Arial" w:cs="Arial" w:eastAsia="Arial" w:hAnsi="Arial"/>
          <w:sz w:val="14"/>
          <w:szCs w:val="14"/>
          <w:color w:val="auto"/>
        </w:rPr>
        <w:t>USCB Financial Holdings, Inc.</w:t>
        <w:tab/>
        <w:t>2022 10-K/A</w:t>
      </w:r>
    </w:p>
    <w:p>
      <w:pPr>
        <w:sectPr>
          <w:pgSz w:w="11900" w:h="16838" w:orient="portrait"/>
          <w:cols w:equalWidth="0" w:num="1">
            <w:col w:w="9019"/>
          </w:cols>
          <w:pgMar w:left="1440" w:top="490" w:right="1440" w:bottom="1440" w:gutter="0" w:footer="0" w:header="0"/>
          <w:type w:val="continuous"/>
        </w:sectPr>
      </w:pPr>
    </w:p>
    <w:bookmarkStart w:id="19" w:name="page20"/>
    <w:bookmarkEnd w:id="1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Income Taxes</w:t>
      </w:r>
    </w:p>
    <w:p>
      <w:pPr>
        <w:spacing w:after="0" w:line="188" w:lineRule="exact"/>
        <w:rPr>
          <w:sz w:val="20"/>
          <w:szCs w:val="20"/>
          <w:color w:val="auto"/>
        </w:rPr>
      </w:pPr>
    </w:p>
    <w:p>
      <w:pPr>
        <w:jc w:val="both"/>
        <w:ind w:left="620" w:right="699" w:firstLine="256"/>
        <w:spacing w:after="0" w:line="244" w:lineRule="auto"/>
        <w:rPr>
          <w:sz w:val="20"/>
          <w:szCs w:val="20"/>
          <w:color w:val="auto"/>
        </w:rPr>
      </w:pPr>
      <w:r>
        <w:rPr>
          <w:rFonts w:ascii="Arial" w:cs="Arial" w:eastAsia="Arial" w:hAnsi="Arial"/>
          <w:sz w:val="14"/>
          <w:szCs w:val="14"/>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60" w:lineRule="exact"/>
        <w:rPr>
          <w:sz w:val="20"/>
          <w:szCs w:val="20"/>
          <w:color w:val="auto"/>
        </w:rPr>
      </w:pPr>
    </w:p>
    <w:p>
      <w:pPr>
        <w:jc w:val="both"/>
        <w:ind w:left="620" w:right="719" w:firstLine="256"/>
        <w:spacing w:after="0" w:line="248" w:lineRule="auto"/>
        <w:rPr>
          <w:sz w:val="20"/>
          <w:szCs w:val="20"/>
          <w:color w:val="auto"/>
        </w:rPr>
      </w:pPr>
      <w:r>
        <w:rPr>
          <w:rFonts w:ascii="Arial" w:cs="Arial" w:eastAsia="Arial" w:hAnsi="Arial"/>
          <w:sz w:val="14"/>
          <w:szCs w:val="14"/>
          <w:color w:val="auto"/>
        </w:rPr>
        <w:t>Management is required to assess whether a valuation allowance should be established on the net deferred tax asset based on the consideration of all available evidence using a more likely than not standard. In its evaluation, Management considers taxable loss carry-back availability, expectation of sufficient taxable income, trends in earnings, the future reversal of temporary differences, and available tax planning strategies.</w:t>
      </w:r>
    </w:p>
    <w:p>
      <w:pPr>
        <w:spacing w:after="0" w:line="156" w:lineRule="exact"/>
        <w:rPr>
          <w:sz w:val="20"/>
          <w:szCs w:val="20"/>
          <w:color w:val="auto"/>
        </w:rPr>
      </w:pPr>
    </w:p>
    <w:p>
      <w:pPr>
        <w:jc w:val="both"/>
        <w:ind w:left="620" w:right="719" w:firstLine="256"/>
        <w:spacing w:after="0" w:line="245" w:lineRule="auto"/>
        <w:rPr>
          <w:sz w:val="20"/>
          <w:szCs w:val="20"/>
          <w:color w:val="auto"/>
        </w:rPr>
      </w:pPr>
      <w:r>
        <w:rPr>
          <w:rFonts w:ascii="Arial" w:cs="Arial" w:eastAsia="Arial" w:hAnsi="Arial"/>
          <w:sz w:val="14"/>
          <w:szCs w:val="14"/>
          <w:color w:val="auto"/>
        </w:rPr>
        <w:t>The Company recognizes positions taken or expected to be taken in a tax return in accordance with existing accounting guidance on income taxes which prescribes a recognition threshold and measurement process. Interest and penalties on tax liabilities, if any, would be recorded in interest expense and other operating noninterest expense, respectively.</w:t>
      </w:r>
    </w:p>
    <w:p>
      <w:pPr>
        <w:spacing w:after="0" w:line="140"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Impairment of Long-Lived Assets</w:t>
      </w:r>
    </w:p>
    <w:p>
      <w:pPr>
        <w:spacing w:after="0" w:line="188" w:lineRule="exact"/>
        <w:rPr>
          <w:sz w:val="20"/>
          <w:szCs w:val="20"/>
          <w:color w:val="auto"/>
        </w:rPr>
      </w:pPr>
    </w:p>
    <w:p>
      <w:pPr>
        <w:jc w:val="both"/>
        <w:ind w:left="620" w:right="719" w:firstLine="256"/>
        <w:spacing w:after="0" w:line="244" w:lineRule="auto"/>
        <w:rPr>
          <w:sz w:val="20"/>
          <w:szCs w:val="20"/>
          <w:color w:val="auto"/>
        </w:rPr>
      </w:pPr>
      <w:r>
        <w:rPr>
          <w:rFonts w:ascii="Arial" w:cs="Arial" w:eastAsia="Arial" w:hAnsi="Arial"/>
          <w:sz w:val="14"/>
          <w:szCs w:val="14"/>
          <w:color w:val="auto"/>
        </w:rPr>
        <w:t>The Company's long-lived assets, such as premises and equipment,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an impairment charge is recognized by the amount by which the carrying amount of the asset exceeds the fair value of the asset. Assets to be disposed of would be separately presented in the Consolidated Balance Sheets and reported at the lower of the carrying amount or fair value less costs to sell and are no longer depreciated. The assets and liabilities of a disposal group classified as held for sale would be presented separately in the appropriate asset and liability sections of the Consolidated Balance Sheets.</w:t>
      </w:r>
    </w:p>
    <w:p>
      <w:pPr>
        <w:spacing w:after="0" w:line="141"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Transfer of Financial Assets</w:t>
      </w:r>
    </w:p>
    <w:p>
      <w:pPr>
        <w:spacing w:after="0" w:line="188" w:lineRule="exact"/>
        <w:rPr>
          <w:sz w:val="20"/>
          <w:szCs w:val="20"/>
          <w:color w:val="auto"/>
        </w:rPr>
      </w:pPr>
    </w:p>
    <w:p>
      <w:pPr>
        <w:jc w:val="both"/>
        <w:ind w:left="620" w:right="679" w:firstLine="256"/>
        <w:spacing w:after="0" w:line="244" w:lineRule="auto"/>
        <w:rPr>
          <w:sz w:val="20"/>
          <w:szCs w:val="20"/>
          <w:color w:val="auto"/>
        </w:rPr>
      </w:pPr>
      <w:r>
        <w:rPr>
          <w:rFonts w:ascii="Arial" w:cs="Arial" w:eastAsia="Arial" w:hAnsi="Arial"/>
          <w:sz w:val="14"/>
          <w:szCs w:val="14"/>
          <w:color w:val="auto"/>
        </w:rPr>
        <w:t>Transfers of financial assets are accounted for as sales, when control over the assets has been surrendered. Control over transferred assets is deemed to be surrendered when (i) the assets have been isolated from the Company - put presumptively beyond the reach of the transferor and its creditors, even in bankruptcy or other receivership, (ii) the transferee obtains the right (free of conditions that constrain it from taking advantage of that right) to pledge or exchange the transferred assets, and (iii) the Company does not maintain effective control over the transferred assets through an agreement to repurchase them before their maturity or the ability to unilaterally cause the holder to return specific assets.</w:t>
      </w:r>
    </w:p>
    <w:p>
      <w:pPr>
        <w:spacing w:after="0" w:line="142"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Comprehensive Income (Loss)</w:t>
      </w:r>
    </w:p>
    <w:p>
      <w:pPr>
        <w:spacing w:after="0" w:line="188" w:lineRule="exact"/>
        <w:rPr>
          <w:sz w:val="20"/>
          <w:szCs w:val="20"/>
          <w:color w:val="auto"/>
        </w:rPr>
      </w:pPr>
    </w:p>
    <w:p>
      <w:pPr>
        <w:jc w:val="both"/>
        <w:ind w:left="620" w:right="699" w:firstLine="256"/>
        <w:spacing w:after="0" w:line="246" w:lineRule="auto"/>
        <w:rPr>
          <w:sz w:val="20"/>
          <w:szCs w:val="20"/>
          <w:color w:val="auto"/>
        </w:rPr>
      </w:pPr>
      <w:r>
        <w:rPr>
          <w:rFonts w:ascii="Arial" w:cs="Arial" w:eastAsia="Arial" w:hAnsi="Arial"/>
          <w:sz w:val="14"/>
          <w:szCs w:val="14"/>
          <w:color w:val="auto"/>
        </w:rPr>
        <w:t>Under GAAP, certain changes in assets and liabilities, such as unrealized holding gains and losses on securities available-for-sale, are excluded from current period earnings and reported as a separate component of the stockholders’ equity section of the Consolidated Balance Sheets, such items, along with net income (loss), are components of comprehensive income (loss). Additionally, any unrealized gains or losses on transfers of investment securities from available-for-sale to held-to-maturity are recorded to accumulated other comprehensive income on the date of transfer and amortized over the remaining life of each security. The amortization of the unrealized gain or loss on transferred securities is reported as a component of comprehensive income (loss). See Note 2 “Investment Securities” for further discussion.</w:t>
      </w:r>
    </w:p>
    <w:p>
      <w:pPr>
        <w:spacing w:after="0" w:line="129"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Advertising Costs</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4"/>
          <w:szCs w:val="14"/>
          <w:color w:val="auto"/>
        </w:rPr>
        <w:t>Advertising costs are expensed as incurred.</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Earnings per Common Share</w:t>
      </w:r>
    </w:p>
    <w:p>
      <w:pPr>
        <w:spacing w:after="0" w:line="188" w:lineRule="exact"/>
        <w:rPr>
          <w:sz w:val="20"/>
          <w:szCs w:val="20"/>
          <w:color w:val="auto"/>
        </w:rPr>
      </w:pPr>
    </w:p>
    <w:p>
      <w:pPr>
        <w:jc w:val="both"/>
        <w:ind w:left="620" w:right="719" w:firstLine="256"/>
        <w:spacing w:after="0" w:line="245" w:lineRule="auto"/>
        <w:rPr>
          <w:sz w:val="20"/>
          <w:szCs w:val="20"/>
          <w:color w:val="auto"/>
        </w:rPr>
      </w:pPr>
      <w:r>
        <w:rPr>
          <w:rFonts w:ascii="Arial" w:cs="Arial" w:eastAsia="Arial" w:hAnsi="Arial"/>
          <w:sz w:val="14"/>
          <w:szCs w:val="14"/>
          <w:color w:val="auto"/>
        </w:rPr>
        <w:t>Basic earnings per common share is net income available to common stockholders divided by the weighted average number of common shares outstanding during the period. Diluted earnings per common share included the effect of additional potential common shares issuable under vested stock options. Basic and diluted earnings per share are updated</w:t>
      </w:r>
    </w:p>
    <w:p>
      <w:pPr>
        <w:spacing w:after="0" w:line="392"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20</w:t>
      </w:r>
      <w:r>
        <w:rPr>
          <w:sz w:val="20"/>
          <w:szCs w:val="20"/>
          <w:color w:val="auto"/>
        </w:rPr>
        <w:tab/>
      </w:r>
      <w:r>
        <w:rPr>
          <w:rFonts w:ascii="Arial" w:cs="Arial" w:eastAsia="Arial" w:hAnsi="Arial"/>
          <w:sz w:val="14"/>
          <w:szCs w:val="14"/>
          <w:color w:val="auto"/>
        </w:rPr>
        <w:t>USCB Financial Holdings, Inc.</w:t>
        <w:tab/>
        <w:t>2022 10-K/A</w:t>
      </w:r>
    </w:p>
    <w:p>
      <w:pPr>
        <w:sectPr>
          <w:pgSz w:w="11900" w:h="16838" w:orient="portrait"/>
          <w:cols w:equalWidth="0" w:num="1">
            <w:col w:w="9019"/>
          </w:cols>
          <w:pgMar w:left="1440" w:top="490" w:right="1440" w:bottom="1440" w:gutter="0" w:footer="0" w:header="0"/>
        </w:sectPr>
      </w:pPr>
    </w:p>
    <w:bookmarkStart w:id="20" w:name="page21"/>
    <w:bookmarkEnd w:id="2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80" w:lineRule="exact"/>
        <w:rPr>
          <w:sz w:val="20"/>
          <w:szCs w:val="20"/>
          <w:color w:val="auto"/>
        </w:rPr>
      </w:pPr>
    </w:p>
    <w:p>
      <w:pPr>
        <w:jc w:val="both"/>
        <w:ind w:left="620" w:right="719"/>
        <w:spacing w:after="0" w:line="252" w:lineRule="auto"/>
        <w:rPr>
          <w:sz w:val="20"/>
          <w:szCs w:val="20"/>
          <w:color w:val="auto"/>
        </w:rPr>
      </w:pPr>
      <w:r>
        <w:rPr>
          <w:rFonts w:ascii="Arial" w:cs="Arial" w:eastAsia="Arial" w:hAnsi="Arial"/>
          <w:sz w:val="14"/>
          <w:szCs w:val="14"/>
          <w:color w:val="auto"/>
        </w:rPr>
        <w:t>to reflect the effect of stock splits as occurred. See Note 14 “Earnings Per Share” for additional information on earnings per common share. See Note 13 “Stockholders’ Equity” for further discussion on stock splits.</w:t>
      </w:r>
    </w:p>
    <w:p>
      <w:pPr>
        <w:spacing w:after="0" w:line="135"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Interest Income</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4"/>
          <w:szCs w:val="14"/>
          <w:color w:val="auto"/>
        </w:rPr>
        <w:t>Interest income is recognized as earned, based upon the principal amount outstanding, on an accrual basis.</w:t>
      </w:r>
    </w:p>
    <w:p>
      <w:pPr>
        <w:spacing w:after="0" w:line="141"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Operating Segments</w:t>
      </w:r>
    </w:p>
    <w:p>
      <w:pPr>
        <w:spacing w:after="0" w:line="188" w:lineRule="exact"/>
        <w:rPr>
          <w:sz w:val="20"/>
          <w:szCs w:val="20"/>
          <w:color w:val="auto"/>
        </w:rPr>
      </w:pPr>
    </w:p>
    <w:p>
      <w:pPr>
        <w:jc w:val="both"/>
        <w:ind w:left="620" w:right="739" w:firstLine="256"/>
        <w:spacing w:after="0" w:line="245" w:lineRule="auto"/>
        <w:rPr>
          <w:sz w:val="20"/>
          <w:szCs w:val="20"/>
          <w:color w:val="auto"/>
        </w:rPr>
      </w:pPr>
      <w:r>
        <w:rPr>
          <w:rFonts w:ascii="Arial" w:cs="Arial" w:eastAsia="Arial" w:hAnsi="Arial"/>
          <w:sz w:val="14"/>
          <w:szCs w:val="14"/>
          <w:color w:val="auto"/>
        </w:rPr>
        <w:t>While the Company monitors the revenue streams of the various products and services, operations are managed and financial performance is evaluated on a Company wide basis. Operating results of the individual products are not used to make resource allocations or performance decisions by Company management.</w:t>
      </w:r>
    </w:p>
    <w:p>
      <w:pPr>
        <w:spacing w:after="0" w:line="140"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Stock-Based Compensation</w:t>
      </w:r>
    </w:p>
    <w:p>
      <w:pPr>
        <w:spacing w:after="0" w:line="188" w:lineRule="exact"/>
        <w:rPr>
          <w:sz w:val="20"/>
          <w:szCs w:val="20"/>
          <w:color w:val="auto"/>
        </w:rPr>
      </w:pPr>
    </w:p>
    <w:p>
      <w:pPr>
        <w:jc w:val="both"/>
        <w:ind w:left="620" w:right="739" w:firstLine="256"/>
        <w:spacing w:after="0" w:line="245" w:lineRule="auto"/>
        <w:rPr>
          <w:sz w:val="20"/>
          <w:szCs w:val="20"/>
          <w:color w:val="auto"/>
        </w:rPr>
      </w:pPr>
      <w:r>
        <w:rPr>
          <w:rFonts w:ascii="Arial" w:cs="Arial" w:eastAsia="Arial" w:hAnsi="Arial"/>
          <w:sz w:val="14"/>
          <w:szCs w:val="14"/>
          <w:color w:val="auto"/>
        </w:rPr>
        <w:t>Stock based compensation accounting guidance requires that the compensation cost relating to share-based payment transactions be recognized in the accompanying Consolidated Financial Statements. That cost will be measured based on the grant date fair value of the equity or liability instruments issued. The stock-based compensation accounting guidance covers a wide range of share-based compensation arrangements including stock options, restricted share plans, performance-based awards, share appreciation rights, and employee share purchase plans.</w:t>
      </w:r>
    </w:p>
    <w:p>
      <w:pPr>
        <w:spacing w:after="0" w:line="160" w:lineRule="exact"/>
        <w:rPr>
          <w:sz w:val="20"/>
          <w:szCs w:val="20"/>
          <w:color w:val="auto"/>
        </w:rPr>
      </w:pPr>
    </w:p>
    <w:p>
      <w:pPr>
        <w:jc w:val="both"/>
        <w:ind w:left="620" w:right="719" w:firstLine="256"/>
        <w:spacing w:after="0" w:line="248" w:lineRule="auto"/>
        <w:rPr>
          <w:sz w:val="20"/>
          <w:szCs w:val="20"/>
          <w:color w:val="auto"/>
        </w:rPr>
      </w:pPr>
      <w:r>
        <w:rPr>
          <w:rFonts w:ascii="Arial" w:cs="Arial" w:eastAsia="Arial" w:hAnsi="Arial"/>
          <w:sz w:val="14"/>
          <w:szCs w:val="14"/>
          <w:color w:val="auto"/>
        </w:rPr>
        <w:t>The stock-based compensation accounting guidance requires that compensation cost for all stock awards be calculated and recognized over the employees' service period, generally defined as the vesting period. For awards with graded-vesting, compensation cost is recognized on a straight-line basis over the requisite service period for the entire award. A Black-Scholes model is used to estimate the fair value of stock options.</w:t>
      </w:r>
    </w:p>
    <w:p>
      <w:pPr>
        <w:spacing w:after="0" w:line="138"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Loss Contingencies</w:t>
      </w:r>
    </w:p>
    <w:p>
      <w:pPr>
        <w:spacing w:after="0" w:line="188" w:lineRule="exact"/>
        <w:rPr>
          <w:sz w:val="20"/>
          <w:szCs w:val="20"/>
          <w:color w:val="auto"/>
        </w:rPr>
      </w:pPr>
    </w:p>
    <w:p>
      <w:pPr>
        <w:jc w:val="both"/>
        <w:ind w:left="620" w:right="719" w:firstLine="256"/>
        <w:spacing w:after="0" w:line="248" w:lineRule="auto"/>
        <w:rPr>
          <w:sz w:val="20"/>
          <w:szCs w:val="20"/>
          <w:color w:val="auto"/>
        </w:rPr>
      </w:pPr>
      <w:r>
        <w:rPr>
          <w:rFonts w:ascii="Arial" w:cs="Arial" w:eastAsia="Arial" w:hAnsi="Arial"/>
          <w:sz w:val="14"/>
          <w:szCs w:val="14"/>
          <w:color w:val="auto"/>
        </w:rPr>
        <w:t>Loss contingencies, including claims and legal actions arising in the normal course of business, are recorded as liabilities when the likelihood of loss is probable, and an amount or range of loss can be reasonably estimated. In the opinion of management, none of these actions, either individually or in the aggregate, is expected to have a material adverse effect on the Company’s Consolidated Financial Statements. See Note 18 “Loss Contingencies” for further details.</w:t>
      </w:r>
    </w:p>
    <w:p>
      <w:pPr>
        <w:spacing w:after="0" w:line="127"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Dividend Restrictions</w:t>
      </w:r>
    </w:p>
    <w:p>
      <w:pPr>
        <w:spacing w:after="0" w:line="188" w:lineRule="exact"/>
        <w:rPr>
          <w:sz w:val="20"/>
          <w:szCs w:val="20"/>
          <w:color w:val="auto"/>
        </w:rPr>
      </w:pPr>
    </w:p>
    <w:p>
      <w:pPr>
        <w:ind w:left="620" w:right="699" w:firstLine="256"/>
        <w:spacing w:after="0" w:line="252" w:lineRule="auto"/>
        <w:rPr>
          <w:sz w:val="20"/>
          <w:szCs w:val="20"/>
          <w:color w:val="auto"/>
        </w:rPr>
      </w:pPr>
      <w:r>
        <w:rPr>
          <w:rFonts w:ascii="Arial" w:cs="Arial" w:eastAsia="Arial" w:hAnsi="Arial"/>
          <w:sz w:val="14"/>
          <w:szCs w:val="14"/>
          <w:color w:val="auto"/>
        </w:rPr>
        <w:t>Banking regulations require maintaining certain capital levels and may limit the dividends paid by the Bank to the Company or by the Company to the shareholders.</w:t>
      </w:r>
    </w:p>
    <w:p>
      <w:pPr>
        <w:spacing w:after="0" w:line="135"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Fair Value Measurements</w:t>
      </w:r>
    </w:p>
    <w:p>
      <w:pPr>
        <w:spacing w:after="0" w:line="188" w:lineRule="exact"/>
        <w:rPr>
          <w:sz w:val="20"/>
          <w:szCs w:val="20"/>
          <w:color w:val="auto"/>
        </w:rPr>
      </w:pPr>
    </w:p>
    <w:p>
      <w:pPr>
        <w:jc w:val="both"/>
        <w:ind w:left="620" w:right="719" w:firstLine="256"/>
        <w:spacing w:after="0" w:line="245" w:lineRule="auto"/>
        <w:rPr>
          <w:sz w:val="20"/>
          <w:szCs w:val="20"/>
          <w:color w:val="auto"/>
        </w:rPr>
      </w:pPr>
      <w:r>
        <w:rPr>
          <w:rFonts w:ascii="Arial" w:cs="Arial" w:eastAsia="Arial" w:hAnsi="Arial"/>
          <w:sz w:val="14"/>
          <w:szCs w:val="14"/>
          <w:color w:val="auto"/>
        </w:rPr>
        <w:t>Fair values of financial instruments are estimated using relevant market information and other assumptions, as more fully disclosed in Note 12 “Fair Value Measurements”. Fair value estimates involve uncertainties and matters of significant judgment. Changes in assumptions or in market conditions could significantly affect the estimates.</w:t>
      </w:r>
    </w:p>
    <w:p>
      <w:pPr>
        <w:spacing w:after="0" w:line="140"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Derivative Instruments</w:t>
      </w:r>
    </w:p>
    <w:p>
      <w:pPr>
        <w:spacing w:after="0" w:line="188" w:lineRule="exact"/>
        <w:rPr>
          <w:sz w:val="20"/>
          <w:szCs w:val="20"/>
          <w:color w:val="auto"/>
        </w:rPr>
      </w:pPr>
    </w:p>
    <w:p>
      <w:pPr>
        <w:jc w:val="both"/>
        <w:ind w:left="620" w:right="719" w:firstLine="256"/>
        <w:spacing w:after="0" w:line="245" w:lineRule="auto"/>
        <w:rPr>
          <w:sz w:val="20"/>
          <w:szCs w:val="20"/>
          <w:color w:val="auto"/>
        </w:rPr>
      </w:pPr>
      <w:r>
        <w:rPr>
          <w:rFonts w:ascii="Arial" w:cs="Arial" w:eastAsia="Arial" w:hAnsi="Arial"/>
          <w:sz w:val="14"/>
          <w:szCs w:val="14"/>
          <w:color w:val="auto"/>
        </w:rPr>
        <w:t>Derivative financial instruments are carried at fair value and reflect the estimated amount that would have been received to terminate these contracts at the reporting date based upon pricing or valuation models applied to current market information.</w:t>
      </w:r>
    </w:p>
    <w:p>
      <w:pPr>
        <w:spacing w:after="0" w:line="158" w:lineRule="exact"/>
        <w:rPr>
          <w:sz w:val="20"/>
          <w:szCs w:val="20"/>
          <w:color w:val="auto"/>
        </w:rPr>
      </w:pPr>
    </w:p>
    <w:p>
      <w:pPr>
        <w:jc w:val="both"/>
        <w:ind w:left="620" w:right="699" w:firstLine="256"/>
        <w:spacing w:after="0" w:line="247" w:lineRule="auto"/>
        <w:rPr>
          <w:sz w:val="20"/>
          <w:szCs w:val="20"/>
          <w:color w:val="auto"/>
        </w:rPr>
      </w:pPr>
      <w:r>
        <w:rPr>
          <w:rFonts w:ascii="Arial" w:cs="Arial" w:eastAsia="Arial" w:hAnsi="Arial"/>
          <w:sz w:val="14"/>
          <w:szCs w:val="14"/>
          <w:color w:val="auto"/>
        </w:rPr>
        <w:t>The Company enters into interest rate swaps to provide commercial loan clients the ability to swap from a variable interest rate to a fixed rate. The Company enter into a floating-rate loan with a customer with a separately issued swap agreement allowing the customer to convert floating payments of the loan into a fixed interest rate. To mitigate risk, the Company will enter into a matching agreement with a third party to offset the exposure on the customer agreement. These swaps are not considered to be qualified hedging transactions and the unmatched unrealized gain or loss is recorded in other non-interest income.</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21</w:t>
      </w:r>
      <w:r>
        <w:rPr>
          <w:sz w:val="20"/>
          <w:szCs w:val="20"/>
          <w:color w:val="auto"/>
        </w:rPr>
        <w:tab/>
      </w:r>
      <w:r>
        <w:rPr>
          <w:rFonts w:ascii="Arial" w:cs="Arial" w:eastAsia="Arial" w:hAnsi="Arial"/>
          <w:sz w:val="14"/>
          <w:szCs w:val="14"/>
          <w:color w:val="auto"/>
        </w:rPr>
        <w:t>USCB Financial Holdings, Inc.</w:t>
        <w:tab/>
        <w:t>2022 10-K/A</w:t>
      </w:r>
    </w:p>
    <w:p>
      <w:pPr>
        <w:sectPr>
          <w:pgSz w:w="11900" w:h="16838" w:orient="portrait"/>
          <w:cols w:equalWidth="0" w:num="1">
            <w:col w:w="9019"/>
          </w:cols>
          <w:pgMar w:left="1440" w:top="490" w:right="1440" w:bottom="1440" w:gutter="0" w:footer="0" w:header="0"/>
        </w:sectPr>
      </w:pPr>
    </w:p>
    <w:bookmarkStart w:id="21" w:name="page22"/>
    <w:bookmarkEnd w:id="2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ind w:left="3140"/>
        <w:spacing w:after="0"/>
        <w:rPr>
          <w:sz w:val="20"/>
          <w:szCs w:val="20"/>
          <w:color w:val="auto"/>
        </w:rPr>
      </w:pPr>
      <w:r>
        <w:rPr>
          <w:rFonts w:ascii="Arial" w:cs="Arial" w:eastAsia="Arial" w:hAnsi="Arial"/>
          <w:sz w:val="13"/>
          <w:szCs w:val="13"/>
          <w:color w:val="auto"/>
        </w:rPr>
        <w:t>Notes to the Consolidated Financial Statements</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Revenue from Contracts with Customers</w:t>
      </w:r>
    </w:p>
    <w:p>
      <w:pPr>
        <w:spacing w:after="0" w:line="188" w:lineRule="exact"/>
        <w:rPr>
          <w:sz w:val="20"/>
          <w:szCs w:val="20"/>
          <w:color w:val="auto"/>
        </w:rPr>
      </w:pPr>
    </w:p>
    <w:p>
      <w:pPr>
        <w:jc w:val="both"/>
        <w:ind w:left="620" w:right="719" w:firstLine="256"/>
        <w:spacing w:after="0" w:line="246" w:lineRule="auto"/>
        <w:rPr>
          <w:sz w:val="20"/>
          <w:szCs w:val="20"/>
          <w:color w:val="auto"/>
        </w:rPr>
      </w:pPr>
      <w:r>
        <w:rPr>
          <w:rFonts w:ascii="Arial" w:cs="Arial" w:eastAsia="Arial" w:hAnsi="Arial"/>
          <w:sz w:val="14"/>
          <w:szCs w:val="14"/>
          <w:color w:val="auto"/>
        </w:rPr>
        <w:t>Revenue from contracts with customers is recognized in an amount that reflects the consideration the Company expects to receive for the services the Company provides to its customers. The main revenue earned by the Company from loans and investment securities are excluded from the accounting standard update “Revenue from Contracts with Customers”. Deposit and service charge fees, consisting of primarily monthly maintenance fees, wire fees, ATM interchange fees and other transaction-based fees, are the most significant types of revenue within the accounting standard update. Revenue is recognized when the service provided by the Company is complete. The aggregate amount of revenue within the scope of this standard that is received from sources other than deposit service charges and fees is not material.</w:t>
      </w:r>
    </w:p>
    <w:p>
      <w:pPr>
        <w:spacing w:after="0" w:line="129"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Cash Flow Statement</w:t>
      </w:r>
    </w:p>
    <w:p>
      <w:pPr>
        <w:spacing w:after="0" w:line="188" w:lineRule="exact"/>
        <w:rPr>
          <w:sz w:val="20"/>
          <w:szCs w:val="20"/>
          <w:color w:val="auto"/>
        </w:rPr>
      </w:pPr>
    </w:p>
    <w:p>
      <w:pPr>
        <w:jc w:val="both"/>
        <w:ind w:left="620" w:right="719" w:firstLine="256"/>
        <w:spacing w:after="0" w:line="245" w:lineRule="auto"/>
        <w:rPr>
          <w:sz w:val="20"/>
          <w:szCs w:val="20"/>
          <w:color w:val="auto"/>
        </w:rPr>
      </w:pPr>
      <w:r>
        <w:rPr>
          <w:rFonts w:ascii="Arial" w:cs="Arial" w:eastAsia="Arial" w:hAnsi="Arial"/>
          <w:sz w:val="14"/>
          <w:szCs w:val="14"/>
          <w:color w:val="auto"/>
        </w:rPr>
        <w:t>The Company reports the net activity rather than gross activity in the Consolidated Statements of Cash Flows. The net cash flows are reported for loans held for investment, accrued interest receivable, deferred tax asset, other assets, customer deposits, accrued interest payable, other liabilities, and proceeds from issuance of Class A common shares.</w:t>
      </w:r>
    </w:p>
    <w:p>
      <w:pPr>
        <w:spacing w:after="0" w:line="140"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Reclassifications</w:t>
      </w:r>
    </w:p>
    <w:p>
      <w:pPr>
        <w:spacing w:after="0" w:line="188" w:lineRule="exact"/>
        <w:rPr>
          <w:sz w:val="20"/>
          <w:szCs w:val="20"/>
          <w:color w:val="auto"/>
        </w:rPr>
      </w:pPr>
    </w:p>
    <w:p>
      <w:pPr>
        <w:jc w:val="both"/>
        <w:ind w:left="620" w:right="699" w:firstLine="256"/>
        <w:spacing w:after="0" w:line="252" w:lineRule="auto"/>
        <w:rPr>
          <w:sz w:val="20"/>
          <w:szCs w:val="20"/>
          <w:color w:val="auto"/>
        </w:rPr>
      </w:pPr>
      <w:r>
        <w:rPr>
          <w:rFonts w:ascii="Arial" w:cs="Arial" w:eastAsia="Arial" w:hAnsi="Arial"/>
          <w:sz w:val="14"/>
          <w:szCs w:val="14"/>
          <w:color w:val="auto"/>
        </w:rPr>
        <w:t>Certain amounts in the Consolidated Financial Statements have been reclassified to conform to the current presentation. Reclassifications had no impact on the net income or stockholders’ equity of the Company.</w:t>
      </w:r>
    </w:p>
    <w:p>
      <w:pPr>
        <w:spacing w:after="0" w:line="135"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Recently Issued Accounting Standards – Not Yet Adopted</w:t>
      </w:r>
    </w:p>
    <w:p>
      <w:pPr>
        <w:spacing w:after="0" w:line="188" w:lineRule="exact"/>
        <w:rPr>
          <w:sz w:val="20"/>
          <w:szCs w:val="20"/>
          <w:color w:val="auto"/>
        </w:rPr>
      </w:pPr>
    </w:p>
    <w:p>
      <w:pPr>
        <w:ind w:left="620"/>
        <w:spacing w:after="0"/>
        <w:rPr>
          <w:sz w:val="20"/>
          <w:szCs w:val="20"/>
          <w:color w:val="auto"/>
        </w:rPr>
      </w:pPr>
      <w:r>
        <w:rPr>
          <w:rFonts w:ascii="Arial" w:cs="Arial" w:eastAsia="Arial" w:hAnsi="Arial"/>
          <w:sz w:val="14"/>
          <w:szCs w:val="14"/>
          <w:color w:val="auto"/>
        </w:rPr>
        <w:t>Measurement of Credit Losses on Financial Instruments</w:t>
      </w:r>
    </w:p>
    <w:p>
      <w:pPr>
        <w:spacing w:after="0" w:line="159" w:lineRule="exact"/>
        <w:rPr>
          <w:sz w:val="20"/>
          <w:szCs w:val="20"/>
          <w:color w:val="auto"/>
        </w:rPr>
      </w:pPr>
    </w:p>
    <w:p>
      <w:pPr>
        <w:jc w:val="both"/>
        <w:ind w:left="620" w:right="699" w:firstLine="256"/>
        <w:spacing w:after="0" w:line="246" w:lineRule="auto"/>
        <w:rPr>
          <w:sz w:val="20"/>
          <w:szCs w:val="20"/>
          <w:color w:val="auto"/>
        </w:rPr>
      </w:pPr>
      <w:r>
        <w:rPr>
          <w:rFonts w:ascii="Arial" w:cs="Arial" w:eastAsia="Arial" w:hAnsi="Arial"/>
          <w:sz w:val="14"/>
          <w:szCs w:val="14"/>
          <w:color w:val="auto"/>
        </w:rPr>
        <w:t>In June 2016, the FASB issued ASU 2016-13, Financial Instruments - Credit Losses (Topic 326); Measurement of Credit Losses on Financial Instruments. This accounting standard update (“ASU” or “Update”) on accounting for current expected credit losses on financial instruments (“CECL”) will replace the current probable incurred loss impairment methodology under U.S. GAAP with a methodology that reflects the expected credit losses. The Update is intended to provide financial statement users with more decision-useful information about expected credit losses. This Update is applicable to the Company on a modified retrospective basis for interim and annual periods in fiscal years beginning after December 15, 2022. The Company adopted this ASU on January 1, 2023. To date, the Company executed a detailed implementation plan through the adoption date, implemented a software solution to assist with the CECL estimation process, and has completed parallel run models, and finished a data gap analysis.</w:t>
      </w:r>
    </w:p>
    <w:p>
      <w:pPr>
        <w:spacing w:after="0" w:line="158" w:lineRule="exact"/>
        <w:rPr>
          <w:sz w:val="20"/>
          <w:szCs w:val="20"/>
          <w:color w:val="auto"/>
        </w:rPr>
      </w:pPr>
    </w:p>
    <w:p>
      <w:pPr>
        <w:jc w:val="both"/>
        <w:ind w:left="620" w:right="699" w:firstLine="256"/>
        <w:spacing w:after="0" w:line="246" w:lineRule="auto"/>
        <w:rPr>
          <w:sz w:val="20"/>
          <w:szCs w:val="20"/>
          <w:color w:val="auto"/>
        </w:rPr>
      </w:pPr>
      <w:r>
        <w:rPr>
          <w:rFonts w:ascii="Arial" w:cs="Arial" w:eastAsia="Arial" w:hAnsi="Arial"/>
          <w:sz w:val="14"/>
          <w:szCs w:val="14"/>
          <w:color w:val="auto"/>
        </w:rPr>
        <w:t>The company expects its allowance for credit losses to increase in 2023 approximately $1.0 million to $2.0 million upon adoption of ASU 2016-13 compared to its allowance for loan losses at December 31, 2022. Reserve on unfunded commitments will also increase approximately $200 thousand to $600 thousand and it will be recognized as a liability on the Consolidated Balance Sheet. The Company reviewed it’s held-to-maturity debt securities and the allowance was deemed immaterial. The Company will initially apply the impact of the new guidance through a cumulative-effect adjustment to retained earnings as of January 1, 2023. Future adjustments to credit loss expectations will be recorded through the income statement as charges or credits to earnings.</w:t>
      </w:r>
    </w:p>
    <w:p>
      <w:pPr>
        <w:spacing w:after="0" w:line="147" w:lineRule="exact"/>
        <w:rPr>
          <w:sz w:val="20"/>
          <w:szCs w:val="20"/>
          <w:color w:val="auto"/>
        </w:rPr>
      </w:pPr>
    </w:p>
    <w:p>
      <w:pPr>
        <w:jc w:val="both"/>
        <w:ind w:left="620" w:right="719" w:firstLine="256"/>
        <w:spacing w:after="0" w:line="248" w:lineRule="auto"/>
        <w:rPr>
          <w:sz w:val="20"/>
          <w:szCs w:val="20"/>
          <w:color w:val="auto"/>
        </w:rPr>
      </w:pPr>
      <w:r>
        <w:rPr>
          <w:rFonts w:ascii="Arial" w:cs="Arial" w:eastAsia="Arial" w:hAnsi="Arial"/>
          <w:sz w:val="14"/>
          <w:szCs w:val="14"/>
          <w:color w:val="auto"/>
        </w:rPr>
        <w:t>The disclosed estimates are subject to further refinement upon finalization of the Company’s review of the calculations, assumptions, methodologies and judgments. Internal controls over financial reporting relating to these new processes have been designed and implemented and are being evaluated. The Company is in the final stages of completing the formal governance and approval process. The ongoing impact to the Company’s results of operations in future periods will be influenced by the loan portfolio composition and by macroeconomic conditions and forecasts at each reporting date. Adoption of the standard on the first quarter of 2023 is expected to result in higher volatility in the quarterly provision for credit losses when compared to the Company’s historical results under the incurred loss model.</w:t>
      </w:r>
    </w:p>
    <w:p>
      <w:pPr>
        <w:spacing w:after="0" w:line="148" w:lineRule="exact"/>
        <w:rPr>
          <w:sz w:val="20"/>
          <w:szCs w:val="20"/>
          <w:color w:val="auto"/>
        </w:rPr>
      </w:pPr>
    </w:p>
    <w:p>
      <w:pPr>
        <w:ind w:left="620"/>
        <w:spacing w:after="0"/>
        <w:rPr>
          <w:sz w:val="20"/>
          <w:szCs w:val="20"/>
          <w:color w:val="auto"/>
        </w:rPr>
      </w:pPr>
      <w:r>
        <w:rPr>
          <w:rFonts w:ascii="Arial" w:cs="Arial" w:eastAsia="Arial" w:hAnsi="Arial"/>
          <w:sz w:val="14"/>
          <w:szCs w:val="14"/>
          <w:color w:val="auto"/>
        </w:rPr>
        <w:t>T</w:t>
      </w:r>
      <w:r>
        <w:rPr>
          <w:rFonts w:ascii="Arial" w:cs="Arial" w:eastAsia="Arial" w:hAnsi="Arial"/>
          <w:sz w:val="14"/>
          <w:szCs w:val="14"/>
          <w:u w:val="single" w:color="auto"/>
          <w:color w:val="auto"/>
        </w:rPr>
        <w:t>roubled Debt Restructurings and Vintage Disclosures</w:t>
      </w:r>
    </w:p>
    <w:p>
      <w:pPr>
        <w:spacing w:after="0" w:line="170" w:lineRule="exact"/>
        <w:rPr>
          <w:sz w:val="20"/>
          <w:szCs w:val="20"/>
          <w:color w:val="auto"/>
        </w:rPr>
      </w:pPr>
    </w:p>
    <w:p>
      <w:pPr>
        <w:jc w:val="both"/>
        <w:ind w:left="620" w:right="679" w:firstLine="256"/>
        <w:spacing w:after="0" w:line="244" w:lineRule="auto"/>
        <w:rPr>
          <w:sz w:val="20"/>
          <w:szCs w:val="20"/>
          <w:color w:val="auto"/>
        </w:rPr>
      </w:pPr>
      <w:r>
        <w:rPr>
          <w:rFonts w:ascii="Arial" w:cs="Arial" w:eastAsia="Arial" w:hAnsi="Arial"/>
          <w:sz w:val="14"/>
          <w:szCs w:val="14"/>
          <w:color w:val="auto"/>
        </w:rPr>
        <w:t>In March 2022, the FASB issued ASU 2022-02, Financial Instruments – Credit Losses (Topic 326): Troubled Debt Restructurings and Vintage Disclosures. This accounting standard eliminates the accounting guidance for troubled debt restructurings by creditors in ASC 310-40, and it enhances disclosure requirements for some loan refinancings and restructurings involving borrowers experiencing financial difficulty. Specifically, rather than applying the troubled debt restructuring recognition and measurement guidance, creditors will evaluate all loan modifications to determine if they result in a new loan or a continuation of the existing loan. Losses associated with troubled debt restructurings should be</w:t>
      </w:r>
    </w:p>
    <w:p>
      <w:pPr>
        <w:spacing w:after="0" w:line="234"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22</w:t>
      </w:r>
      <w:r>
        <w:rPr>
          <w:sz w:val="20"/>
          <w:szCs w:val="20"/>
          <w:color w:val="auto"/>
        </w:rPr>
        <w:tab/>
      </w:r>
      <w:r>
        <w:rPr>
          <w:rFonts w:ascii="Arial" w:cs="Arial" w:eastAsia="Arial" w:hAnsi="Arial"/>
          <w:sz w:val="14"/>
          <w:szCs w:val="14"/>
          <w:color w:val="auto"/>
        </w:rPr>
        <w:t>USCB Financial Holdings, Inc.</w:t>
        <w:tab/>
        <w:t>2022 10-K/A</w:t>
      </w:r>
    </w:p>
    <w:p>
      <w:pPr>
        <w:sectPr>
          <w:pgSz w:w="11900" w:h="16838" w:orient="portrait"/>
          <w:cols w:equalWidth="0" w:num="1">
            <w:col w:w="9019"/>
          </w:cols>
          <w:pgMar w:left="1440" w:top="490" w:right="1440" w:bottom="1440" w:gutter="0" w:footer="0" w:header="0"/>
        </w:sectPr>
      </w:pPr>
    </w:p>
    <w:bookmarkStart w:id="22" w:name="page23"/>
    <w:bookmarkEnd w:id="2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80" w:lineRule="exact"/>
        <w:rPr>
          <w:sz w:val="20"/>
          <w:szCs w:val="20"/>
          <w:color w:val="auto"/>
        </w:rPr>
      </w:pPr>
    </w:p>
    <w:p>
      <w:pPr>
        <w:ind w:left="620" w:right="739"/>
        <w:spacing w:after="0" w:line="252" w:lineRule="auto"/>
        <w:rPr>
          <w:sz w:val="20"/>
          <w:szCs w:val="20"/>
          <w:color w:val="auto"/>
        </w:rPr>
      </w:pPr>
      <w:r>
        <w:rPr>
          <w:rFonts w:ascii="Arial" w:cs="Arial" w:eastAsia="Arial" w:hAnsi="Arial"/>
          <w:sz w:val="14"/>
          <w:szCs w:val="14"/>
          <w:color w:val="auto"/>
        </w:rPr>
        <w:t>incorporated in a creditor’s estimate of its allowance for credit losses. Additionally, public business entities are required to disclose current-period gross write-offs by year of origination for loan financing receivables and net investment in leases.</w:t>
      </w:r>
    </w:p>
    <w:p>
      <w:pPr>
        <w:spacing w:after="0" w:line="153" w:lineRule="exact"/>
        <w:rPr>
          <w:sz w:val="20"/>
          <w:szCs w:val="20"/>
          <w:color w:val="auto"/>
        </w:rPr>
      </w:pPr>
    </w:p>
    <w:p>
      <w:pPr>
        <w:ind w:left="620"/>
        <w:spacing w:after="0"/>
        <w:rPr>
          <w:sz w:val="20"/>
          <w:szCs w:val="20"/>
          <w:color w:val="auto"/>
        </w:rPr>
      </w:pPr>
      <w:r>
        <w:rPr>
          <w:rFonts w:ascii="Arial" w:cs="Arial" w:eastAsia="Arial" w:hAnsi="Arial"/>
          <w:sz w:val="14"/>
          <w:szCs w:val="14"/>
          <w:u w:val="single" w:color="auto"/>
          <w:color w:val="auto"/>
        </w:rPr>
        <w:t>Reference Rate Reform</w:t>
      </w:r>
    </w:p>
    <w:p>
      <w:pPr>
        <w:spacing w:after="0" w:line="170" w:lineRule="exact"/>
        <w:rPr>
          <w:sz w:val="20"/>
          <w:szCs w:val="20"/>
          <w:color w:val="auto"/>
        </w:rPr>
      </w:pPr>
    </w:p>
    <w:p>
      <w:pPr>
        <w:jc w:val="both"/>
        <w:ind w:left="620" w:right="699" w:firstLine="256"/>
        <w:spacing w:after="0" w:line="244" w:lineRule="auto"/>
        <w:rPr>
          <w:sz w:val="20"/>
          <w:szCs w:val="20"/>
          <w:color w:val="auto"/>
        </w:rPr>
      </w:pPr>
      <w:r>
        <w:rPr>
          <w:rFonts w:ascii="Arial" w:cs="Arial" w:eastAsia="Arial" w:hAnsi="Arial"/>
          <w:sz w:val="14"/>
          <w:szCs w:val="14"/>
          <w:color w:val="auto"/>
        </w:rPr>
        <w:t>In March 2020, the FASB issued ASU 2020-04, Reference Rate Reform (Topic 848), Facilitation of the Effects of Reference Rate Reform on Financial Reporting. In January 2021, the FASB clarified the scope of this guidance with ASU 2021-01 which provides optional guidance for a limited period of time to ease the burden in accounting for (or recognizing the effects of) reference rate reform on financial reporting. This ASU is effective March 12, 2020 through December 31, 2024. The Company is evaluating the impact of this ASU and has not yet determined whether LIBOR transition and this ASU will have material effects on our business operations and consolidated financial statements.</w:t>
      </w:r>
    </w:p>
    <w:p>
      <w:pPr>
        <w:spacing w:after="0" w:line="142" w:lineRule="exact"/>
        <w:rPr>
          <w:sz w:val="20"/>
          <w:szCs w:val="20"/>
          <w:color w:val="auto"/>
        </w:rPr>
      </w:pPr>
    </w:p>
    <w:p>
      <w:pPr>
        <w:ind w:left="1020" w:hanging="378"/>
        <w:spacing w:after="0"/>
        <w:tabs>
          <w:tab w:leader="none" w:pos="1020" w:val="left"/>
        </w:tabs>
        <w:numPr>
          <w:ilvl w:val="0"/>
          <w:numId w:val="8"/>
        </w:numPr>
        <w:rPr>
          <w:rFonts w:ascii="Arial" w:cs="Arial" w:eastAsia="Arial" w:hAnsi="Arial"/>
          <w:sz w:val="14"/>
          <w:szCs w:val="14"/>
          <w:b w:val="1"/>
          <w:bCs w:val="1"/>
          <w:color w:val="auto"/>
        </w:rPr>
      </w:pPr>
      <w:r>
        <w:rPr>
          <w:rFonts w:ascii="Arial" w:cs="Arial" w:eastAsia="Arial" w:hAnsi="Arial"/>
          <w:sz w:val="14"/>
          <w:szCs w:val="14"/>
          <w:b w:val="1"/>
          <w:bCs w:val="1"/>
          <w:color w:val="auto"/>
        </w:rPr>
        <w:t>INVESTMENT SECURITIES</w:t>
      </w:r>
    </w:p>
    <w:p>
      <w:pPr>
        <w:spacing w:after="0" w:line="220" w:lineRule="exact"/>
        <w:rPr>
          <w:sz w:val="20"/>
          <w:szCs w:val="20"/>
          <w:color w:val="auto"/>
        </w:rPr>
      </w:pPr>
    </w:p>
    <w:p>
      <w:pPr>
        <w:ind w:left="640" w:right="719" w:firstLine="256"/>
        <w:spacing w:after="0" w:line="252" w:lineRule="auto"/>
        <w:rPr>
          <w:sz w:val="20"/>
          <w:szCs w:val="20"/>
          <w:color w:val="auto"/>
        </w:rPr>
      </w:pPr>
      <w:r>
        <w:rPr>
          <w:rFonts w:ascii="Arial" w:cs="Arial" w:eastAsia="Arial" w:hAnsi="Arial"/>
          <w:sz w:val="14"/>
          <w:szCs w:val="14"/>
          <w:color w:val="auto"/>
        </w:rPr>
        <w:t>The following tables present a summary of the amortized cost, unrealized or unrecognized gains and losses, and fair value of investment securities at the dates indicated (in thousands):</w:t>
      </w:r>
    </w:p>
    <w:p>
      <w:pPr>
        <w:spacing w:after="0" w:line="160" w:lineRule="exact"/>
        <w:rPr>
          <w:sz w:val="20"/>
          <w:szCs w:val="20"/>
          <w:color w:val="auto"/>
        </w:rPr>
      </w:pPr>
    </w:p>
    <w:tbl>
      <w:tblPr>
        <w:tblLayout w:type="fixed"/>
        <w:tblInd w:w="620" w:type="dxa"/>
        <w:tblCellMar>
          <w:top w:w="0" w:type="dxa"/>
          <w:left w:w="0" w:type="dxa"/>
          <w:bottom w:w="0" w:type="dxa"/>
          <w:right w:w="0" w:type="dxa"/>
        </w:tblCellMar>
      </w:tblPr>
      <w:tr>
        <w:trPr>
          <w:trHeight w:val="153"/>
        </w:trPr>
        <w:tc>
          <w:tcPr>
            <w:tcW w:w="4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7"/>
          </w:tcPr>
          <w:p>
            <w:pPr>
              <w:jc w:val="center"/>
              <w:spacing w:after="0"/>
              <w:rPr>
                <w:sz w:val="20"/>
                <w:szCs w:val="20"/>
                <w:color w:val="auto"/>
              </w:rPr>
            </w:pPr>
            <w:r>
              <w:rPr>
                <w:rFonts w:ascii="Arial" w:cs="Arial" w:eastAsia="Arial" w:hAnsi="Arial"/>
                <w:sz w:val="13"/>
                <w:szCs w:val="13"/>
                <w:b w:val="1"/>
                <w:bCs w:val="1"/>
                <w:color w:val="auto"/>
                <w:w w:val="99"/>
              </w:rPr>
              <w:t>December 31, 2022</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90"/>
        </w:trPr>
        <w:tc>
          <w:tcPr>
            <w:tcW w:w="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gridSpan w:val="2"/>
          </w:tcPr>
          <w:p>
            <w:pPr>
              <w:jc w:val="right"/>
              <w:ind w:right="76"/>
              <w:spacing w:after="0"/>
              <w:rPr>
                <w:sz w:val="20"/>
                <w:szCs w:val="20"/>
                <w:color w:val="auto"/>
              </w:rPr>
            </w:pPr>
            <w:r>
              <w:rPr>
                <w:rFonts w:ascii="Arial" w:cs="Arial" w:eastAsia="Arial" w:hAnsi="Arial"/>
                <w:sz w:val="13"/>
                <w:szCs w:val="13"/>
                <w:b w:val="1"/>
                <w:bCs w:val="1"/>
                <w:color w:val="auto"/>
              </w:rPr>
              <w:t>Amortized</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gridSpan w:val="2"/>
          </w:tcPr>
          <w:p>
            <w:pPr>
              <w:jc w:val="right"/>
              <w:ind w:right="76"/>
              <w:spacing w:after="0"/>
              <w:rPr>
                <w:sz w:val="20"/>
                <w:szCs w:val="20"/>
                <w:color w:val="auto"/>
              </w:rPr>
            </w:pPr>
            <w:r>
              <w:rPr>
                <w:rFonts w:ascii="Arial" w:cs="Arial" w:eastAsia="Arial" w:hAnsi="Arial"/>
                <w:sz w:val="13"/>
                <w:szCs w:val="13"/>
                <w:b w:val="1"/>
                <w:bCs w:val="1"/>
                <w:color w:val="auto"/>
              </w:rPr>
              <w:t>Unrealized</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2"/>
          </w:tcPr>
          <w:p>
            <w:pPr>
              <w:jc w:val="right"/>
              <w:ind w:right="116"/>
              <w:spacing w:after="0"/>
              <w:rPr>
                <w:sz w:val="20"/>
                <w:szCs w:val="20"/>
                <w:color w:val="auto"/>
              </w:rPr>
            </w:pPr>
            <w:r>
              <w:rPr>
                <w:rFonts w:ascii="Arial" w:cs="Arial" w:eastAsia="Arial" w:hAnsi="Arial"/>
                <w:sz w:val="13"/>
                <w:szCs w:val="13"/>
                <w:b w:val="1"/>
                <w:bCs w:val="1"/>
                <w:color w:val="auto"/>
              </w:rPr>
              <w:t>Unrealized</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53"/>
        </w:trPr>
        <w:tc>
          <w:tcPr>
            <w:tcW w:w="3080" w:type="dxa"/>
            <w:vAlign w:val="bottom"/>
            <w:gridSpan w:val="2"/>
          </w:tcPr>
          <w:p>
            <w:pPr>
              <w:spacing w:after="0"/>
              <w:rPr>
                <w:sz w:val="20"/>
                <w:szCs w:val="20"/>
                <w:color w:val="auto"/>
              </w:rPr>
            </w:pPr>
            <w:r>
              <w:rPr>
                <w:rFonts w:ascii="Arial" w:cs="Arial" w:eastAsia="Arial" w:hAnsi="Arial"/>
                <w:sz w:val="13"/>
                <w:szCs w:val="13"/>
                <w:b w:val="1"/>
                <w:bCs w:val="1"/>
                <w:color w:val="auto"/>
              </w:rPr>
              <w:t>Available-for-sale:</w:t>
            </w:r>
          </w:p>
        </w:tc>
        <w:tc>
          <w:tcPr>
            <w:tcW w:w="7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Cost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Gains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Losses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Borders>
              <w:bottom w:val="single" w:sz="8" w:color="auto"/>
            </w:tcBorders>
            <w:gridSpan w:val="2"/>
          </w:tcPr>
          <w:p>
            <w:pPr>
              <w:jc w:val="right"/>
              <w:ind w:right="96"/>
              <w:spacing w:after="0"/>
              <w:rPr>
                <w:sz w:val="20"/>
                <w:szCs w:val="20"/>
                <w:color w:val="auto"/>
              </w:rPr>
            </w:pPr>
            <w:r>
              <w:rPr>
                <w:rFonts w:ascii="Arial" w:cs="Arial" w:eastAsia="Arial" w:hAnsi="Arial"/>
                <w:sz w:val="13"/>
                <w:szCs w:val="13"/>
                <w:b w:val="1"/>
                <w:bCs w:val="1"/>
                <w:color w:val="auto"/>
              </w:rPr>
              <w:t>Fair Value</w:t>
            </w:r>
          </w:p>
        </w:tc>
        <w:tc>
          <w:tcPr>
            <w:tcW w:w="60" w:type="dxa"/>
            <w:vAlign w:val="bottom"/>
          </w:tcPr>
          <w:p>
            <w:pPr>
              <w:spacing w:after="0"/>
              <w:rPr>
                <w:sz w:val="13"/>
                <w:szCs w:val="13"/>
                <w:color w:val="auto"/>
              </w:rPr>
            </w:pPr>
          </w:p>
        </w:tc>
      </w:tr>
      <w:tr>
        <w:trPr>
          <w:trHeight w:val="140"/>
        </w:trPr>
        <w:tc>
          <w:tcPr>
            <w:tcW w:w="3080" w:type="dxa"/>
            <w:vAlign w:val="bottom"/>
            <w:gridSpan w:val="2"/>
          </w:tcPr>
          <w:p>
            <w:pPr>
              <w:spacing w:after="0" w:line="140" w:lineRule="exact"/>
              <w:rPr>
                <w:sz w:val="20"/>
                <w:szCs w:val="20"/>
                <w:color w:val="auto"/>
              </w:rPr>
            </w:pPr>
            <w:r>
              <w:rPr>
                <w:rFonts w:ascii="Arial" w:cs="Arial" w:eastAsia="Arial" w:hAnsi="Arial"/>
                <w:sz w:val="13"/>
                <w:szCs w:val="13"/>
                <w:color w:val="auto"/>
              </w:rPr>
              <w:t>U.S. Government Agency</w:t>
            </w:r>
          </w:p>
        </w:tc>
        <w:tc>
          <w:tcPr>
            <w:tcW w:w="840" w:type="dxa"/>
            <w:vAlign w:val="bottom"/>
            <w:gridSpan w:val="3"/>
          </w:tcPr>
          <w:p>
            <w:pPr>
              <w:jc w:val="right"/>
              <w:ind w:right="40"/>
              <w:spacing w:after="0" w:line="140"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10,177</w:t>
            </w:r>
          </w:p>
        </w:tc>
        <w:tc>
          <w:tcPr>
            <w:tcW w:w="60" w:type="dxa"/>
            <w:vAlign w:val="bottom"/>
          </w:tcPr>
          <w:p>
            <w:pPr>
              <w:spacing w:after="0"/>
              <w:rPr>
                <w:sz w:val="12"/>
                <w:szCs w:val="12"/>
                <w:color w:val="auto"/>
              </w:rPr>
            </w:pPr>
          </w:p>
        </w:tc>
        <w:tc>
          <w:tcPr>
            <w:tcW w:w="100" w:type="dxa"/>
            <w:vAlign w:val="bottom"/>
            <w:gridSpan w:val="3"/>
          </w:tcPr>
          <w:p>
            <w:pPr>
              <w:jc w:val="right"/>
              <w:ind w:right="40"/>
              <w:spacing w:after="0"/>
              <w:rPr>
                <w:sz w:val="20"/>
                <w:szCs w:val="20"/>
                <w:color w:val="auto"/>
              </w:rPr>
            </w:pPr>
            <w:r>
              <w:rPr>
                <w:rFonts w:ascii="Arial" w:cs="Arial" w:eastAsia="Arial" w:hAnsi="Arial"/>
                <w:sz w:val="10"/>
                <w:szCs w:val="10"/>
                <w:color w:val="auto"/>
                <w:w w:val="71"/>
              </w:rPr>
              <w:t>$</w:t>
            </w:r>
          </w:p>
        </w:tc>
        <w:tc>
          <w:tcPr>
            <w:tcW w:w="60" w:type="dxa"/>
            <w:vAlign w:val="bottom"/>
          </w:tcPr>
          <w:p>
            <w:pPr>
              <w:spacing w:after="0"/>
              <w:rPr>
                <w:sz w:val="12"/>
                <w:szCs w:val="12"/>
                <w:color w:val="auto"/>
              </w:rPr>
            </w:pPr>
          </w:p>
        </w:tc>
        <w:tc>
          <w:tcPr>
            <w:tcW w:w="7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gridSpan w:val="3"/>
          </w:tcPr>
          <w:p>
            <w:pPr>
              <w:jc w:val="center"/>
              <w:ind w:right="40"/>
              <w:spacing w:after="0" w:line="140" w:lineRule="exact"/>
              <w:rPr>
                <w:sz w:val="20"/>
                <w:szCs w:val="20"/>
                <w:color w:val="auto"/>
              </w:rPr>
            </w:pPr>
            <w:r>
              <w:rPr>
                <w:rFonts w:ascii="Arial" w:cs="Arial" w:eastAsia="Arial" w:hAnsi="Arial"/>
                <w:sz w:val="13"/>
                <w:szCs w:val="13"/>
                <w:color w:val="auto"/>
                <w:w w:val="82"/>
              </w:rPr>
              <w:t>$</w:t>
            </w:r>
          </w:p>
        </w:tc>
        <w:tc>
          <w:tcPr>
            <w:tcW w:w="60" w:type="dxa"/>
            <w:vAlign w:val="bottom"/>
          </w:tcPr>
          <w:p>
            <w:pPr>
              <w:spacing w:after="0"/>
              <w:rPr>
                <w:sz w:val="12"/>
                <w:szCs w:val="12"/>
                <w:color w:val="auto"/>
              </w:rPr>
            </w:pPr>
          </w:p>
        </w:tc>
        <w:tc>
          <w:tcPr>
            <w:tcW w:w="800" w:type="dxa"/>
            <w:vAlign w:val="bottom"/>
          </w:tcPr>
          <w:p>
            <w:pPr>
              <w:jc w:val="right"/>
              <w:spacing w:after="0" w:line="140" w:lineRule="exact"/>
              <w:rPr>
                <w:sz w:val="20"/>
                <w:szCs w:val="20"/>
                <w:color w:val="auto"/>
              </w:rPr>
            </w:pPr>
            <w:r>
              <w:rPr>
                <w:rFonts w:ascii="Arial" w:cs="Arial" w:eastAsia="Arial" w:hAnsi="Arial"/>
                <w:sz w:val="13"/>
                <w:szCs w:val="13"/>
                <w:color w:val="auto"/>
              </w:rPr>
              <w:t>(1,522)</w:t>
            </w:r>
          </w:p>
        </w:tc>
        <w:tc>
          <w:tcPr>
            <w:tcW w:w="20" w:type="dxa"/>
            <w:vAlign w:val="bottom"/>
          </w:tcPr>
          <w:p>
            <w:pPr>
              <w:spacing w:after="0"/>
              <w:rPr>
                <w:sz w:val="12"/>
                <w:szCs w:val="12"/>
                <w:color w:val="auto"/>
              </w:rPr>
            </w:pPr>
          </w:p>
        </w:tc>
        <w:tc>
          <w:tcPr>
            <w:tcW w:w="60" w:type="dxa"/>
            <w:vAlign w:val="bottom"/>
          </w:tcPr>
          <w:p>
            <w:pPr>
              <w:jc w:val="right"/>
              <w:spacing w:after="0" w:line="140" w:lineRule="exact"/>
              <w:rPr>
                <w:sz w:val="20"/>
                <w:szCs w:val="20"/>
                <w:color w:val="auto"/>
              </w:rPr>
            </w:pPr>
            <w:r>
              <w:rPr>
                <w:rFonts w:ascii="Arial" w:cs="Arial" w:eastAsia="Arial" w:hAnsi="Arial"/>
                <w:sz w:val="13"/>
                <w:szCs w:val="13"/>
                <w:color w:val="auto"/>
                <w:w w:val="82"/>
              </w:rPr>
              <w:t>$</w:t>
            </w:r>
          </w:p>
        </w:tc>
        <w:tc>
          <w:tcPr>
            <w:tcW w:w="120" w:type="dxa"/>
            <w:vAlign w:val="bottom"/>
          </w:tcPr>
          <w:p>
            <w:pPr>
              <w:spacing w:after="0"/>
              <w:rPr>
                <w:sz w:val="12"/>
                <w:szCs w:val="12"/>
                <w:color w:val="auto"/>
              </w:rPr>
            </w:pPr>
          </w:p>
        </w:tc>
        <w:tc>
          <w:tcPr>
            <w:tcW w:w="74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8,655</w:t>
            </w:r>
          </w:p>
        </w:tc>
        <w:tc>
          <w:tcPr>
            <w:tcW w:w="60" w:type="dxa"/>
            <w:vAlign w:val="bottom"/>
          </w:tcPr>
          <w:p>
            <w:pPr>
              <w:spacing w:after="0"/>
              <w:rPr>
                <w:sz w:val="12"/>
                <w:szCs w:val="12"/>
                <w:color w:val="auto"/>
              </w:rPr>
            </w:pPr>
          </w:p>
        </w:tc>
      </w:tr>
      <w:tr>
        <w:trPr>
          <w:trHeight w:val="179"/>
        </w:trPr>
        <w:tc>
          <w:tcPr>
            <w:tcW w:w="3080" w:type="dxa"/>
            <w:vAlign w:val="bottom"/>
            <w:gridSpan w:val="2"/>
          </w:tcPr>
          <w:p>
            <w:pPr>
              <w:spacing w:after="0"/>
              <w:rPr>
                <w:sz w:val="20"/>
                <w:szCs w:val="20"/>
                <w:color w:val="auto"/>
              </w:rPr>
            </w:pPr>
            <w:r>
              <w:rPr>
                <w:rFonts w:ascii="Arial" w:cs="Arial" w:eastAsia="Arial" w:hAnsi="Arial"/>
                <w:sz w:val="13"/>
                <w:szCs w:val="13"/>
                <w:color w:val="auto"/>
              </w:rPr>
              <w:t>Collateralized mortgage obligations</w:t>
            </w: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118,951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(23,410)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95,541</w:t>
            </w:r>
          </w:p>
        </w:tc>
        <w:tc>
          <w:tcPr>
            <w:tcW w:w="60" w:type="dxa"/>
            <w:vAlign w:val="bottom"/>
          </w:tcPr>
          <w:p>
            <w:pPr>
              <w:spacing w:after="0"/>
              <w:rPr>
                <w:sz w:val="15"/>
                <w:szCs w:val="15"/>
                <w:color w:val="auto"/>
              </w:rPr>
            </w:pPr>
          </w:p>
        </w:tc>
      </w:tr>
      <w:tr>
        <w:trPr>
          <w:trHeight w:val="173"/>
        </w:trPr>
        <w:tc>
          <w:tcPr>
            <w:tcW w:w="40" w:type="dxa"/>
            <w:vAlign w:val="bottom"/>
          </w:tcPr>
          <w:p>
            <w:pPr>
              <w:spacing w:after="0"/>
              <w:rPr>
                <w:sz w:val="15"/>
                <w:szCs w:val="15"/>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3"/>
                <w:szCs w:val="13"/>
                <w:color w:val="auto"/>
              </w:rPr>
              <w:t>Mortgage-backed securities - Residential</w:t>
            </w: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73,838</w:t>
            </w:r>
          </w:p>
        </w:tc>
        <w:tc>
          <w:tcPr>
            <w:tcW w:w="60" w:type="dxa"/>
            <w:vAlign w:val="bottom"/>
            <w:tcBorders>
              <w:left w:val="single" w:sz="8" w:color="CCEEFF"/>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left w:val="single" w:sz="8" w:color="CCEEFF"/>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(12,959)</w:t>
            </w:r>
          </w:p>
        </w:tc>
        <w:tc>
          <w:tcPr>
            <w:tcW w:w="20" w:type="dxa"/>
            <w:vAlign w:val="bottom"/>
            <w:shd w:val="clear" w:color="auto" w:fill="CCEEFF"/>
          </w:tcPr>
          <w:p>
            <w:pPr>
              <w:spacing w:after="0"/>
              <w:rPr>
                <w:sz w:val="15"/>
                <w:szCs w:val="15"/>
                <w:color w:val="auto"/>
              </w:rPr>
            </w:pPr>
          </w:p>
        </w:tc>
        <w:tc>
          <w:tcPr>
            <w:tcW w:w="60" w:type="dxa"/>
            <w:vAlign w:val="bottom"/>
            <w:tcBorders>
              <w:right w:val="single" w:sz="8" w:color="CCEEFF"/>
            </w:tcBorders>
            <w:shd w:val="clear" w:color="auto" w:fill="CCEEFF"/>
          </w:tcPr>
          <w:p>
            <w:pPr>
              <w:spacing w:after="0"/>
              <w:rPr>
                <w:sz w:val="15"/>
                <w:szCs w:val="15"/>
                <w:color w:val="auto"/>
              </w:rPr>
            </w:pPr>
          </w:p>
        </w:tc>
        <w:tc>
          <w:tcPr>
            <w:tcW w:w="120" w:type="dxa"/>
            <w:vAlign w:val="bottom"/>
            <w:tcBorders>
              <w:left w:val="single" w:sz="8" w:color="CCEEFF"/>
            </w:tcBorders>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60,879</w:t>
            </w:r>
          </w:p>
        </w:tc>
        <w:tc>
          <w:tcPr>
            <w:tcW w:w="60" w:type="dxa"/>
            <w:vAlign w:val="bottom"/>
            <w:tcBorders>
              <w:left w:val="single" w:sz="8" w:color="CCEEFF"/>
            </w:tcBorders>
            <w:shd w:val="clear" w:color="auto" w:fill="CCEEFF"/>
          </w:tcPr>
          <w:p>
            <w:pPr>
              <w:spacing w:after="0"/>
              <w:rPr>
                <w:sz w:val="15"/>
                <w:szCs w:val="15"/>
                <w:color w:val="auto"/>
              </w:rPr>
            </w:pPr>
          </w:p>
        </w:tc>
      </w:tr>
      <w:tr>
        <w:trPr>
          <w:trHeight w:val="171"/>
        </w:trPr>
        <w:tc>
          <w:tcPr>
            <w:tcW w:w="3080" w:type="dxa"/>
            <w:vAlign w:val="bottom"/>
            <w:gridSpan w:val="2"/>
          </w:tcPr>
          <w:p>
            <w:pPr>
              <w:spacing w:after="0"/>
              <w:rPr>
                <w:sz w:val="20"/>
                <w:szCs w:val="20"/>
                <w:color w:val="auto"/>
              </w:rPr>
            </w:pPr>
            <w:r>
              <w:rPr>
                <w:rFonts w:ascii="Arial" w:cs="Arial" w:eastAsia="Arial" w:hAnsi="Arial"/>
                <w:sz w:val="13"/>
                <w:szCs w:val="13"/>
                <w:color w:val="auto"/>
              </w:rPr>
              <w:t>Mortgage-backed securities - Commercial</w:t>
            </w: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32,244</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15</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(4,305)</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27,954</w:t>
            </w:r>
          </w:p>
        </w:tc>
        <w:tc>
          <w:tcPr>
            <w:tcW w:w="6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3"/>
                <w:szCs w:val="13"/>
                <w:color w:val="auto"/>
              </w:rPr>
              <w:t>Municipal securities</w:t>
            </w: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25,084</w:t>
            </w:r>
          </w:p>
        </w:tc>
        <w:tc>
          <w:tcPr>
            <w:tcW w:w="60" w:type="dxa"/>
            <w:vAlign w:val="bottom"/>
            <w:tcBorders>
              <w:lef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lef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(6,601)</w:t>
            </w:r>
          </w:p>
        </w:tc>
        <w:tc>
          <w:tcPr>
            <w:tcW w:w="2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18,483</w:t>
            </w:r>
          </w:p>
        </w:tc>
        <w:tc>
          <w:tcPr>
            <w:tcW w:w="60" w:type="dxa"/>
            <w:vAlign w:val="bottom"/>
            <w:tcBorders>
              <w:left w:val="single" w:sz="8" w:color="CCEEFF"/>
            </w:tcBorders>
            <w:shd w:val="clear" w:color="auto" w:fill="CCEEFF"/>
          </w:tcPr>
          <w:p>
            <w:pPr>
              <w:spacing w:after="0"/>
              <w:rPr>
                <w:sz w:val="14"/>
                <w:szCs w:val="14"/>
                <w:color w:val="auto"/>
              </w:rPr>
            </w:pPr>
          </w:p>
        </w:tc>
      </w:tr>
      <w:tr>
        <w:trPr>
          <w:trHeight w:val="171"/>
        </w:trPr>
        <w:tc>
          <w:tcPr>
            <w:tcW w:w="3080" w:type="dxa"/>
            <w:vAlign w:val="bottom"/>
            <w:gridSpan w:val="2"/>
          </w:tcPr>
          <w:p>
            <w:pPr>
              <w:spacing w:after="0"/>
              <w:rPr>
                <w:sz w:val="20"/>
                <w:szCs w:val="20"/>
                <w:color w:val="auto"/>
              </w:rPr>
            </w:pPr>
            <w:r>
              <w:rPr>
                <w:rFonts w:ascii="Arial" w:cs="Arial" w:eastAsia="Arial" w:hAnsi="Arial"/>
                <w:sz w:val="13"/>
                <w:szCs w:val="13"/>
                <w:color w:val="auto"/>
              </w:rPr>
              <w:t>Bank subordinated debt securities</w:t>
            </w: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15,964</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5</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(1,050)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14,919</w:t>
            </w:r>
          </w:p>
        </w:tc>
        <w:tc>
          <w:tcPr>
            <w:tcW w:w="6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3"/>
                <w:szCs w:val="13"/>
                <w:color w:val="auto"/>
              </w:rPr>
              <w:t>Corporate bonds</w:t>
            </w:r>
          </w:p>
        </w:tc>
        <w:tc>
          <w:tcPr>
            <w:tcW w:w="76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4,037</w:t>
            </w:r>
          </w:p>
        </w:tc>
        <w:tc>
          <w:tcPr>
            <w:tcW w:w="60" w:type="dxa"/>
            <w:vAlign w:val="bottom"/>
            <w:tcBorders>
              <w:lef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lef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(328)</w:t>
            </w:r>
          </w:p>
        </w:tc>
        <w:tc>
          <w:tcPr>
            <w:tcW w:w="2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left w:val="single" w:sz="8" w:color="CCEEFF"/>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3,709</w:t>
            </w:r>
          </w:p>
        </w:tc>
        <w:tc>
          <w:tcPr>
            <w:tcW w:w="60" w:type="dxa"/>
            <w:vAlign w:val="bottom"/>
            <w:tcBorders>
              <w:left w:val="single" w:sz="8" w:color="CCEEFF"/>
            </w:tcBorders>
            <w:shd w:val="clear" w:color="auto" w:fill="CCEEFF"/>
          </w:tcPr>
          <w:p>
            <w:pPr>
              <w:spacing w:after="0"/>
              <w:rPr>
                <w:sz w:val="14"/>
                <w:szCs w:val="14"/>
                <w:color w:val="auto"/>
              </w:rPr>
            </w:pPr>
          </w:p>
        </w:tc>
      </w:tr>
      <w:tr>
        <w:trPr>
          <w:trHeight w:val="201"/>
        </w:trPr>
        <w:tc>
          <w:tcPr>
            <w:tcW w:w="4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280,295</w:t>
            </w:r>
          </w:p>
        </w:tc>
        <w:tc>
          <w:tcPr>
            <w:tcW w:w="160" w:type="dxa"/>
            <w:vAlign w:val="bottom"/>
            <w:gridSpan w:val="4"/>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20</w:t>
            </w:r>
          </w:p>
        </w:tc>
        <w:tc>
          <w:tcPr>
            <w:tcW w:w="160" w:type="dxa"/>
            <w:vAlign w:val="bottom"/>
            <w:gridSpan w:val="4"/>
          </w:tcPr>
          <w:p>
            <w:pPr>
              <w:jc w:val="center"/>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(50,175)</w:t>
            </w:r>
          </w:p>
        </w:tc>
        <w:tc>
          <w:tcPr>
            <w:tcW w:w="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230,140</w:t>
            </w:r>
          </w:p>
        </w:tc>
        <w:tc>
          <w:tcPr>
            <w:tcW w:w="60" w:type="dxa"/>
            <w:vAlign w:val="bottom"/>
          </w:tcPr>
          <w:p>
            <w:pPr>
              <w:spacing w:after="0"/>
              <w:rPr>
                <w:sz w:val="17"/>
                <w:szCs w:val="17"/>
                <w:color w:val="auto"/>
              </w:rPr>
            </w:pPr>
          </w:p>
        </w:tc>
      </w:tr>
      <w:tr>
        <w:trPr>
          <w:trHeight w:val="121"/>
        </w:trPr>
        <w:tc>
          <w:tcPr>
            <w:tcW w:w="40" w:type="dxa"/>
            <w:vAlign w:val="bottom"/>
          </w:tcPr>
          <w:p>
            <w:pPr>
              <w:spacing w:after="0"/>
              <w:rPr>
                <w:sz w:val="10"/>
                <w:szCs w:val="10"/>
                <w:color w:val="auto"/>
              </w:rPr>
            </w:pPr>
          </w:p>
        </w:tc>
        <w:tc>
          <w:tcPr>
            <w:tcW w:w="3040" w:type="dxa"/>
            <w:vAlign w:val="bottom"/>
            <w:tcBorders>
              <w:top w:val="single" w:sz="8" w:color="CCEEFF"/>
            </w:tcBorders>
            <w:shd w:val="clear" w:color="auto" w:fill="CCEEFF"/>
          </w:tcPr>
          <w:p>
            <w:pPr>
              <w:spacing w:after="0" w:line="121" w:lineRule="exact"/>
              <w:rPr>
                <w:sz w:val="20"/>
                <w:szCs w:val="20"/>
                <w:color w:val="auto"/>
              </w:rPr>
            </w:pPr>
            <w:r>
              <w:rPr>
                <w:rFonts w:ascii="Arial" w:cs="Arial" w:eastAsia="Arial" w:hAnsi="Arial"/>
                <w:sz w:val="13"/>
                <w:szCs w:val="13"/>
                <w:b w:val="1"/>
                <w:bCs w:val="1"/>
                <w:color w:val="auto"/>
              </w:rPr>
              <w:t>Held-to-maturity:</w:t>
            </w:r>
          </w:p>
        </w:tc>
        <w:tc>
          <w:tcPr>
            <w:tcW w:w="7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left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left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right w:val="single" w:sz="8" w:color="CCEEFF"/>
            </w:tcBorders>
            <w:shd w:val="clear" w:color="auto" w:fill="CCEEFF"/>
          </w:tcPr>
          <w:p>
            <w:pPr>
              <w:spacing w:after="0"/>
              <w:rPr>
                <w:sz w:val="10"/>
                <w:szCs w:val="10"/>
                <w:color w:val="auto"/>
              </w:rPr>
            </w:pPr>
          </w:p>
        </w:tc>
        <w:tc>
          <w:tcPr>
            <w:tcW w:w="120" w:type="dxa"/>
            <w:vAlign w:val="bottom"/>
            <w:tcBorders>
              <w:top w:val="single" w:sz="8" w:color="auto"/>
              <w:left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left w:val="single" w:sz="8" w:color="CCEEFF"/>
            </w:tcBorders>
            <w:shd w:val="clear" w:color="auto" w:fill="CCEEFF"/>
          </w:tcPr>
          <w:p>
            <w:pPr>
              <w:spacing w:after="0"/>
              <w:rPr>
                <w:sz w:val="10"/>
                <w:szCs w:val="10"/>
                <w:color w:val="auto"/>
              </w:rPr>
            </w:pPr>
          </w:p>
        </w:tc>
      </w:tr>
      <w:tr>
        <w:trPr>
          <w:trHeight w:val="171"/>
        </w:trPr>
        <w:tc>
          <w:tcPr>
            <w:tcW w:w="3080" w:type="dxa"/>
            <w:vAlign w:val="bottom"/>
            <w:gridSpan w:val="2"/>
          </w:tcPr>
          <w:p>
            <w:pPr>
              <w:spacing w:after="0"/>
              <w:rPr>
                <w:sz w:val="20"/>
                <w:szCs w:val="20"/>
                <w:color w:val="auto"/>
              </w:rPr>
            </w:pPr>
            <w:r>
              <w:rPr>
                <w:rFonts w:ascii="Arial" w:cs="Arial" w:eastAsia="Arial" w:hAnsi="Arial"/>
                <w:sz w:val="13"/>
                <w:szCs w:val="13"/>
                <w:color w:val="auto"/>
              </w:rPr>
              <w:t>U.S. Government Agency</w:t>
            </w:r>
          </w:p>
        </w:tc>
        <w:tc>
          <w:tcPr>
            <w:tcW w:w="84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44,914</w:t>
            </w:r>
          </w:p>
        </w:tc>
        <w:tc>
          <w:tcPr>
            <w:tcW w:w="160" w:type="dxa"/>
            <w:vAlign w:val="bottom"/>
            <w:gridSpan w:val="4"/>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25</w:t>
            </w:r>
          </w:p>
        </w:tc>
        <w:tc>
          <w:tcPr>
            <w:tcW w:w="160" w:type="dxa"/>
            <w:vAlign w:val="bottom"/>
            <w:gridSpan w:val="4"/>
          </w:tcPr>
          <w:p>
            <w:pPr>
              <w:jc w:val="center"/>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(5,877)</w:t>
            </w:r>
          </w:p>
        </w:tc>
        <w:tc>
          <w:tcPr>
            <w:tcW w:w="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39,062</w:t>
            </w:r>
          </w:p>
        </w:tc>
        <w:tc>
          <w:tcPr>
            <w:tcW w:w="60" w:type="dxa"/>
            <w:vAlign w:val="bottom"/>
          </w:tcPr>
          <w:p>
            <w:pPr>
              <w:spacing w:after="0"/>
              <w:rPr>
                <w:sz w:val="14"/>
                <w:szCs w:val="14"/>
                <w:color w:val="auto"/>
              </w:rPr>
            </w:pPr>
          </w:p>
        </w:tc>
      </w:tr>
      <w:tr>
        <w:trPr>
          <w:trHeight w:val="149"/>
        </w:trPr>
        <w:tc>
          <w:tcPr>
            <w:tcW w:w="3080" w:type="dxa"/>
            <w:vAlign w:val="bottom"/>
            <w:gridSpan w:val="2"/>
          </w:tcPr>
          <w:p>
            <w:pPr>
              <w:spacing w:after="0"/>
              <w:rPr>
                <w:sz w:val="20"/>
                <w:szCs w:val="20"/>
                <w:color w:val="auto"/>
              </w:rPr>
            </w:pPr>
            <w:r>
              <w:rPr>
                <w:rFonts w:ascii="Arial" w:cs="Arial" w:eastAsia="Arial" w:hAnsi="Arial"/>
                <w:sz w:val="13"/>
                <w:szCs w:val="13"/>
                <w:color w:val="auto"/>
              </w:rPr>
              <w:t>U.S. Treasury</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9,841</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20" w:type="dxa"/>
            <w:vAlign w:val="bottom"/>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9,828</w:t>
            </w:r>
          </w:p>
        </w:tc>
        <w:tc>
          <w:tcPr>
            <w:tcW w:w="60" w:type="dxa"/>
            <w:vAlign w:val="bottom"/>
          </w:tcPr>
          <w:p>
            <w:pPr>
              <w:spacing w:after="0"/>
              <w:rPr>
                <w:sz w:val="12"/>
                <w:szCs w:val="12"/>
                <w:color w:val="auto"/>
              </w:rPr>
            </w:pPr>
          </w:p>
        </w:tc>
      </w:tr>
      <w:tr>
        <w:trPr>
          <w:trHeight w:val="192"/>
        </w:trPr>
        <w:tc>
          <w:tcPr>
            <w:tcW w:w="3080" w:type="dxa"/>
            <w:vAlign w:val="bottom"/>
            <w:gridSpan w:val="2"/>
          </w:tcPr>
          <w:p>
            <w:pPr>
              <w:spacing w:after="0"/>
              <w:rPr>
                <w:sz w:val="20"/>
                <w:szCs w:val="20"/>
                <w:color w:val="auto"/>
              </w:rPr>
            </w:pPr>
            <w:r>
              <w:rPr>
                <w:rFonts w:ascii="Arial" w:cs="Arial" w:eastAsia="Arial" w:hAnsi="Arial"/>
                <w:sz w:val="13"/>
                <w:szCs w:val="13"/>
                <w:color w:val="auto"/>
              </w:rPr>
              <w:t>Collateralized mortgage obligations</w:t>
            </w: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68,727</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28</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(7,830)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60,925</w:t>
            </w:r>
          </w:p>
        </w:tc>
        <w:tc>
          <w:tcPr>
            <w:tcW w:w="60" w:type="dxa"/>
            <w:vAlign w:val="bottom"/>
          </w:tcPr>
          <w:p>
            <w:pPr>
              <w:spacing w:after="0"/>
              <w:rPr>
                <w:sz w:val="16"/>
                <w:szCs w:val="16"/>
                <w:color w:val="auto"/>
              </w:rPr>
            </w:pPr>
          </w:p>
        </w:tc>
      </w:tr>
      <w:tr>
        <w:trPr>
          <w:trHeight w:val="151"/>
        </w:trPr>
        <w:tc>
          <w:tcPr>
            <w:tcW w:w="40" w:type="dxa"/>
            <w:vAlign w:val="bottom"/>
          </w:tcPr>
          <w:p>
            <w:pPr>
              <w:spacing w:after="0"/>
              <w:rPr>
                <w:sz w:val="13"/>
                <w:szCs w:val="13"/>
                <w:color w:val="auto"/>
              </w:rPr>
            </w:pPr>
          </w:p>
        </w:tc>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Mortgage-backed securities - Residential</w:t>
            </w:r>
          </w:p>
        </w:tc>
        <w:tc>
          <w:tcPr>
            <w:tcW w:w="7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42,685</w:t>
            </w:r>
          </w:p>
        </w:tc>
        <w:tc>
          <w:tcPr>
            <w:tcW w:w="60" w:type="dxa"/>
            <w:vAlign w:val="bottom"/>
            <w:tcBorders>
              <w:left w:val="single" w:sz="8" w:color="CCEEFF"/>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372</w:t>
            </w:r>
          </w:p>
        </w:tc>
        <w:tc>
          <w:tcPr>
            <w:tcW w:w="60" w:type="dxa"/>
            <w:vAlign w:val="bottom"/>
            <w:tcBorders>
              <w:left w:val="single" w:sz="8" w:color="CCEEFF"/>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(4,574)</w:t>
            </w: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right w:val="single" w:sz="8" w:color="CCEEFF"/>
            </w:tcBorders>
            <w:shd w:val="clear" w:color="auto" w:fill="CCEEFF"/>
          </w:tcPr>
          <w:p>
            <w:pPr>
              <w:spacing w:after="0"/>
              <w:rPr>
                <w:sz w:val="13"/>
                <w:szCs w:val="13"/>
                <w:color w:val="auto"/>
              </w:rPr>
            </w:pPr>
          </w:p>
        </w:tc>
        <w:tc>
          <w:tcPr>
            <w:tcW w:w="120" w:type="dxa"/>
            <w:vAlign w:val="bottom"/>
            <w:tcBorders>
              <w:left w:val="single" w:sz="8" w:color="CCEEFF"/>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38,483</w:t>
            </w:r>
          </w:p>
        </w:tc>
        <w:tc>
          <w:tcPr>
            <w:tcW w:w="60" w:type="dxa"/>
            <w:vAlign w:val="bottom"/>
            <w:tcBorders>
              <w:left w:val="single" w:sz="8" w:color="CCEEFF"/>
              <w:bottom w:val="single" w:sz="8" w:color="CCEEFF"/>
            </w:tcBorders>
            <w:shd w:val="clear" w:color="auto" w:fill="CCEEFF"/>
          </w:tcPr>
          <w:p>
            <w:pPr>
              <w:spacing w:after="0"/>
              <w:rPr>
                <w:sz w:val="13"/>
                <w:szCs w:val="13"/>
                <w:color w:val="auto"/>
              </w:rPr>
            </w:pPr>
          </w:p>
        </w:tc>
      </w:tr>
      <w:tr>
        <w:trPr>
          <w:trHeight w:val="163"/>
        </w:trPr>
        <w:tc>
          <w:tcPr>
            <w:tcW w:w="3080" w:type="dxa"/>
            <w:vAlign w:val="bottom"/>
            <w:gridSpan w:val="2"/>
          </w:tcPr>
          <w:p>
            <w:pPr>
              <w:spacing w:after="0"/>
              <w:rPr>
                <w:sz w:val="20"/>
                <w:szCs w:val="20"/>
                <w:color w:val="auto"/>
              </w:rPr>
            </w:pPr>
            <w:r>
              <w:rPr>
                <w:rFonts w:ascii="Arial" w:cs="Arial" w:eastAsia="Arial" w:hAnsi="Arial"/>
                <w:sz w:val="13"/>
                <w:szCs w:val="13"/>
                <w:color w:val="auto"/>
              </w:rPr>
              <w:t>Mortgage-backed securities - Commercial</w:t>
            </w: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11,442</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(665)</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10,777</w:t>
            </w:r>
          </w:p>
        </w:tc>
        <w:tc>
          <w:tcPr>
            <w:tcW w:w="60" w:type="dxa"/>
            <w:vAlign w:val="bottom"/>
          </w:tcPr>
          <w:p>
            <w:pPr>
              <w:spacing w:after="0"/>
              <w:rPr>
                <w:sz w:val="14"/>
                <w:szCs w:val="14"/>
                <w:color w:val="auto"/>
              </w:rPr>
            </w:pPr>
          </w:p>
        </w:tc>
      </w:tr>
      <w:tr>
        <w:trPr>
          <w:trHeight w:val="158"/>
        </w:trPr>
        <w:tc>
          <w:tcPr>
            <w:tcW w:w="40" w:type="dxa"/>
            <w:vAlign w:val="bottom"/>
          </w:tcPr>
          <w:p>
            <w:pPr>
              <w:spacing w:after="0"/>
              <w:rPr>
                <w:sz w:val="13"/>
                <w:szCs w:val="13"/>
                <w:color w:val="auto"/>
              </w:rPr>
            </w:pPr>
          </w:p>
        </w:tc>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Corporate bonds</w:t>
            </w:r>
          </w:p>
        </w:tc>
        <w:tc>
          <w:tcPr>
            <w:tcW w:w="7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11,090</w:t>
            </w:r>
          </w:p>
        </w:tc>
        <w:tc>
          <w:tcPr>
            <w:tcW w:w="60" w:type="dxa"/>
            <w:vAlign w:val="bottom"/>
            <w:tcBorders>
              <w:left w:val="single" w:sz="8" w:color="CCEEFF"/>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left w:val="single" w:sz="8" w:color="CCEEFF"/>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(1,077)</w:t>
            </w: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right w:val="single" w:sz="8" w:color="CCEEFF"/>
            </w:tcBorders>
            <w:shd w:val="clear" w:color="auto" w:fill="CCEEFF"/>
          </w:tcPr>
          <w:p>
            <w:pPr>
              <w:spacing w:after="0"/>
              <w:rPr>
                <w:sz w:val="13"/>
                <w:szCs w:val="13"/>
                <w:color w:val="auto"/>
              </w:rPr>
            </w:pPr>
          </w:p>
        </w:tc>
        <w:tc>
          <w:tcPr>
            <w:tcW w:w="120" w:type="dxa"/>
            <w:vAlign w:val="bottom"/>
            <w:tcBorders>
              <w:left w:val="single" w:sz="8" w:color="CCEEFF"/>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10,013</w:t>
            </w:r>
          </w:p>
        </w:tc>
        <w:tc>
          <w:tcPr>
            <w:tcW w:w="60" w:type="dxa"/>
            <w:vAlign w:val="bottom"/>
            <w:tcBorders>
              <w:left w:val="single" w:sz="8" w:color="CCEEFF"/>
              <w:bottom w:val="single" w:sz="8" w:color="CCEEFF"/>
            </w:tcBorders>
            <w:shd w:val="clear" w:color="auto" w:fill="CCEEFF"/>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gridSpan w:val="2"/>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gridSpan w:val="2"/>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gridSpan w:val="2"/>
          </w:tcPr>
          <w:p>
            <w:pPr>
              <w:spacing w:after="0" w:line="20" w:lineRule="exact"/>
              <w:rPr>
                <w:sz w:val="1"/>
                <w:szCs w:val="1"/>
                <w:color w:val="auto"/>
              </w:rPr>
            </w:pPr>
          </w:p>
        </w:tc>
        <w:tc>
          <w:tcPr>
            <w:tcW w:w="86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r>
      <w:tr>
        <w:trPr>
          <w:trHeight w:val="172"/>
        </w:trPr>
        <w:tc>
          <w:tcPr>
            <w:tcW w:w="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188,699</w:t>
            </w:r>
          </w:p>
        </w:tc>
        <w:tc>
          <w:tcPr>
            <w:tcW w:w="160" w:type="dxa"/>
            <w:vAlign w:val="bottom"/>
            <w:gridSpan w:val="4"/>
          </w:tcPr>
          <w:p>
            <w:pPr>
              <w:jc w:val="right"/>
              <w:ind w:right="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425</w:t>
            </w:r>
          </w:p>
        </w:tc>
        <w:tc>
          <w:tcPr>
            <w:tcW w:w="160" w:type="dxa"/>
            <w:vAlign w:val="bottom"/>
            <w:gridSpan w:val="4"/>
          </w:tcPr>
          <w:p>
            <w:pPr>
              <w:jc w:val="center"/>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(20,036)</w:t>
            </w:r>
          </w:p>
        </w:tc>
        <w:tc>
          <w:tcPr>
            <w:tcW w:w="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169,088</w:t>
            </w:r>
          </w:p>
        </w:tc>
        <w:tc>
          <w:tcPr>
            <w:tcW w:w="60" w:type="dxa"/>
            <w:vAlign w:val="bottom"/>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23</w:t>
      </w:r>
      <w:r>
        <w:rPr>
          <w:sz w:val="20"/>
          <w:szCs w:val="20"/>
          <w:color w:val="auto"/>
        </w:rPr>
        <w:tab/>
      </w:r>
      <w:r>
        <w:rPr>
          <w:rFonts w:ascii="Arial" w:cs="Arial" w:eastAsia="Arial" w:hAnsi="Arial"/>
          <w:sz w:val="14"/>
          <w:szCs w:val="14"/>
          <w:color w:val="auto"/>
        </w:rPr>
        <w:t>USCB Financial Holdings, Inc.</w:t>
        <w:tab/>
        <w:t>2022 10-K/A</w:t>
      </w:r>
    </w:p>
    <w:p>
      <w:pPr>
        <w:sectPr>
          <w:pgSz w:w="11900" w:h="16838" w:orient="portrait"/>
          <w:cols w:equalWidth="0" w:num="1">
            <w:col w:w="9019"/>
          </w:cols>
          <w:pgMar w:left="1440" w:top="490" w:right="1440" w:bottom="1440" w:gutter="0" w:footer="0" w:header="0"/>
        </w:sectPr>
      </w:pPr>
    </w:p>
    <w:bookmarkStart w:id="23" w:name="page24"/>
    <w:bookmarkEnd w:id="2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87" w:lineRule="exact"/>
        <w:rPr>
          <w:sz w:val="20"/>
          <w:szCs w:val="20"/>
          <w:color w:val="auto"/>
        </w:rPr>
      </w:pPr>
    </w:p>
    <w:tbl>
      <w:tblPr>
        <w:tblLayout w:type="fixed"/>
        <w:tblInd w:w="64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8"/>
          </w:tcPr>
          <w:p>
            <w:pPr>
              <w:jc w:val="right"/>
              <w:ind w:right="276"/>
              <w:spacing w:after="0"/>
              <w:rPr>
                <w:sz w:val="20"/>
                <w:szCs w:val="20"/>
                <w:color w:val="auto"/>
              </w:rPr>
            </w:pPr>
            <w:r>
              <w:rPr>
                <w:rFonts w:ascii="Arial" w:cs="Arial" w:eastAsia="Arial" w:hAnsi="Arial"/>
                <w:sz w:val="13"/>
                <w:szCs w:val="13"/>
                <w:b w:val="1"/>
                <w:bCs w:val="1"/>
                <w:color w:val="auto"/>
              </w:rPr>
              <w:t>December 31, 2021</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90"/>
        </w:trPr>
        <w:tc>
          <w:tcPr>
            <w:tcW w:w="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76"/>
              <w:spacing w:after="0"/>
              <w:rPr>
                <w:sz w:val="20"/>
                <w:szCs w:val="20"/>
                <w:color w:val="auto"/>
              </w:rPr>
            </w:pPr>
            <w:r>
              <w:rPr>
                <w:rFonts w:ascii="Arial" w:cs="Arial" w:eastAsia="Arial" w:hAnsi="Arial"/>
                <w:sz w:val="13"/>
                <w:szCs w:val="13"/>
                <w:b w:val="1"/>
                <w:bCs w:val="1"/>
                <w:color w:val="auto"/>
                <w:w w:val="94"/>
              </w:rPr>
              <w:t>Amortized</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gridSpan w:val="2"/>
          </w:tcPr>
          <w:p>
            <w:pPr>
              <w:jc w:val="right"/>
              <w:ind w:right="56"/>
              <w:spacing w:after="0"/>
              <w:rPr>
                <w:sz w:val="20"/>
                <w:szCs w:val="20"/>
                <w:color w:val="auto"/>
              </w:rPr>
            </w:pPr>
            <w:r>
              <w:rPr>
                <w:rFonts w:ascii="Arial" w:cs="Arial" w:eastAsia="Arial" w:hAnsi="Arial"/>
                <w:sz w:val="13"/>
                <w:szCs w:val="13"/>
                <w:b w:val="1"/>
                <w:bCs w:val="1"/>
                <w:color w:val="auto"/>
              </w:rPr>
              <w:t>Unrealized</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2"/>
          </w:tcPr>
          <w:p>
            <w:pPr>
              <w:jc w:val="right"/>
              <w:ind w:right="96"/>
              <w:spacing w:after="0"/>
              <w:rPr>
                <w:sz w:val="20"/>
                <w:szCs w:val="20"/>
                <w:color w:val="auto"/>
              </w:rPr>
            </w:pPr>
            <w:r>
              <w:rPr>
                <w:rFonts w:ascii="Arial" w:cs="Arial" w:eastAsia="Arial" w:hAnsi="Arial"/>
                <w:sz w:val="13"/>
                <w:szCs w:val="13"/>
                <w:b w:val="1"/>
                <w:bCs w:val="1"/>
                <w:color w:val="auto"/>
              </w:rPr>
              <w:t>Unrealized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53"/>
        </w:trPr>
        <w:tc>
          <w:tcPr>
            <w:tcW w:w="3800" w:type="dxa"/>
            <w:vAlign w:val="bottom"/>
            <w:gridSpan w:val="2"/>
          </w:tcPr>
          <w:p>
            <w:pPr>
              <w:spacing w:after="0"/>
              <w:rPr>
                <w:sz w:val="20"/>
                <w:szCs w:val="20"/>
                <w:color w:val="auto"/>
              </w:rPr>
            </w:pPr>
            <w:r>
              <w:rPr>
                <w:rFonts w:ascii="Arial" w:cs="Arial" w:eastAsia="Arial" w:hAnsi="Arial"/>
                <w:sz w:val="13"/>
                <w:szCs w:val="13"/>
                <w:b w:val="1"/>
                <w:bCs w:val="1"/>
                <w:color w:val="auto"/>
              </w:rPr>
              <w:t>Available-for-sale:</w:t>
            </w: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Cost</w:t>
            </w:r>
          </w:p>
        </w:tc>
        <w:tc>
          <w:tcPr>
            <w:tcW w:w="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Gains</w:t>
            </w:r>
          </w:p>
        </w:tc>
        <w:tc>
          <w:tcPr>
            <w:tcW w:w="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Losses</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Fair Value</w:t>
            </w:r>
          </w:p>
        </w:tc>
        <w:tc>
          <w:tcPr>
            <w:tcW w:w="20" w:type="dxa"/>
            <w:vAlign w:val="bottom"/>
          </w:tcPr>
          <w:p>
            <w:pPr>
              <w:spacing w:after="0"/>
              <w:rPr>
                <w:sz w:val="13"/>
                <w:szCs w:val="13"/>
                <w:color w:val="auto"/>
              </w:rPr>
            </w:pPr>
          </w:p>
        </w:tc>
      </w:tr>
      <w:tr>
        <w:trPr>
          <w:trHeight w:val="160"/>
        </w:trPr>
        <w:tc>
          <w:tcPr>
            <w:tcW w:w="3800" w:type="dxa"/>
            <w:vAlign w:val="bottom"/>
            <w:gridSpan w:val="2"/>
          </w:tcPr>
          <w:p>
            <w:pPr>
              <w:spacing w:after="0" w:line="140" w:lineRule="exact"/>
              <w:rPr>
                <w:sz w:val="20"/>
                <w:szCs w:val="20"/>
                <w:color w:val="auto"/>
              </w:rPr>
            </w:pPr>
            <w:r>
              <w:rPr>
                <w:rFonts w:ascii="Arial" w:cs="Arial" w:eastAsia="Arial" w:hAnsi="Arial"/>
                <w:sz w:val="13"/>
                <w:szCs w:val="13"/>
                <w:color w:val="auto"/>
              </w:rPr>
              <w:t>U.S. Government Agency</w:t>
            </w:r>
          </w:p>
        </w:tc>
        <w:tc>
          <w:tcPr>
            <w:tcW w:w="140" w:type="dxa"/>
            <w:vAlign w:val="bottom"/>
            <w:gridSpan w:val="3"/>
          </w:tcPr>
          <w:p>
            <w:pPr>
              <w:jc w:val="right"/>
              <w:ind w:right="60"/>
              <w:spacing w:after="0" w:line="140" w:lineRule="exact"/>
              <w:rPr>
                <w:sz w:val="20"/>
                <w:szCs w:val="20"/>
                <w:color w:val="auto"/>
              </w:rPr>
            </w:pPr>
            <w:r>
              <w:rPr>
                <w:rFonts w:ascii="Arial" w:cs="Arial" w:eastAsia="Arial" w:hAnsi="Arial"/>
                <w:sz w:val="13"/>
                <w:szCs w:val="13"/>
                <w:color w:val="auto"/>
                <w:w w:val="82"/>
              </w:rPr>
              <w:t>$</w:t>
            </w:r>
          </w:p>
        </w:tc>
        <w:tc>
          <w:tcPr>
            <w:tcW w:w="40" w:type="dxa"/>
            <w:vAlign w:val="bottom"/>
          </w:tcPr>
          <w:p>
            <w:pPr>
              <w:spacing w:after="0"/>
              <w:rPr>
                <w:sz w:val="13"/>
                <w:szCs w:val="13"/>
                <w:color w:val="auto"/>
              </w:rPr>
            </w:pPr>
          </w:p>
        </w:tc>
        <w:tc>
          <w:tcPr>
            <w:tcW w:w="7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10,564</w:t>
            </w:r>
          </w:p>
        </w:tc>
        <w:tc>
          <w:tcPr>
            <w:tcW w:w="80" w:type="dxa"/>
            <w:vAlign w:val="bottom"/>
            <w:gridSpan w:val="2"/>
          </w:tcPr>
          <w:p>
            <w:pPr>
              <w:spacing w:after="0"/>
              <w:rPr>
                <w:sz w:val="13"/>
                <w:szCs w:val="13"/>
                <w:color w:val="auto"/>
              </w:rPr>
            </w:pPr>
          </w:p>
        </w:tc>
        <w:tc>
          <w:tcPr>
            <w:tcW w:w="100" w:type="dxa"/>
            <w:vAlign w:val="bottom"/>
            <w:gridSpan w:val="3"/>
          </w:tcPr>
          <w:p>
            <w:pPr>
              <w:jc w:val="right"/>
              <w:ind w:right="20"/>
              <w:spacing w:after="0" w:line="140" w:lineRule="exact"/>
              <w:rPr>
                <w:sz w:val="20"/>
                <w:szCs w:val="20"/>
                <w:color w:val="auto"/>
              </w:rPr>
            </w:pPr>
            <w:r>
              <w:rPr>
                <w:rFonts w:ascii="Arial" w:cs="Arial" w:eastAsia="Arial" w:hAnsi="Arial"/>
                <w:sz w:val="13"/>
                <w:szCs w:val="13"/>
                <w:color w:val="auto"/>
                <w:w w:val="82"/>
              </w:rPr>
              <w:t>$</w:t>
            </w:r>
          </w:p>
        </w:tc>
        <w:tc>
          <w:tcPr>
            <w:tcW w:w="80" w:type="dxa"/>
            <w:vAlign w:val="bottom"/>
          </w:tcPr>
          <w:p>
            <w:pPr>
              <w:spacing w:after="0"/>
              <w:rPr>
                <w:sz w:val="13"/>
                <w:szCs w:val="13"/>
                <w:color w:val="auto"/>
              </w:rPr>
            </w:pPr>
          </w:p>
        </w:tc>
        <w:tc>
          <w:tcPr>
            <w:tcW w:w="7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6</w:t>
            </w:r>
          </w:p>
        </w:tc>
        <w:tc>
          <w:tcPr>
            <w:tcW w:w="80" w:type="dxa"/>
            <w:vAlign w:val="bottom"/>
            <w:gridSpan w:val="2"/>
          </w:tcPr>
          <w:p>
            <w:pPr>
              <w:spacing w:after="0"/>
              <w:rPr>
                <w:sz w:val="13"/>
                <w:szCs w:val="13"/>
                <w:color w:val="auto"/>
              </w:rPr>
            </w:pPr>
          </w:p>
        </w:tc>
        <w:tc>
          <w:tcPr>
            <w:tcW w:w="100" w:type="dxa"/>
            <w:vAlign w:val="bottom"/>
            <w:gridSpan w:val="3"/>
          </w:tcPr>
          <w:p>
            <w:pPr>
              <w:jc w:val="right"/>
              <w:ind w:right="20"/>
              <w:spacing w:after="0" w:line="140" w:lineRule="exact"/>
              <w:rPr>
                <w:sz w:val="20"/>
                <w:szCs w:val="20"/>
                <w:color w:val="auto"/>
              </w:rPr>
            </w:pPr>
            <w:r>
              <w:rPr>
                <w:rFonts w:ascii="Arial" w:cs="Arial" w:eastAsia="Arial" w:hAnsi="Arial"/>
                <w:sz w:val="13"/>
                <w:szCs w:val="13"/>
                <w:color w:val="auto"/>
                <w:w w:val="82"/>
              </w:rPr>
              <w:t>$</w:t>
            </w:r>
          </w:p>
        </w:tc>
        <w:tc>
          <w:tcPr>
            <w:tcW w:w="80" w:type="dxa"/>
            <w:vAlign w:val="bottom"/>
          </w:tcPr>
          <w:p>
            <w:pPr>
              <w:spacing w:after="0"/>
              <w:rPr>
                <w:sz w:val="13"/>
                <w:szCs w:val="13"/>
                <w:color w:val="auto"/>
              </w:rPr>
            </w:pPr>
          </w:p>
        </w:tc>
        <w:tc>
          <w:tcPr>
            <w:tcW w:w="760" w:type="dxa"/>
            <w:vAlign w:val="bottom"/>
            <w:tcBorders>
              <w:right w:val="single" w:sz="8" w:color="CCEEFF"/>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(50)</w:t>
            </w:r>
          </w:p>
        </w:tc>
        <w:tc>
          <w:tcPr>
            <w:tcW w:w="100" w:type="dxa"/>
            <w:vAlign w:val="bottom"/>
            <w:tcBorders>
              <w:right w:val="single" w:sz="8" w:color="CCEEFF"/>
            </w:tcBorders>
            <w:gridSpan w:val="2"/>
          </w:tcPr>
          <w:p>
            <w:pPr>
              <w:spacing w:after="0"/>
              <w:rPr>
                <w:sz w:val="13"/>
                <w:szCs w:val="13"/>
                <w:color w:val="auto"/>
              </w:rPr>
            </w:pPr>
          </w:p>
        </w:tc>
        <w:tc>
          <w:tcPr>
            <w:tcW w:w="80" w:type="dxa"/>
            <w:vAlign w:val="bottom"/>
          </w:tcPr>
          <w:p>
            <w:pPr>
              <w:jc w:val="right"/>
              <w:ind w:right="13"/>
              <w:spacing w:after="0"/>
              <w:rPr>
                <w:sz w:val="20"/>
                <w:szCs w:val="20"/>
                <w:color w:val="auto"/>
              </w:rPr>
            </w:pPr>
            <w:r>
              <w:rPr>
                <w:rFonts w:ascii="Arial" w:cs="Arial" w:eastAsia="Arial" w:hAnsi="Arial"/>
                <w:sz w:val="5"/>
                <w:szCs w:val="5"/>
                <w:color w:val="auto"/>
                <w:w w:val="70"/>
              </w:rPr>
              <w:t>$</w:t>
            </w:r>
          </w:p>
        </w:tc>
        <w:tc>
          <w:tcPr>
            <w:tcW w:w="60" w:type="dxa"/>
            <w:vAlign w:val="bottom"/>
          </w:tcPr>
          <w:p>
            <w:pPr>
              <w:spacing w:after="0"/>
              <w:rPr>
                <w:sz w:val="13"/>
                <w:szCs w:val="13"/>
                <w:color w:val="auto"/>
              </w:rPr>
            </w:pPr>
          </w:p>
        </w:tc>
        <w:tc>
          <w:tcPr>
            <w:tcW w:w="7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10,520</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1"/>
        </w:trPr>
        <w:tc>
          <w:tcPr>
            <w:tcW w:w="3800" w:type="dxa"/>
            <w:vAlign w:val="bottom"/>
            <w:gridSpan w:val="2"/>
          </w:tcPr>
          <w:p>
            <w:pPr>
              <w:spacing w:after="0"/>
              <w:rPr>
                <w:sz w:val="20"/>
                <w:szCs w:val="20"/>
                <w:color w:val="auto"/>
              </w:rPr>
            </w:pPr>
            <w:r>
              <w:rPr>
                <w:rFonts w:ascii="Arial" w:cs="Arial" w:eastAsia="Arial" w:hAnsi="Arial"/>
                <w:sz w:val="13"/>
                <w:szCs w:val="13"/>
                <w:color w:val="auto"/>
              </w:rPr>
              <w:t>Collateralized mortgage obligations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160,506</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22</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(3,699)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156,829</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Mortgage-backed securities - Residential</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120,643</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(2,029)</w:t>
            </w:r>
          </w:p>
        </w:tc>
        <w:tc>
          <w:tcPr>
            <w:tcW w:w="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118,842</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3800" w:type="dxa"/>
            <w:vAlign w:val="bottom"/>
            <w:gridSpan w:val="2"/>
          </w:tcPr>
          <w:p>
            <w:pPr>
              <w:spacing w:after="0"/>
              <w:rPr>
                <w:sz w:val="20"/>
                <w:szCs w:val="20"/>
                <w:color w:val="auto"/>
              </w:rPr>
            </w:pPr>
            <w:r>
              <w:rPr>
                <w:rFonts w:ascii="Arial" w:cs="Arial" w:eastAsia="Arial" w:hAnsi="Arial"/>
                <w:sz w:val="13"/>
                <w:szCs w:val="13"/>
                <w:color w:val="auto"/>
              </w:rPr>
              <w:t>Mortgage-backed securities - Commercial</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49,905</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820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(608)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50,117</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Municipal securities</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25,164</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(894)</w:t>
            </w:r>
          </w:p>
        </w:tc>
        <w:tc>
          <w:tcPr>
            <w:tcW w:w="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24,276</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3800" w:type="dxa"/>
            <w:vAlign w:val="bottom"/>
            <w:gridSpan w:val="2"/>
          </w:tcPr>
          <w:p>
            <w:pPr>
              <w:spacing w:after="0"/>
              <w:rPr>
                <w:sz w:val="20"/>
                <w:szCs w:val="20"/>
                <w:color w:val="auto"/>
              </w:rPr>
            </w:pPr>
            <w:r>
              <w:rPr>
                <w:rFonts w:ascii="Arial" w:cs="Arial" w:eastAsia="Arial" w:hAnsi="Arial"/>
                <w:sz w:val="13"/>
                <w:szCs w:val="13"/>
                <w:color w:val="auto"/>
              </w:rPr>
              <w:t>Bank subordinated debt securities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27,003</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1,418</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28,408</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Corporate bonds</w:t>
            </w: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12,068</w:t>
            </w:r>
          </w:p>
        </w:tc>
        <w:tc>
          <w:tcPr>
            <w:tcW w:w="6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482</w:t>
            </w:r>
          </w:p>
        </w:tc>
        <w:tc>
          <w:tcPr>
            <w:tcW w:w="6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right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12,550</w:t>
            </w:r>
          </w:p>
        </w:tc>
        <w:tc>
          <w:tcPr>
            <w:tcW w:w="6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201"/>
        </w:trPr>
        <w:tc>
          <w:tcPr>
            <w:tcW w:w="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40" w:type="dxa"/>
            <w:vAlign w:val="bottom"/>
            <w:gridSpan w:val="3"/>
          </w:tcPr>
          <w:p>
            <w:pPr>
              <w:jc w:val="right"/>
              <w:ind w:right="60"/>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405,853</w:t>
            </w:r>
          </w:p>
        </w:tc>
        <w:tc>
          <w:tcPr>
            <w:tcW w:w="180" w:type="dxa"/>
            <w:vAlign w:val="bottom"/>
            <w:gridSpan w:val="5"/>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2,982</w:t>
            </w:r>
          </w:p>
        </w:tc>
        <w:tc>
          <w:tcPr>
            <w:tcW w:w="180" w:type="dxa"/>
            <w:vAlign w:val="bottom"/>
            <w:gridSpan w:val="5"/>
          </w:tcPr>
          <w:p>
            <w:pPr>
              <w:jc w:val="right"/>
              <w:ind w:right="2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(7,293)</w:t>
            </w:r>
          </w:p>
        </w:tc>
        <w:tc>
          <w:tcPr>
            <w:tcW w:w="180" w:type="dxa"/>
            <w:vAlign w:val="bottom"/>
            <w:gridSpan w:val="3"/>
          </w:tcPr>
          <w:p>
            <w:pPr>
              <w:jc w:val="right"/>
              <w:ind w:right="13"/>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401,542</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21"/>
        </w:trPr>
        <w:tc>
          <w:tcPr>
            <w:tcW w:w="20" w:type="dxa"/>
            <w:vAlign w:val="bottom"/>
          </w:tcPr>
          <w:p>
            <w:pPr>
              <w:spacing w:after="0"/>
              <w:rPr>
                <w:sz w:val="10"/>
                <w:szCs w:val="10"/>
                <w:color w:val="auto"/>
              </w:rPr>
            </w:pPr>
          </w:p>
        </w:tc>
        <w:tc>
          <w:tcPr>
            <w:tcW w:w="3780" w:type="dxa"/>
            <w:vAlign w:val="bottom"/>
            <w:tcBorders>
              <w:top w:val="single" w:sz="8" w:color="CCEEFF"/>
            </w:tcBorders>
            <w:shd w:val="clear" w:color="auto" w:fill="CCEEFF"/>
          </w:tcPr>
          <w:p>
            <w:pPr>
              <w:ind w:left="20"/>
              <w:spacing w:after="0" w:line="121" w:lineRule="exact"/>
              <w:rPr>
                <w:sz w:val="20"/>
                <w:szCs w:val="20"/>
                <w:color w:val="auto"/>
              </w:rPr>
            </w:pPr>
            <w:r>
              <w:rPr>
                <w:rFonts w:ascii="Arial" w:cs="Arial" w:eastAsia="Arial" w:hAnsi="Arial"/>
                <w:sz w:val="13"/>
                <w:szCs w:val="13"/>
                <w:b w:val="1"/>
                <w:bCs w:val="1"/>
                <w:color w:val="auto"/>
              </w:rPr>
              <w:t>Held-to-maturity:</w:t>
            </w: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right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right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r>
      <w:tr>
        <w:trPr>
          <w:trHeight w:val="171"/>
        </w:trPr>
        <w:tc>
          <w:tcPr>
            <w:tcW w:w="3800" w:type="dxa"/>
            <w:vAlign w:val="bottom"/>
            <w:gridSpan w:val="2"/>
          </w:tcPr>
          <w:p>
            <w:pPr>
              <w:spacing w:after="0"/>
              <w:rPr>
                <w:sz w:val="20"/>
                <w:szCs w:val="20"/>
                <w:color w:val="auto"/>
              </w:rPr>
            </w:pPr>
            <w:r>
              <w:rPr>
                <w:rFonts w:ascii="Arial" w:cs="Arial" w:eastAsia="Arial" w:hAnsi="Arial"/>
                <w:sz w:val="13"/>
                <w:szCs w:val="13"/>
                <w:color w:val="auto"/>
              </w:rPr>
              <w:t>U.S. Government Agency</w:t>
            </w:r>
          </w:p>
        </w:tc>
        <w:tc>
          <w:tcPr>
            <w:tcW w:w="140" w:type="dxa"/>
            <w:vAlign w:val="bottom"/>
            <w:gridSpan w:val="3"/>
          </w:tcPr>
          <w:p>
            <w:pPr>
              <w:jc w:val="right"/>
              <w:ind w:right="60"/>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34,505</w:t>
            </w:r>
          </w:p>
        </w:tc>
        <w:tc>
          <w:tcPr>
            <w:tcW w:w="180" w:type="dxa"/>
            <w:vAlign w:val="bottom"/>
            <w:gridSpan w:val="5"/>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14</w:t>
            </w:r>
          </w:p>
        </w:tc>
        <w:tc>
          <w:tcPr>
            <w:tcW w:w="180" w:type="dxa"/>
            <w:vAlign w:val="bottom"/>
            <w:gridSpan w:val="5"/>
          </w:tcPr>
          <w:p>
            <w:pPr>
              <w:jc w:val="right"/>
              <w:ind w:right="2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(615)</w:t>
            </w:r>
          </w:p>
        </w:tc>
        <w:tc>
          <w:tcPr>
            <w:tcW w:w="180" w:type="dxa"/>
            <w:vAlign w:val="bottom"/>
            <w:gridSpan w:val="3"/>
          </w:tcPr>
          <w:p>
            <w:pPr>
              <w:jc w:val="right"/>
              <w:ind w:right="13"/>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33,904</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1"/>
        </w:trPr>
        <w:tc>
          <w:tcPr>
            <w:tcW w:w="20" w:type="dxa"/>
            <w:vAlign w:val="bottom"/>
          </w:tcPr>
          <w:p>
            <w:pPr>
              <w:spacing w:after="0"/>
              <w:rPr>
                <w:sz w:val="13"/>
                <w:szCs w:val="13"/>
                <w:color w:val="auto"/>
              </w:rPr>
            </w:pPr>
          </w:p>
        </w:tc>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Collateralized mortgage obligations</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44,820</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(1,021)</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right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43,799</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r>
      <w:tr>
        <w:trPr>
          <w:trHeight w:val="171"/>
        </w:trPr>
        <w:tc>
          <w:tcPr>
            <w:tcW w:w="3800" w:type="dxa"/>
            <w:vAlign w:val="bottom"/>
            <w:gridSpan w:val="2"/>
          </w:tcPr>
          <w:p>
            <w:pPr>
              <w:spacing w:after="0"/>
              <w:rPr>
                <w:sz w:val="20"/>
                <w:szCs w:val="20"/>
                <w:color w:val="auto"/>
              </w:rPr>
            </w:pPr>
            <w:r>
              <w:rPr>
                <w:rFonts w:ascii="Arial" w:cs="Arial" w:eastAsia="Arial" w:hAnsi="Arial"/>
                <w:sz w:val="13"/>
                <w:szCs w:val="13"/>
                <w:color w:val="auto"/>
              </w:rPr>
              <w:t>Mortgage-backed securities - Residential</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26,920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(568)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26,352</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1"/>
        </w:trPr>
        <w:tc>
          <w:tcPr>
            <w:tcW w:w="20" w:type="dxa"/>
            <w:vAlign w:val="bottom"/>
          </w:tcPr>
          <w:p>
            <w:pPr>
              <w:spacing w:after="0"/>
              <w:rPr>
                <w:sz w:val="13"/>
                <w:szCs w:val="13"/>
                <w:color w:val="auto"/>
              </w:rPr>
            </w:pPr>
          </w:p>
        </w:tc>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Mortgage-backed securities - Commercial</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3,103</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right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3,013</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r>
      <w:tr>
        <w:trPr>
          <w:trHeight w:val="171"/>
        </w:trPr>
        <w:tc>
          <w:tcPr>
            <w:tcW w:w="3800" w:type="dxa"/>
            <w:vAlign w:val="bottom"/>
            <w:gridSpan w:val="2"/>
          </w:tcPr>
          <w:p>
            <w:pPr>
              <w:spacing w:after="0"/>
              <w:rPr>
                <w:sz w:val="20"/>
                <w:szCs w:val="20"/>
                <w:color w:val="auto"/>
              </w:rPr>
            </w:pPr>
            <w:r>
              <w:rPr>
                <w:rFonts w:ascii="Arial" w:cs="Arial" w:eastAsia="Arial" w:hAnsi="Arial"/>
                <w:sz w:val="13"/>
                <w:szCs w:val="13"/>
                <w:color w:val="auto"/>
              </w:rPr>
              <w:t>Corporate bonds</w:t>
            </w: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13,310</w:t>
            </w:r>
          </w:p>
        </w:tc>
        <w:tc>
          <w:tcPr>
            <w:tcW w:w="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(221)</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13,089</w:t>
            </w:r>
          </w:p>
        </w:tc>
        <w:tc>
          <w:tcPr>
            <w:tcW w:w="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780" w:type="dxa"/>
            <w:vAlign w:val="bottom"/>
            <w:shd w:val="clear" w:color="auto" w:fill="CCEEFF"/>
          </w:tcPr>
          <w:p>
            <w:pPr>
              <w:spacing w:after="0"/>
              <w:rPr>
                <w:sz w:val="14"/>
                <w:szCs w:val="14"/>
                <w:color w:val="auto"/>
              </w:rPr>
            </w:pPr>
          </w:p>
        </w:tc>
        <w:tc>
          <w:tcPr>
            <w:tcW w:w="1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w w:val="82"/>
              </w:rPr>
              <w:t>$</w:t>
            </w:r>
          </w:p>
        </w:tc>
        <w:tc>
          <w:tcPr>
            <w:tcW w:w="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122,658</w:t>
            </w:r>
          </w:p>
        </w:tc>
        <w:tc>
          <w:tcPr>
            <w:tcW w:w="80" w:type="dxa"/>
            <w:vAlign w:val="bottom"/>
            <w:gridSpan w:val="2"/>
            <w:shd w:val="clear" w:color="auto" w:fill="CCEEFF"/>
          </w:tcPr>
          <w:p>
            <w:pPr>
              <w:spacing w:after="0"/>
              <w:rPr>
                <w:sz w:val="14"/>
                <w:szCs w:val="14"/>
                <w:color w:val="auto"/>
              </w:rPr>
            </w:pPr>
          </w:p>
        </w:tc>
        <w:tc>
          <w:tcPr>
            <w:tcW w:w="1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w w:val="82"/>
              </w:rPr>
              <w:t>$</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80" w:type="dxa"/>
            <w:vAlign w:val="bottom"/>
            <w:gridSpan w:val="2"/>
            <w:shd w:val="clear" w:color="auto" w:fill="CCEEFF"/>
          </w:tcPr>
          <w:p>
            <w:pPr>
              <w:spacing w:after="0"/>
              <w:rPr>
                <w:sz w:val="14"/>
                <w:szCs w:val="14"/>
                <w:color w:val="auto"/>
              </w:rPr>
            </w:pPr>
          </w:p>
        </w:tc>
        <w:tc>
          <w:tcPr>
            <w:tcW w:w="1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w w:val="82"/>
              </w:rPr>
              <w:t>$</w:t>
            </w:r>
          </w:p>
        </w:tc>
        <w:tc>
          <w:tcPr>
            <w:tcW w:w="8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(2,515)</w:t>
            </w:r>
          </w:p>
        </w:tc>
        <w:tc>
          <w:tcPr>
            <w:tcW w:w="100" w:type="dxa"/>
            <w:vAlign w:val="bottom"/>
            <w:tcBorders>
              <w:right w:val="single" w:sz="8" w:color="CCEEFF"/>
            </w:tcBorders>
            <w:gridSpan w:val="2"/>
            <w:shd w:val="clear" w:color="auto" w:fill="CCEEFF"/>
          </w:tcPr>
          <w:p>
            <w:pPr>
              <w:spacing w:after="0"/>
              <w:rPr>
                <w:sz w:val="14"/>
                <w:szCs w:val="14"/>
                <w:color w:val="auto"/>
              </w:rPr>
            </w:pPr>
          </w:p>
        </w:tc>
        <w:tc>
          <w:tcPr>
            <w:tcW w:w="80" w:type="dxa"/>
            <w:vAlign w:val="bottom"/>
            <w:shd w:val="clear" w:color="auto" w:fill="CCEEFF"/>
          </w:tcPr>
          <w:p>
            <w:pPr>
              <w:jc w:val="right"/>
              <w:ind w:right="13"/>
              <w:spacing w:after="0"/>
              <w:rPr>
                <w:sz w:val="20"/>
                <w:szCs w:val="20"/>
                <w:color w:val="auto"/>
              </w:rPr>
            </w:pPr>
            <w:r>
              <w:rPr>
                <w:rFonts w:ascii="Arial" w:cs="Arial" w:eastAsia="Arial" w:hAnsi="Arial"/>
                <w:sz w:val="5"/>
                <w:szCs w:val="5"/>
                <w:color w:val="auto"/>
                <w:w w:val="70"/>
              </w:rPr>
              <w:t>$</w:t>
            </w: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120,157</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jc w:val="both"/>
        <w:ind w:left="640" w:right="679" w:firstLine="256"/>
        <w:spacing w:after="0" w:line="248" w:lineRule="auto"/>
        <w:rPr>
          <w:sz w:val="20"/>
          <w:szCs w:val="20"/>
          <w:color w:val="auto"/>
        </w:rPr>
      </w:pPr>
      <w:r>
        <w:rPr>
          <w:rFonts w:ascii="Arial" w:cs="Arial" w:eastAsia="Arial" w:hAnsi="Arial"/>
          <w:sz w:val="14"/>
          <w:szCs w:val="14"/>
          <w:color w:val="auto"/>
        </w:rPr>
        <w:t>For the year ended December 31, 2022, there were 26 investment securities that were transferred from available-for-sale (“AFS”) to held-to-maturity (“HTM”) with an amortized cost basis and fair value amount of $74.4 million and $63.8 million, respectively. On the date of transfer, these securities had a total net unrealized loss of $ 10.6 million which was included in accumulated other comprehensive income (loss).</w:t>
      </w:r>
    </w:p>
    <w:p>
      <w:pPr>
        <w:spacing w:after="0" w:line="156" w:lineRule="exact"/>
        <w:rPr>
          <w:sz w:val="20"/>
          <w:szCs w:val="20"/>
          <w:color w:val="auto"/>
        </w:rPr>
      </w:pPr>
    </w:p>
    <w:p>
      <w:pPr>
        <w:jc w:val="both"/>
        <w:ind w:left="640" w:right="699" w:firstLine="256"/>
        <w:spacing w:after="0" w:line="245" w:lineRule="auto"/>
        <w:rPr>
          <w:sz w:val="20"/>
          <w:szCs w:val="20"/>
          <w:color w:val="auto"/>
        </w:rPr>
      </w:pPr>
      <w:r>
        <w:rPr>
          <w:rFonts w:ascii="Arial" w:cs="Arial" w:eastAsia="Arial" w:hAnsi="Arial"/>
          <w:sz w:val="14"/>
          <w:szCs w:val="14"/>
          <w:color w:val="auto"/>
        </w:rPr>
        <w:t>Transfers of debt securities into the HTM category from the AFS category are made at fair value at the date of transfer. The unrealized gain or loss at the date of transfer is retained in accumulated other comprehensive income (“AOCI”) and in the carrying value of the held-to-maturity securities. Such amounts are amortized over the remaining life of the security. For the year ended December 31, 2022, total amortization out of AOCI for the net unrealized losses on securities transferred from AFS to HTM was $120 thousand and $108 thousand for year ended December 31, 2021.</w:t>
      </w:r>
    </w:p>
    <w:p>
      <w:pPr>
        <w:spacing w:after="0" w:line="160" w:lineRule="exact"/>
        <w:rPr>
          <w:sz w:val="20"/>
          <w:szCs w:val="20"/>
          <w:color w:val="auto"/>
        </w:rPr>
      </w:pPr>
    </w:p>
    <w:p>
      <w:pPr>
        <w:jc w:val="both"/>
        <w:ind w:left="640" w:right="699" w:firstLine="256"/>
        <w:spacing w:after="0" w:line="252" w:lineRule="auto"/>
        <w:rPr>
          <w:sz w:val="20"/>
          <w:szCs w:val="20"/>
          <w:color w:val="auto"/>
        </w:rPr>
      </w:pPr>
      <w:r>
        <w:rPr>
          <w:rFonts w:ascii="Arial" w:cs="Arial" w:eastAsia="Arial" w:hAnsi="Arial"/>
          <w:sz w:val="14"/>
          <w:szCs w:val="14"/>
          <w:color w:val="auto"/>
        </w:rPr>
        <w:t>The following table presents the proceeds, realized gross gains and realized gross losses on sales and calls of AFS debt securities for the years ended December 31, 2022 and 2021 (in thousands):</w:t>
      </w:r>
    </w:p>
    <w:p>
      <w:pPr>
        <w:spacing w:after="0" w:line="149" w:lineRule="exact"/>
        <w:rPr>
          <w:sz w:val="20"/>
          <w:szCs w:val="20"/>
          <w:color w:val="auto"/>
        </w:rPr>
      </w:pPr>
    </w:p>
    <w:tbl>
      <w:tblPr>
        <w:tblLayout w:type="fixed"/>
        <w:tblInd w:w="620" w:type="dxa"/>
        <w:tblCellMar>
          <w:top w:w="0" w:type="dxa"/>
          <w:left w:w="0" w:type="dxa"/>
          <w:bottom w:w="0" w:type="dxa"/>
          <w:right w:w="0" w:type="dxa"/>
        </w:tblCellMar>
      </w:tblPr>
      <w:tr>
        <w:trPr>
          <w:trHeight w:val="164"/>
        </w:trPr>
        <w:tc>
          <w:tcPr>
            <w:tcW w:w="3800" w:type="dxa"/>
            <w:vAlign w:val="bottom"/>
            <w:gridSpan w:val="2"/>
          </w:tcPr>
          <w:p>
            <w:pPr>
              <w:spacing w:after="0"/>
              <w:rPr>
                <w:sz w:val="20"/>
                <w:szCs w:val="20"/>
                <w:color w:val="auto"/>
              </w:rPr>
            </w:pPr>
            <w:r>
              <w:rPr>
                <w:rFonts w:ascii="Arial" w:cs="Arial" w:eastAsia="Arial" w:hAnsi="Arial"/>
                <w:sz w:val="13"/>
                <w:szCs w:val="13"/>
                <w:b w:val="1"/>
                <w:bCs w:val="1"/>
                <w:color w:val="auto"/>
              </w:rPr>
              <w:t>Available-for-sale:</w:t>
            </w:r>
          </w:p>
        </w:tc>
        <w:tc>
          <w:tcPr>
            <w:tcW w:w="14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2022</w:t>
            </w:r>
          </w:p>
        </w:tc>
        <w:tc>
          <w:tcPr>
            <w:tcW w:w="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16"/>
              <w:spacing w:after="0"/>
              <w:rPr>
                <w:sz w:val="20"/>
                <w:szCs w:val="20"/>
                <w:color w:val="auto"/>
              </w:rPr>
            </w:pPr>
            <w:r>
              <w:rPr>
                <w:rFonts w:ascii="Arial" w:cs="Arial" w:eastAsia="Arial" w:hAnsi="Arial"/>
                <w:sz w:val="13"/>
                <w:szCs w:val="13"/>
                <w:b w:val="1"/>
                <w:bCs w:val="1"/>
                <w:color w:val="auto"/>
              </w:rPr>
              <w:t>2021</w:t>
            </w:r>
          </w:p>
        </w:tc>
        <w:tc>
          <w:tcPr>
            <w:tcW w:w="20" w:type="dxa"/>
            <w:vAlign w:val="bottom"/>
          </w:tcPr>
          <w:p>
            <w:pPr>
              <w:spacing w:after="0"/>
              <w:rPr>
                <w:sz w:val="14"/>
                <w:szCs w:val="14"/>
                <w:color w:val="auto"/>
              </w:rPr>
            </w:pPr>
          </w:p>
        </w:tc>
      </w:tr>
      <w:tr>
        <w:trPr>
          <w:trHeight w:val="151"/>
        </w:trPr>
        <w:tc>
          <w:tcPr>
            <w:tcW w:w="40" w:type="dxa"/>
            <w:vAlign w:val="bottom"/>
          </w:tcPr>
          <w:p>
            <w:pPr>
              <w:spacing w:after="0"/>
              <w:rPr>
                <w:sz w:val="13"/>
                <w:szCs w:val="13"/>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3"/>
                <w:szCs w:val="13"/>
                <w:color w:val="auto"/>
              </w:rPr>
              <w:t>Proceeds from sales and call of securities</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60,649</w:t>
            </w:r>
          </w:p>
        </w:tc>
        <w:tc>
          <w:tcPr>
            <w:tcW w:w="2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51,974</w:t>
            </w:r>
          </w:p>
        </w:tc>
        <w:tc>
          <w:tcPr>
            <w:tcW w:w="20" w:type="dxa"/>
            <w:vAlign w:val="bottom"/>
            <w:shd w:val="clear" w:color="auto" w:fill="CCEEFF"/>
          </w:tcPr>
          <w:p>
            <w:pPr>
              <w:spacing w:after="0"/>
              <w:rPr>
                <w:sz w:val="13"/>
                <w:szCs w:val="13"/>
                <w:color w:val="auto"/>
              </w:rPr>
            </w:pPr>
          </w:p>
        </w:tc>
      </w:tr>
      <w:tr>
        <w:trPr>
          <w:trHeight w:val="171"/>
        </w:trPr>
        <w:tc>
          <w:tcPr>
            <w:tcW w:w="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700" w:type="dxa"/>
            <w:vAlign w:val="bottom"/>
            <w:gridSpan w:val="2"/>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gridSpan w:val="2"/>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3"/>
                <w:szCs w:val="13"/>
                <w:color w:val="auto"/>
              </w:rPr>
              <w:t>Gross Gains</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217</w:t>
            </w:r>
          </w:p>
        </w:tc>
        <w:tc>
          <w:tcPr>
            <w:tcW w:w="2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545</w:t>
            </w:r>
          </w:p>
        </w:tc>
        <w:tc>
          <w:tcPr>
            <w:tcW w:w="20" w:type="dxa"/>
            <w:vAlign w:val="bottom"/>
            <w:shd w:val="clear" w:color="auto" w:fill="CCEEFF"/>
          </w:tcPr>
          <w:p>
            <w:pPr>
              <w:spacing w:after="0"/>
              <w:rPr>
                <w:sz w:val="14"/>
                <w:szCs w:val="14"/>
                <w:color w:val="auto"/>
              </w:rPr>
            </w:pPr>
          </w:p>
        </w:tc>
      </w:tr>
      <w:tr>
        <w:trPr>
          <w:trHeight w:val="171"/>
        </w:trPr>
        <w:tc>
          <w:tcPr>
            <w:tcW w:w="3800" w:type="dxa"/>
            <w:vAlign w:val="bottom"/>
            <w:gridSpan w:val="2"/>
          </w:tcPr>
          <w:p>
            <w:pPr>
              <w:spacing w:after="0"/>
              <w:rPr>
                <w:sz w:val="20"/>
                <w:szCs w:val="20"/>
                <w:color w:val="auto"/>
              </w:rPr>
            </w:pPr>
            <w:r>
              <w:rPr>
                <w:rFonts w:ascii="Arial" w:cs="Arial" w:eastAsia="Arial" w:hAnsi="Arial"/>
                <w:sz w:val="13"/>
                <w:szCs w:val="13"/>
                <w:color w:val="auto"/>
              </w:rPr>
              <w:t>Gross Losses</w:t>
            </w:r>
          </w:p>
        </w:tc>
        <w:tc>
          <w:tcPr>
            <w:tcW w:w="14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(2,746)</w:t>
            </w:r>
          </w:p>
        </w:tc>
        <w:tc>
          <w:tcPr>
            <w:tcW w:w="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(331)</w:t>
            </w:r>
          </w:p>
        </w:tc>
        <w:tc>
          <w:tcPr>
            <w:tcW w:w="20" w:type="dxa"/>
            <w:vAlign w:val="bottom"/>
          </w:tcPr>
          <w:p>
            <w:pPr>
              <w:spacing w:after="0"/>
              <w:rPr>
                <w:sz w:val="14"/>
                <w:szCs w:val="14"/>
                <w:color w:val="auto"/>
              </w:rPr>
            </w:pPr>
          </w:p>
        </w:tc>
      </w:tr>
      <w:tr>
        <w:trPr>
          <w:trHeight w:val="161"/>
        </w:trPr>
        <w:tc>
          <w:tcPr>
            <w:tcW w:w="40" w:type="dxa"/>
            <w:vAlign w:val="bottom"/>
          </w:tcPr>
          <w:p>
            <w:pPr>
              <w:spacing w:after="0"/>
              <w:rPr>
                <w:sz w:val="14"/>
                <w:szCs w:val="14"/>
                <w:color w:val="auto"/>
              </w:rPr>
            </w:pPr>
          </w:p>
        </w:tc>
        <w:tc>
          <w:tcPr>
            <w:tcW w:w="37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Net realized gains (losses)</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(2,529)</w:t>
            </w:r>
          </w:p>
        </w:tc>
        <w:tc>
          <w:tcPr>
            <w:tcW w:w="2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w:t>
            </w:r>
          </w:p>
        </w:tc>
        <w:tc>
          <w:tcPr>
            <w:tcW w:w="20" w:type="dxa"/>
            <w:vAlign w:val="bottom"/>
            <w:shd w:val="clear" w:color="auto" w:fill="CCEEFF"/>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jc w:val="both"/>
        <w:ind w:left="640" w:right="699" w:firstLine="256"/>
        <w:spacing w:after="0" w:line="248" w:lineRule="auto"/>
        <w:rPr>
          <w:sz w:val="20"/>
          <w:szCs w:val="20"/>
          <w:color w:val="auto"/>
        </w:rPr>
      </w:pPr>
      <w:r>
        <w:rPr>
          <w:rFonts w:ascii="Arial" w:cs="Arial" w:eastAsia="Arial" w:hAnsi="Arial"/>
          <w:sz w:val="14"/>
          <w:szCs w:val="14"/>
          <w:color w:val="auto"/>
        </w:rPr>
        <w:t>The amortized cost and fair value of investment securities, by contractual maturity, are shown below for the date indicated (in thousands). Actual maturities may differ from contractual maturities because borrowers may have the right to call or prepay obligations with or without call or prepayment penalties. Securities not due at a single maturity date are shown separately.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24</w:t>
      </w:r>
      <w:r>
        <w:rPr>
          <w:sz w:val="20"/>
          <w:szCs w:val="20"/>
          <w:color w:val="auto"/>
        </w:rPr>
        <w:tab/>
      </w:r>
      <w:r>
        <w:rPr>
          <w:rFonts w:ascii="Arial" w:cs="Arial" w:eastAsia="Arial" w:hAnsi="Arial"/>
          <w:sz w:val="14"/>
          <w:szCs w:val="14"/>
          <w:color w:val="auto"/>
        </w:rPr>
        <w:t>USCB Financial Holdings, Inc.</w:t>
        <w:tab/>
        <w:t>2022 10-K/A</w:t>
      </w:r>
    </w:p>
    <w:p>
      <w:pPr>
        <w:sectPr>
          <w:pgSz w:w="11900" w:h="16838" w:orient="portrait"/>
          <w:cols w:equalWidth="0" w:num="1">
            <w:col w:w="9019"/>
          </w:cols>
          <w:pgMar w:left="1440" w:top="490" w:right="1440" w:bottom="1440" w:gutter="0" w:footer="0" w:header="0"/>
        </w:sectPr>
      </w:pPr>
    </w:p>
    <w:bookmarkStart w:id="24" w:name="page25"/>
    <w:bookmarkEnd w:id="2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65" w:lineRule="exact"/>
        <w:rPr>
          <w:sz w:val="20"/>
          <w:szCs w:val="20"/>
          <w:color w:val="auto"/>
        </w:rPr>
      </w:pPr>
    </w:p>
    <w:tbl>
      <w:tblPr>
        <w:tblLayout w:type="fixed"/>
        <w:tblInd w:w="620" w:type="dxa"/>
        <w:tblCellMar>
          <w:top w:w="0" w:type="dxa"/>
          <w:left w:w="0" w:type="dxa"/>
          <w:bottom w:w="0" w:type="dxa"/>
          <w:right w:w="0" w:type="dxa"/>
        </w:tblCellMar>
      </w:tblPr>
      <w:tr>
        <w:trPr>
          <w:trHeight w:val="172"/>
        </w:trPr>
        <w:tc>
          <w:tcPr>
            <w:tcW w:w="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316"/>
              <w:spacing w:after="0"/>
              <w:rPr>
                <w:sz w:val="20"/>
                <w:szCs w:val="20"/>
                <w:color w:val="auto"/>
              </w:rPr>
            </w:pPr>
            <w:r>
              <w:rPr>
                <w:rFonts w:ascii="Arial" w:cs="Arial" w:eastAsia="Arial" w:hAnsi="Arial"/>
                <w:sz w:val="13"/>
                <w:szCs w:val="13"/>
                <w:b w:val="1"/>
                <w:bCs w:val="1"/>
                <w:color w:val="auto"/>
              </w:rPr>
              <w:t>Available-for-sale</w:t>
            </w:r>
          </w:p>
        </w:tc>
        <w:tc>
          <w:tcPr>
            <w:tcW w:w="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336"/>
              <w:spacing w:after="0"/>
              <w:rPr>
                <w:sz w:val="20"/>
                <w:szCs w:val="20"/>
                <w:color w:val="auto"/>
              </w:rPr>
            </w:pPr>
            <w:r>
              <w:rPr>
                <w:rFonts w:ascii="Arial" w:cs="Arial" w:eastAsia="Arial" w:hAnsi="Arial"/>
                <w:sz w:val="13"/>
                <w:szCs w:val="13"/>
                <w:b w:val="1"/>
                <w:bCs w:val="1"/>
                <w:color w:val="auto"/>
              </w:rPr>
              <w:t>Held-to-maturity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56"/>
              <w:spacing w:after="0"/>
              <w:rPr>
                <w:sz w:val="20"/>
                <w:szCs w:val="20"/>
                <w:color w:val="auto"/>
              </w:rPr>
            </w:pPr>
            <w:r>
              <w:rPr>
                <w:rFonts w:ascii="Arial" w:cs="Arial" w:eastAsia="Arial" w:hAnsi="Arial"/>
                <w:sz w:val="13"/>
                <w:szCs w:val="13"/>
                <w:b w:val="1"/>
                <w:bCs w:val="1"/>
                <w:color w:val="auto"/>
              </w:rPr>
              <w:t>Amortized</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right"/>
              <w:ind w:right="56"/>
              <w:spacing w:after="0"/>
              <w:rPr>
                <w:sz w:val="20"/>
                <w:szCs w:val="20"/>
                <w:color w:val="auto"/>
              </w:rPr>
            </w:pPr>
            <w:r>
              <w:rPr>
                <w:rFonts w:ascii="Arial" w:cs="Arial" w:eastAsia="Arial" w:hAnsi="Arial"/>
                <w:sz w:val="13"/>
                <w:szCs w:val="13"/>
                <w:b w:val="1"/>
                <w:bCs w:val="1"/>
                <w:color w:val="auto"/>
              </w:rPr>
              <w:t>Amortized</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20" w:type="dxa"/>
            <w:vAlign w:val="bottom"/>
            <w:gridSpan w:val="2"/>
          </w:tcPr>
          <w:p>
            <w:pPr>
              <w:spacing w:after="0"/>
              <w:rPr>
                <w:sz w:val="20"/>
                <w:szCs w:val="20"/>
                <w:color w:val="auto"/>
              </w:rPr>
            </w:pPr>
            <w:r>
              <w:rPr>
                <w:rFonts w:ascii="Arial" w:cs="Arial" w:eastAsia="Arial" w:hAnsi="Arial"/>
                <w:sz w:val="13"/>
                <w:szCs w:val="13"/>
                <w:b w:val="1"/>
                <w:bCs w:val="1"/>
                <w:color w:val="auto"/>
              </w:rPr>
              <w:t>December 31, 2022:</w:t>
            </w:r>
          </w:p>
        </w:tc>
        <w:tc>
          <w:tcPr>
            <w:tcW w:w="100" w:type="dxa"/>
            <w:vAlign w:val="bottom"/>
          </w:tcPr>
          <w:p>
            <w:pPr>
              <w:spacing w:after="0"/>
              <w:rPr>
                <w:sz w:val="13"/>
                <w:szCs w:val="13"/>
                <w:color w:val="auto"/>
              </w:rPr>
            </w:pPr>
          </w:p>
        </w:tc>
        <w:tc>
          <w:tcPr>
            <w:tcW w:w="780" w:type="dxa"/>
            <w:vAlign w:val="bottom"/>
          </w:tcPr>
          <w:p>
            <w:pPr>
              <w:jc w:val="right"/>
              <w:ind w:right="236"/>
              <w:spacing w:after="0"/>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ind w:right="76"/>
              <w:spacing w:after="0"/>
              <w:rPr>
                <w:sz w:val="20"/>
                <w:szCs w:val="20"/>
                <w:color w:val="auto"/>
              </w:rPr>
            </w:pPr>
            <w:r>
              <w:rPr>
                <w:rFonts w:ascii="Arial" w:cs="Arial" w:eastAsia="Arial" w:hAnsi="Arial"/>
                <w:sz w:val="13"/>
                <w:szCs w:val="13"/>
                <w:b w:val="1"/>
                <w:bCs w:val="1"/>
                <w:color w:val="auto"/>
                <w:w w:val="99"/>
              </w:rPr>
              <w:t>Fair Value</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right"/>
              <w:ind w:right="236"/>
              <w:spacing w:after="0"/>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ind w:right="56"/>
              <w:spacing w:after="0"/>
              <w:rPr>
                <w:sz w:val="20"/>
                <w:szCs w:val="20"/>
                <w:color w:val="auto"/>
              </w:rPr>
            </w:pPr>
            <w:r>
              <w:rPr>
                <w:rFonts w:ascii="Arial" w:cs="Arial" w:eastAsia="Arial" w:hAnsi="Arial"/>
                <w:sz w:val="13"/>
                <w:szCs w:val="13"/>
                <w:b w:val="1"/>
                <w:bCs w:val="1"/>
                <w:color w:val="auto"/>
                <w:w w:val="99"/>
              </w:rPr>
              <w:t>Fair Value</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 w:type="dxa"/>
            <w:vAlign w:val="bottom"/>
            <w:tcBorders>
              <w:right w:val="single" w:sz="8" w:color="CCEEFF"/>
            </w:tcBorders>
          </w:tcPr>
          <w:p>
            <w:pPr>
              <w:spacing w:after="0" w:line="20" w:lineRule="exact"/>
              <w:rPr>
                <w:sz w:val="1"/>
                <w:szCs w:val="1"/>
                <w:color w:val="auto"/>
              </w:rPr>
            </w:pPr>
          </w:p>
        </w:tc>
        <w:tc>
          <w:tcPr>
            <w:tcW w:w="396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Due within one year</w:t>
            </w:r>
          </w:p>
        </w:tc>
        <w:tc>
          <w:tcPr>
            <w:tcW w:w="100" w:type="dxa"/>
            <w:vAlign w:val="bottom"/>
            <w:tcBorders>
              <w:left w:val="single" w:sz="8" w:color="CCEEFF"/>
            </w:tcBorders>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0" w:type="dxa"/>
            <w:vAlign w:val="bottom"/>
          </w:tcPr>
          <w:p>
            <w:pPr>
              <w:spacing w:after="0"/>
              <w:rPr>
                <w:sz w:val="13"/>
                <w:szCs w:val="13"/>
                <w:color w:val="auto"/>
              </w:rPr>
            </w:pPr>
          </w:p>
        </w:tc>
        <w:tc>
          <w:tcPr>
            <w:tcW w:w="3960" w:type="dxa"/>
            <w:vAlign w:val="bottom"/>
            <w:vMerge w:val="continue"/>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left w:val="single" w:sz="8" w:color="CCEEFF"/>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left w:val="single" w:sz="8" w:color="CCEEFF"/>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1,515</w:t>
            </w:r>
          </w:p>
        </w:tc>
        <w:tc>
          <w:tcPr>
            <w:tcW w:w="80" w:type="dxa"/>
            <w:vAlign w:val="bottom"/>
            <w:tcBorders>
              <w:left w:val="single" w:sz="8" w:color="CCEEFF"/>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jc w:val="right"/>
              <w:ind w:right="13"/>
              <w:spacing w:after="0"/>
              <w:rPr>
                <w:sz w:val="20"/>
                <w:szCs w:val="20"/>
                <w:color w:val="auto"/>
              </w:rPr>
            </w:pPr>
            <w:r>
              <w:rPr>
                <w:rFonts w:ascii="Arial" w:cs="Arial" w:eastAsia="Arial" w:hAnsi="Arial"/>
                <w:sz w:val="5"/>
                <w:szCs w:val="5"/>
                <w:color w:val="auto"/>
                <w:w w:val="70"/>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1,475</w:t>
            </w:r>
          </w:p>
        </w:tc>
        <w:tc>
          <w:tcPr>
            <w:tcW w:w="6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020" w:type="dxa"/>
            <w:vAlign w:val="bottom"/>
            <w:gridSpan w:val="2"/>
          </w:tcPr>
          <w:p>
            <w:pPr>
              <w:spacing w:after="0"/>
              <w:rPr>
                <w:sz w:val="20"/>
                <w:szCs w:val="20"/>
                <w:color w:val="auto"/>
              </w:rPr>
            </w:pPr>
            <w:r>
              <w:rPr>
                <w:rFonts w:ascii="Arial" w:cs="Arial" w:eastAsia="Arial" w:hAnsi="Arial"/>
                <w:sz w:val="13"/>
                <w:szCs w:val="13"/>
                <w:color w:val="auto"/>
              </w:rPr>
              <w:t>Due after one year through five years</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4,037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3,709</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9,575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8,539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3"/>
                <w:szCs w:val="13"/>
                <w:color w:val="auto"/>
              </w:rPr>
              <w:t>Due after five years through ten years</w:t>
            </w:r>
          </w:p>
        </w:tc>
        <w:tc>
          <w:tcPr>
            <w:tcW w:w="100" w:type="dxa"/>
            <w:vAlign w:val="bottom"/>
            <w:tcBorders>
              <w:left w:val="single" w:sz="8" w:color="CCEEFF"/>
            </w:tcBorders>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16,964</w:t>
            </w:r>
          </w:p>
        </w:tc>
        <w:tc>
          <w:tcPr>
            <w:tcW w:w="80" w:type="dxa"/>
            <w:vAlign w:val="bottom"/>
            <w:tcBorders>
              <w:left w:val="single" w:sz="8" w:color="CCEEFF"/>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15,722</w:t>
            </w:r>
          </w:p>
        </w:tc>
        <w:tc>
          <w:tcPr>
            <w:tcW w:w="80" w:type="dxa"/>
            <w:vAlign w:val="bottom"/>
            <w:tcBorders>
              <w:left w:val="single" w:sz="8" w:color="CCEEFF"/>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left w:val="single" w:sz="8" w:color="CCEEFF"/>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20" w:type="dxa"/>
            <w:vAlign w:val="bottom"/>
            <w:gridSpan w:val="2"/>
          </w:tcPr>
          <w:p>
            <w:pPr>
              <w:spacing w:after="0"/>
              <w:rPr>
                <w:sz w:val="20"/>
                <w:szCs w:val="20"/>
                <w:color w:val="auto"/>
              </w:rPr>
            </w:pPr>
            <w:r>
              <w:rPr>
                <w:rFonts w:ascii="Arial" w:cs="Arial" w:eastAsia="Arial" w:hAnsi="Arial"/>
                <w:sz w:val="13"/>
                <w:szCs w:val="13"/>
                <w:color w:val="auto"/>
              </w:rPr>
              <w:t>Due after ten years</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24,084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17,680</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4020" w:type="dxa"/>
            <w:vAlign w:val="bottom"/>
            <w:gridSpan w:val="2"/>
            <w:vMerge w:val="restart"/>
          </w:tcPr>
          <w:p>
            <w:pPr>
              <w:spacing w:after="0"/>
              <w:rPr>
                <w:sz w:val="20"/>
                <w:szCs w:val="20"/>
                <w:color w:val="auto"/>
              </w:rPr>
            </w:pPr>
            <w:r>
              <w:rPr>
                <w:rFonts w:ascii="Arial" w:cs="Arial" w:eastAsia="Arial" w:hAnsi="Arial"/>
                <w:sz w:val="13"/>
                <w:szCs w:val="13"/>
                <w:color w:val="auto"/>
              </w:rPr>
              <w:t>U.S. Government Agency</w:t>
            </w: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4020" w:type="dxa"/>
            <w:vAlign w:val="bottom"/>
            <w:gridSpan w:val="2"/>
            <w:vMerge w:val="continue"/>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7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10,177</w:t>
            </w:r>
          </w:p>
        </w:tc>
        <w:tc>
          <w:tcPr>
            <w:tcW w:w="80" w:type="dxa"/>
            <w:vAlign w:val="bottom"/>
            <w:tcBorders>
              <w:right w:val="single" w:sz="8" w:color="CCEEFF"/>
            </w:tcBorders>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8,655</w:t>
            </w:r>
          </w:p>
        </w:tc>
        <w:tc>
          <w:tcPr>
            <w:tcW w:w="80" w:type="dxa"/>
            <w:vAlign w:val="bottom"/>
            <w:tcBorders>
              <w:right w:val="single" w:sz="8" w:color="CCEEFF"/>
            </w:tcBorders>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44,914</w:t>
            </w:r>
          </w:p>
        </w:tc>
        <w:tc>
          <w:tcPr>
            <w:tcW w:w="80" w:type="dxa"/>
            <w:vAlign w:val="bottom"/>
            <w:tcBorders>
              <w:right w:val="single" w:sz="8" w:color="CCEEFF"/>
            </w:tcBorders>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39,061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20" w:type="dxa"/>
            <w:vAlign w:val="bottom"/>
            <w:gridSpan w:val="2"/>
          </w:tcPr>
          <w:p>
            <w:pPr>
              <w:spacing w:after="0"/>
              <w:rPr>
                <w:sz w:val="20"/>
                <w:szCs w:val="20"/>
                <w:color w:val="auto"/>
              </w:rPr>
            </w:pPr>
            <w:r>
              <w:rPr>
                <w:rFonts w:ascii="Arial" w:cs="Arial" w:eastAsia="Arial" w:hAnsi="Arial"/>
                <w:sz w:val="13"/>
                <w:szCs w:val="13"/>
                <w:color w:val="auto"/>
              </w:rPr>
              <w:t>U.S. Treasury</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9,841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9,828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3"/>
                <w:szCs w:val="13"/>
                <w:color w:val="auto"/>
              </w:rPr>
              <w:t>Collateralized mortgage obligations</w:t>
            </w:r>
          </w:p>
        </w:tc>
        <w:tc>
          <w:tcPr>
            <w:tcW w:w="100" w:type="dxa"/>
            <w:vAlign w:val="bottom"/>
            <w:tcBorders>
              <w:left w:val="single" w:sz="8" w:color="CCEEFF"/>
            </w:tcBorders>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118,951</w:t>
            </w:r>
          </w:p>
        </w:tc>
        <w:tc>
          <w:tcPr>
            <w:tcW w:w="80" w:type="dxa"/>
            <w:vAlign w:val="bottom"/>
            <w:tcBorders>
              <w:left w:val="single" w:sz="8" w:color="CCEEFF"/>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95,541</w:t>
            </w:r>
          </w:p>
        </w:tc>
        <w:tc>
          <w:tcPr>
            <w:tcW w:w="80" w:type="dxa"/>
            <w:vAlign w:val="bottom"/>
            <w:tcBorders>
              <w:left w:val="single" w:sz="8" w:color="CCEEFF"/>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68,727</w:t>
            </w:r>
          </w:p>
        </w:tc>
        <w:tc>
          <w:tcPr>
            <w:tcW w:w="80" w:type="dxa"/>
            <w:vAlign w:val="bottom"/>
            <w:tcBorders>
              <w:left w:val="single" w:sz="8" w:color="CCEEFF"/>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60,925</w:t>
            </w:r>
          </w:p>
        </w:tc>
        <w:tc>
          <w:tcPr>
            <w:tcW w:w="6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20" w:type="dxa"/>
            <w:vAlign w:val="bottom"/>
            <w:gridSpan w:val="2"/>
          </w:tcPr>
          <w:p>
            <w:pPr>
              <w:spacing w:after="0"/>
              <w:rPr>
                <w:sz w:val="20"/>
                <w:szCs w:val="20"/>
                <w:color w:val="auto"/>
              </w:rPr>
            </w:pPr>
            <w:r>
              <w:rPr>
                <w:rFonts w:ascii="Arial" w:cs="Arial" w:eastAsia="Arial" w:hAnsi="Arial"/>
                <w:sz w:val="13"/>
                <w:szCs w:val="13"/>
                <w:color w:val="auto"/>
              </w:rPr>
              <w:t>Mortgage-backed securities - Residential</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73,838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60,879</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42,685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38,483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3"/>
                <w:szCs w:val="13"/>
                <w:color w:val="auto"/>
              </w:rPr>
              <w:t>Mortgage-backed securities - Commercial</w:t>
            </w:r>
          </w:p>
        </w:tc>
        <w:tc>
          <w:tcPr>
            <w:tcW w:w="100" w:type="dxa"/>
            <w:vAlign w:val="bottom"/>
            <w:tcBorders>
              <w:left w:val="single" w:sz="8" w:color="CCEEFF"/>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32,244</w:t>
            </w:r>
          </w:p>
        </w:tc>
        <w:tc>
          <w:tcPr>
            <w:tcW w:w="80" w:type="dxa"/>
            <w:vAlign w:val="bottom"/>
            <w:tcBorders>
              <w:left w:val="single" w:sz="8" w:color="CCEEFF"/>
              <w:right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27,954</w:t>
            </w:r>
          </w:p>
        </w:tc>
        <w:tc>
          <w:tcPr>
            <w:tcW w:w="80" w:type="dxa"/>
            <w:vAlign w:val="bottom"/>
            <w:tcBorders>
              <w:left w:val="single" w:sz="8" w:color="CCEEFF"/>
              <w:right w:val="single" w:sz="8" w:color="CCEEFF"/>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11,442</w:t>
            </w:r>
          </w:p>
        </w:tc>
        <w:tc>
          <w:tcPr>
            <w:tcW w:w="80" w:type="dxa"/>
            <w:vAlign w:val="bottom"/>
            <w:tcBorders>
              <w:left w:val="single" w:sz="8" w:color="CCEEFF"/>
              <w:right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10,777</w:t>
            </w:r>
          </w:p>
        </w:tc>
        <w:tc>
          <w:tcPr>
            <w:tcW w:w="6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280,295</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230,140</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188,699</w:t>
            </w:r>
          </w:p>
        </w:tc>
        <w:tc>
          <w:tcPr>
            <w:tcW w:w="16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169,088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640" w:right="719" w:firstLine="256"/>
        <w:spacing w:after="0" w:line="248" w:lineRule="auto"/>
        <w:rPr>
          <w:sz w:val="20"/>
          <w:szCs w:val="20"/>
          <w:color w:val="auto"/>
        </w:rPr>
      </w:pPr>
      <w:r>
        <w:rPr>
          <w:rFonts w:ascii="Arial" w:cs="Arial" w:eastAsia="Arial" w:hAnsi="Arial"/>
          <w:sz w:val="14"/>
          <w:szCs w:val="14"/>
          <w:color w:val="auto"/>
        </w:rPr>
        <w:t>At December 31, 2022 and 2021, there were no securities to any one issuer, in an amount greater than 10% of total stockholders’ equity other than the United States Government and Government Agencies. All the collateralized mortgage obligations and mortgage-backed securities are issued by United States sponsored entities at December 31, 2022 and 2021.</w:t>
      </w:r>
    </w:p>
    <w:p>
      <w:pPr>
        <w:spacing w:after="0" w:line="156" w:lineRule="exact"/>
        <w:rPr>
          <w:sz w:val="20"/>
          <w:szCs w:val="20"/>
          <w:color w:val="auto"/>
        </w:rPr>
      </w:pPr>
    </w:p>
    <w:p>
      <w:pPr>
        <w:jc w:val="both"/>
        <w:ind w:left="640" w:right="699" w:firstLine="256"/>
        <w:spacing w:after="0" w:line="245" w:lineRule="auto"/>
        <w:rPr>
          <w:sz w:val="20"/>
          <w:szCs w:val="20"/>
          <w:color w:val="auto"/>
        </w:rPr>
      </w:pPr>
      <w:r>
        <w:rPr>
          <w:rFonts w:ascii="Arial" w:cs="Arial" w:eastAsia="Arial" w:hAnsi="Arial"/>
          <w:sz w:val="14"/>
          <w:szCs w:val="14"/>
          <w:color w:val="auto"/>
        </w:rPr>
        <w:t>Information pertaining to investment securities with gross unrealized losses, aggregated by investment category and length of time that those individual securities have been in a continuous loss position, are presented as of the following dates (in thousands):</w:t>
      </w:r>
    </w:p>
    <w:p>
      <w:pPr>
        <w:spacing w:after="0" w:line="165" w:lineRule="exact"/>
        <w:rPr>
          <w:sz w:val="20"/>
          <w:szCs w:val="20"/>
          <w:color w:val="auto"/>
        </w:rPr>
      </w:pPr>
    </w:p>
    <w:tbl>
      <w:tblPr>
        <w:tblLayout w:type="fixed"/>
        <w:tblInd w:w="620" w:type="dxa"/>
        <w:tblCellMar>
          <w:top w:w="0" w:type="dxa"/>
          <w:left w:w="0" w:type="dxa"/>
          <w:bottom w:w="0" w:type="dxa"/>
          <w:right w:w="0" w:type="dxa"/>
        </w:tblCellMar>
      </w:tblPr>
      <w:tr>
        <w:trPr>
          <w:trHeight w:val="153"/>
        </w:trPr>
        <w:tc>
          <w:tcPr>
            <w:tcW w:w="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8"/>
          </w:tcPr>
          <w:p>
            <w:pPr>
              <w:ind w:left="60"/>
              <w:spacing w:after="0"/>
              <w:rPr>
                <w:sz w:val="20"/>
                <w:szCs w:val="20"/>
                <w:color w:val="auto"/>
              </w:rPr>
            </w:pPr>
            <w:r>
              <w:rPr>
                <w:rFonts w:ascii="Arial" w:cs="Arial" w:eastAsia="Arial" w:hAnsi="Arial"/>
                <w:sz w:val="13"/>
                <w:szCs w:val="13"/>
                <w:b w:val="1"/>
                <w:bCs w:val="1"/>
                <w:color w:val="auto"/>
              </w:rPr>
              <w:t>December 31, 2022</w:t>
            </w: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61"/>
        </w:trPr>
        <w:tc>
          <w:tcPr>
            <w:tcW w:w="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8"/>
          </w:tcPr>
          <w:p>
            <w:pPr>
              <w:jc w:val="right"/>
              <w:ind w:right="260"/>
              <w:spacing w:after="0"/>
              <w:rPr>
                <w:sz w:val="20"/>
                <w:szCs w:val="20"/>
                <w:color w:val="auto"/>
              </w:rPr>
            </w:pPr>
            <w:r>
              <w:rPr>
                <w:rFonts w:ascii="Arial" w:cs="Arial" w:eastAsia="Arial" w:hAnsi="Arial"/>
                <w:sz w:val="13"/>
                <w:szCs w:val="13"/>
                <w:b w:val="1"/>
                <w:bCs w:val="1"/>
                <w:color w:val="auto"/>
                <w:w w:val="97"/>
              </w:rPr>
              <w:t>Less than 12 months</w:t>
            </w:r>
          </w:p>
        </w:tc>
        <w:tc>
          <w:tcPr>
            <w:tcW w:w="1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8"/>
          </w:tcPr>
          <w:p>
            <w:pPr>
              <w:ind w:left="60"/>
              <w:spacing w:after="0"/>
              <w:rPr>
                <w:sz w:val="20"/>
                <w:szCs w:val="20"/>
                <w:color w:val="auto"/>
              </w:rPr>
            </w:pPr>
            <w:r>
              <w:rPr>
                <w:rFonts w:ascii="Arial" w:cs="Arial" w:eastAsia="Arial" w:hAnsi="Arial"/>
                <w:sz w:val="13"/>
                <w:szCs w:val="13"/>
                <w:b w:val="1"/>
                <w:bCs w:val="1"/>
                <w:color w:val="auto"/>
              </w:rPr>
              <w:t>12 months or more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4"/>
          </w:tcPr>
          <w:p>
            <w:pPr>
              <w:jc w:val="right"/>
              <w:ind w:right="81"/>
              <w:spacing w:after="0"/>
              <w:rPr>
                <w:sz w:val="20"/>
                <w:szCs w:val="20"/>
                <w:color w:val="auto"/>
              </w:rPr>
            </w:pPr>
            <w:r>
              <w:rPr>
                <w:rFonts w:ascii="Arial" w:cs="Arial" w:eastAsia="Arial" w:hAnsi="Arial"/>
                <w:sz w:val="13"/>
                <w:szCs w:val="13"/>
                <w:b w:val="1"/>
                <w:bCs w:val="1"/>
                <w:color w:val="auto"/>
              </w:rPr>
              <w:t>Total</w:t>
            </w:r>
          </w:p>
        </w:tc>
        <w:tc>
          <w:tcPr>
            <w:tcW w:w="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58"/>
        </w:trPr>
        <w:tc>
          <w:tcPr>
            <w:tcW w:w="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5"/>
          </w:tcPr>
          <w:p>
            <w:pPr>
              <w:jc w:val="right"/>
              <w:ind w:right="100"/>
              <w:spacing w:after="0"/>
              <w:rPr>
                <w:sz w:val="20"/>
                <w:szCs w:val="20"/>
                <w:color w:val="auto"/>
              </w:rPr>
            </w:pPr>
            <w:r>
              <w:rPr>
                <w:rFonts w:ascii="Arial" w:cs="Arial" w:eastAsia="Arial" w:hAnsi="Arial"/>
                <w:sz w:val="13"/>
                <w:szCs w:val="13"/>
                <w:b w:val="1"/>
                <w:bCs w:val="1"/>
                <w:color w:val="auto"/>
                <w:w w:val="97"/>
              </w:rPr>
              <w:t>Unrealized</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5"/>
          </w:tcPr>
          <w:p>
            <w:pPr>
              <w:jc w:val="center"/>
              <w:ind w:right="60"/>
              <w:spacing w:after="0"/>
              <w:rPr>
                <w:sz w:val="20"/>
                <w:szCs w:val="20"/>
                <w:color w:val="auto"/>
              </w:rPr>
            </w:pPr>
            <w:r>
              <w:rPr>
                <w:rFonts w:ascii="Arial" w:cs="Arial" w:eastAsia="Arial" w:hAnsi="Arial"/>
                <w:sz w:val="13"/>
                <w:szCs w:val="13"/>
                <w:b w:val="1"/>
                <w:bCs w:val="1"/>
                <w:color w:val="auto"/>
                <w:w w:val="97"/>
              </w:rPr>
              <w:t>Unrealized</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5"/>
          </w:tcPr>
          <w:p>
            <w:pPr>
              <w:jc w:val="center"/>
              <w:ind w:left="36"/>
              <w:spacing w:after="0"/>
              <w:rPr>
                <w:sz w:val="20"/>
                <w:szCs w:val="20"/>
                <w:color w:val="auto"/>
              </w:rPr>
            </w:pPr>
            <w:r>
              <w:rPr>
                <w:rFonts w:ascii="Arial" w:cs="Arial" w:eastAsia="Arial" w:hAnsi="Arial"/>
                <w:sz w:val="13"/>
                <w:szCs w:val="13"/>
                <w:b w:val="1"/>
                <w:bCs w:val="1"/>
                <w:color w:val="auto"/>
              </w:rPr>
              <w:t>Unrealized</w:t>
            </w:r>
          </w:p>
        </w:tc>
        <w:tc>
          <w:tcPr>
            <w:tcW w:w="20" w:type="dxa"/>
            <w:vAlign w:val="bottom"/>
          </w:tcPr>
          <w:p>
            <w:pPr>
              <w:spacing w:after="0"/>
              <w:rPr>
                <w:sz w:val="13"/>
                <w:szCs w:val="13"/>
                <w:color w:val="auto"/>
              </w:rPr>
            </w:pPr>
          </w:p>
        </w:tc>
      </w:tr>
      <w:tr>
        <w:trPr>
          <w:trHeight w:val="164"/>
        </w:trPr>
        <w:tc>
          <w:tcPr>
            <w:tcW w:w="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3"/>
                <w:szCs w:val="13"/>
                <w:b w:val="1"/>
                <w:bCs w:val="1"/>
                <w:color w:val="auto"/>
                <w:w w:val="96"/>
              </w:rPr>
              <w:t>Fair Value</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3"/>
                <w:szCs w:val="13"/>
                <w:b w:val="1"/>
                <w:bCs w:val="1"/>
                <w:color w:val="auto"/>
                <w:w w:val="89"/>
              </w:rPr>
              <w:t>Losses</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3"/>
                <w:szCs w:val="13"/>
                <w:b w:val="1"/>
                <w:bCs w:val="1"/>
                <w:color w:val="auto"/>
                <w:w w:val="96"/>
              </w:rPr>
              <w:t>Fair Value</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3"/>
                <w:szCs w:val="13"/>
                <w:b w:val="1"/>
                <w:bCs w:val="1"/>
                <w:color w:val="auto"/>
                <w:w w:val="93"/>
              </w:rPr>
              <w:t>Losses</w:t>
            </w:r>
          </w:p>
        </w:tc>
        <w:tc>
          <w:tcPr>
            <w:tcW w:w="20" w:type="dxa"/>
            <w:vAlign w:val="bottom"/>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rPr>
              <w:t>Fair Value</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3"/>
                <w:szCs w:val="13"/>
                <w:b w:val="1"/>
                <w:bCs w:val="1"/>
                <w:color w:val="auto"/>
                <w:w w:val="98"/>
              </w:rPr>
              <w:t>Losses</w:t>
            </w:r>
          </w:p>
        </w:tc>
        <w:tc>
          <w:tcPr>
            <w:tcW w:w="20" w:type="dxa"/>
            <w:vAlign w:val="bottom"/>
          </w:tcPr>
          <w:p>
            <w:pPr>
              <w:spacing w:after="0"/>
              <w:rPr>
                <w:sz w:val="14"/>
                <w:szCs w:val="14"/>
                <w:color w:val="auto"/>
              </w:rPr>
            </w:pPr>
          </w:p>
        </w:tc>
      </w:tr>
      <w:tr>
        <w:trPr>
          <w:trHeight w:val="161"/>
        </w:trPr>
        <w:tc>
          <w:tcPr>
            <w:tcW w:w="2260" w:type="dxa"/>
            <w:vAlign w:val="bottom"/>
            <w:gridSpan w:val="2"/>
          </w:tcPr>
          <w:p>
            <w:pPr>
              <w:ind w:left="20"/>
              <w:spacing w:after="0"/>
              <w:rPr>
                <w:sz w:val="20"/>
                <w:szCs w:val="20"/>
                <w:color w:val="auto"/>
              </w:rPr>
            </w:pPr>
            <w:r>
              <w:rPr>
                <w:rFonts w:ascii="Arial" w:cs="Arial" w:eastAsia="Arial" w:hAnsi="Arial"/>
                <w:sz w:val="13"/>
                <w:szCs w:val="13"/>
                <w:color w:val="auto"/>
              </w:rPr>
              <w:t>U.S. Government Agency</w:t>
            </w:r>
          </w:p>
        </w:tc>
        <w:tc>
          <w:tcPr>
            <w:tcW w:w="20" w:type="dxa"/>
            <w:vAlign w:val="bottom"/>
          </w:tcPr>
          <w:p>
            <w:pPr>
              <w:spacing w:after="0"/>
              <w:rPr>
                <w:sz w:val="14"/>
                <w:szCs w:val="14"/>
                <w:color w:val="auto"/>
              </w:rPr>
            </w:pPr>
          </w:p>
        </w:tc>
        <w:tc>
          <w:tcPr>
            <w:tcW w:w="100" w:type="dxa"/>
            <w:vAlign w:val="bottom"/>
            <w:gridSpan w:val="2"/>
          </w:tcPr>
          <w:p>
            <w:pPr>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11,407</w:t>
            </w:r>
          </w:p>
        </w:tc>
        <w:tc>
          <w:tcPr>
            <w:tcW w:w="80" w:type="dxa"/>
            <w:vAlign w:val="bottom"/>
            <w:tcBorders>
              <w:right w:val="single" w:sz="8" w:color="CCEEFF"/>
            </w:tcBorders>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(1,093)</w:t>
            </w:r>
          </w:p>
        </w:tc>
        <w:tc>
          <w:tcPr>
            <w:tcW w:w="40" w:type="dxa"/>
            <w:vAlign w:val="bottom"/>
            <w:tcBorders>
              <w:right w:val="single" w:sz="8" w:color="CCEEFF"/>
            </w:tcBorders>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36,310</w:t>
            </w:r>
          </w:p>
        </w:tc>
        <w:tc>
          <w:tcPr>
            <w:tcW w:w="80" w:type="dxa"/>
            <w:vAlign w:val="bottom"/>
            <w:tcBorders>
              <w:right w:val="single" w:sz="8" w:color="CCEEFF"/>
            </w:tcBorders>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(7,616)</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 w:type="dxa"/>
            <w:vAlign w:val="bottom"/>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47,717</w:t>
            </w:r>
          </w:p>
        </w:tc>
        <w:tc>
          <w:tcPr>
            <w:tcW w:w="80" w:type="dxa"/>
            <w:vAlign w:val="bottom"/>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tcPr>
          <w:p>
            <w:pPr>
              <w:jc w:val="right"/>
              <w:ind w:right="21"/>
              <w:spacing w:after="0"/>
              <w:rPr>
                <w:sz w:val="20"/>
                <w:szCs w:val="20"/>
                <w:color w:val="auto"/>
              </w:rPr>
            </w:pPr>
            <w:r>
              <w:rPr>
                <w:rFonts w:ascii="Arial" w:cs="Arial" w:eastAsia="Arial" w:hAnsi="Arial"/>
                <w:sz w:val="5"/>
                <w:szCs w:val="5"/>
                <w:color w:val="auto"/>
                <w:w w:val="70"/>
              </w:rPr>
              <w:t>$</w:t>
            </w:r>
          </w:p>
        </w:tc>
        <w:tc>
          <w:tcPr>
            <w:tcW w:w="40" w:type="dxa"/>
            <w:vAlign w:val="bottom"/>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(8,709)</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2260" w:type="dxa"/>
            <w:vAlign w:val="bottom"/>
            <w:gridSpan w:val="2"/>
          </w:tcPr>
          <w:p>
            <w:pPr>
              <w:ind w:left="20"/>
              <w:spacing w:after="0"/>
              <w:rPr>
                <w:sz w:val="20"/>
                <w:szCs w:val="20"/>
                <w:color w:val="auto"/>
              </w:rPr>
            </w:pPr>
            <w:r>
              <w:rPr>
                <w:rFonts w:ascii="Arial" w:cs="Arial" w:eastAsia="Arial" w:hAnsi="Arial"/>
                <w:sz w:val="13"/>
                <w:szCs w:val="13"/>
                <w:color w:val="auto"/>
              </w:rPr>
              <w:t>U.S. Treasury</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9,828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(13)</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ind w:right="3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9,828</w:t>
            </w:r>
          </w:p>
        </w:tc>
        <w:tc>
          <w:tcPr>
            <w:tcW w:w="80" w:type="dxa"/>
            <w:vAlign w:val="bottom"/>
          </w:tcPr>
          <w:p>
            <w:pPr>
              <w:spacing w:after="0"/>
              <w:rPr>
                <w:sz w:val="14"/>
                <w:szCs w:val="14"/>
                <w:color w:val="auto"/>
              </w:rPr>
            </w:pPr>
          </w:p>
        </w:tc>
        <w:tc>
          <w:tcPr>
            <w:tcW w:w="300" w:type="dxa"/>
            <w:vAlign w:val="bottom"/>
            <w:gridSpan w:val="2"/>
          </w:tcPr>
          <w:p>
            <w:pPr>
              <w:jc w:val="right"/>
              <w:ind w:right="21"/>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(13)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Collateralized mortgage obligations</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16,500</w:t>
            </w:r>
          </w:p>
        </w:tc>
        <w:tc>
          <w:tcPr>
            <w:tcW w:w="8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(963)</w:t>
            </w:r>
          </w:p>
        </w:tc>
        <w:tc>
          <w:tcPr>
            <w:tcW w:w="4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shd w:val="clear" w:color="auto" w:fill="CCEEFF"/>
              </w:rPr>
              <w:t>139,965</w:t>
            </w:r>
          </w:p>
        </w:tc>
        <w:tc>
          <w:tcPr>
            <w:tcW w:w="8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(34,962)</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shd w:val="clear" w:color="auto" w:fill="CCEEFF"/>
              </w:rPr>
              <w:t>156,465</w:t>
            </w:r>
          </w:p>
        </w:tc>
        <w:tc>
          <w:tcPr>
            <w:tcW w:w="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21"/>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shd w:val="clear" w:color="auto" w:fill="CCEEFF"/>
              </w:rPr>
              <w:t>(35,925)</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51"/>
        </w:trPr>
        <w:tc>
          <w:tcPr>
            <w:tcW w:w="2260" w:type="dxa"/>
            <w:vAlign w:val="bottom"/>
            <w:gridSpan w:val="2"/>
          </w:tcPr>
          <w:p>
            <w:pPr>
              <w:ind w:left="20"/>
              <w:spacing w:after="0"/>
              <w:rPr>
                <w:sz w:val="20"/>
                <w:szCs w:val="20"/>
                <w:color w:val="auto"/>
              </w:rPr>
            </w:pPr>
            <w:r>
              <w:rPr>
                <w:rFonts w:ascii="Arial" w:cs="Arial" w:eastAsia="Arial" w:hAnsi="Arial"/>
                <w:sz w:val="13"/>
                <w:szCs w:val="13"/>
                <w:color w:val="auto"/>
              </w:rPr>
              <w:t>Mortgage-backed securities -</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8"/>
        </w:trPr>
        <w:tc>
          <w:tcPr>
            <w:tcW w:w="226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Residential</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5,059</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(564)</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91,742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(19,348)</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96,801</w:t>
            </w:r>
          </w:p>
        </w:tc>
        <w:tc>
          <w:tcPr>
            <w:tcW w:w="80" w:type="dxa"/>
            <w:vAlign w:val="bottom"/>
          </w:tcPr>
          <w:p>
            <w:pPr>
              <w:spacing w:after="0"/>
              <w:rPr>
                <w:sz w:val="12"/>
                <w:szCs w:val="12"/>
                <w:color w:val="auto"/>
              </w:rPr>
            </w:pPr>
          </w:p>
        </w:tc>
        <w:tc>
          <w:tcPr>
            <w:tcW w:w="300" w:type="dxa"/>
            <w:vAlign w:val="bottom"/>
            <w:gridSpan w:val="2"/>
          </w:tcPr>
          <w:p>
            <w:pPr>
              <w:jc w:val="right"/>
              <w:ind w:right="21"/>
              <w:spacing w:after="0" w:line="148"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(19,912)</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9"/>
        </w:trPr>
        <w:tc>
          <w:tcPr>
            <w:tcW w:w="40" w:type="dxa"/>
            <w:vAlign w:val="bottom"/>
          </w:tcPr>
          <w:p>
            <w:pPr>
              <w:spacing w:after="0"/>
              <w:rPr>
                <w:sz w:val="12"/>
                <w:szCs w:val="12"/>
                <w:color w:val="auto"/>
              </w:rPr>
            </w:pPr>
          </w:p>
        </w:tc>
        <w:tc>
          <w:tcPr>
            <w:tcW w:w="222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Mortgage-backed securities -</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49"/>
        </w:trPr>
        <w:tc>
          <w:tcPr>
            <w:tcW w:w="40" w:type="dxa"/>
            <w:vAlign w:val="bottom"/>
          </w:tcPr>
          <w:p>
            <w:pPr>
              <w:spacing w:after="0"/>
              <w:rPr>
                <w:sz w:val="12"/>
                <w:szCs w:val="12"/>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3"/>
                <w:szCs w:val="13"/>
                <w:color w:val="auto"/>
              </w:rPr>
              <w:t>Commercial</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10,052</w:t>
            </w:r>
          </w:p>
        </w:tc>
        <w:tc>
          <w:tcPr>
            <w:tcW w:w="8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(1,173)</w:t>
            </w:r>
          </w:p>
        </w:tc>
        <w:tc>
          <w:tcPr>
            <w:tcW w:w="4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26,823</w:t>
            </w:r>
          </w:p>
        </w:tc>
        <w:tc>
          <w:tcPr>
            <w:tcW w:w="8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(5,300)</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36,875</w:t>
            </w:r>
          </w:p>
        </w:tc>
        <w:tc>
          <w:tcPr>
            <w:tcW w:w="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21"/>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(6,473)</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71"/>
        </w:trPr>
        <w:tc>
          <w:tcPr>
            <w:tcW w:w="2260" w:type="dxa"/>
            <w:vAlign w:val="bottom"/>
            <w:gridSpan w:val="2"/>
          </w:tcPr>
          <w:p>
            <w:pPr>
              <w:ind w:left="20"/>
              <w:spacing w:after="0"/>
              <w:rPr>
                <w:sz w:val="20"/>
                <w:szCs w:val="20"/>
                <w:color w:val="auto"/>
              </w:rPr>
            </w:pPr>
            <w:r>
              <w:rPr>
                <w:rFonts w:ascii="Arial" w:cs="Arial" w:eastAsia="Arial" w:hAnsi="Arial"/>
                <w:sz w:val="13"/>
                <w:szCs w:val="13"/>
                <w:color w:val="auto"/>
              </w:rPr>
              <w:t>Municipal securities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18,483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(6,601)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18,483</w:t>
            </w:r>
          </w:p>
        </w:tc>
        <w:tc>
          <w:tcPr>
            <w:tcW w:w="80" w:type="dxa"/>
            <w:vAlign w:val="bottom"/>
          </w:tcPr>
          <w:p>
            <w:pPr>
              <w:spacing w:after="0"/>
              <w:rPr>
                <w:sz w:val="14"/>
                <w:szCs w:val="14"/>
                <w:color w:val="auto"/>
              </w:rPr>
            </w:pPr>
          </w:p>
        </w:tc>
        <w:tc>
          <w:tcPr>
            <w:tcW w:w="300" w:type="dxa"/>
            <w:vAlign w:val="bottom"/>
            <w:gridSpan w:val="2"/>
          </w:tcPr>
          <w:p>
            <w:pPr>
              <w:jc w:val="right"/>
              <w:ind w:right="21"/>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(6,601)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Bank subordinated debt securities</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11,295</w:t>
            </w:r>
          </w:p>
        </w:tc>
        <w:tc>
          <w:tcPr>
            <w:tcW w:w="8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(670)</w:t>
            </w:r>
          </w:p>
        </w:tc>
        <w:tc>
          <w:tcPr>
            <w:tcW w:w="4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2,619</w:t>
            </w:r>
          </w:p>
        </w:tc>
        <w:tc>
          <w:tcPr>
            <w:tcW w:w="8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(381)</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13,914</w:t>
            </w:r>
          </w:p>
        </w:tc>
        <w:tc>
          <w:tcPr>
            <w:tcW w:w="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21"/>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(1,051)</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2260" w:type="dxa"/>
            <w:vAlign w:val="bottom"/>
            <w:gridSpan w:val="2"/>
          </w:tcPr>
          <w:p>
            <w:pPr>
              <w:ind w:left="20"/>
              <w:spacing w:after="0"/>
              <w:rPr>
                <w:sz w:val="20"/>
                <w:szCs w:val="20"/>
                <w:color w:val="auto"/>
              </w:rPr>
            </w:pPr>
            <w:r>
              <w:rPr>
                <w:rFonts w:ascii="Arial" w:cs="Arial" w:eastAsia="Arial" w:hAnsi="Arial"/>
                <w:sz w:val="13"/>
                <w:szCs w:val="13"/>
                <w:color w:val="auto"/>
              </w:rPr>
              <w:t>Corporate bonds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13,723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(926)</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ind w:right="3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13,723</w:t>
            </w:r>
          </w:p>
        </w:tc>
        <w:tc>
          <w:tcPr>
            <w:tcW w:w="80" w:type="dxa"/>
            <w:vAlign w:val="bottom"/>
          </w:tcPr>
          <w:p>
            <w:pPr>
              <w:spacing w:after="0"/>
              <w:rPr>
                <w:sz w:val="14"/>
                <w:szCs w:val="14"/>
                <w:color w:val="auto"/>
              </w:rPr>
            </w:pPr>
          </w:p>
        </w:tc>
        <w:tc>
          <w:tcPr>
            <w:tcW w:w="300" w:type="dxa"/>
            <w:vAlign w:val="bottom"/>
            <w:gridSpan w:val="2"/>
          </w:tcPr>
          <w:p>
            <w:pPr>
              <w:jc w:val="right"/>
              <w:ind w:right="21"/>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(926)</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2"/>
        </w:trPr>
        <w:tc>
          <w:tcPr>
            <w:tcW w:w="40" w:type="dxa"/>
            <w:vAlign w:val="bottom"/>
          </w:tcPr>
          <w:p>
            <w:pPr>
              <w:spacing w:after="0"/>
              <w:rPr>
                <w:sz w:val="14"/>
                <w:szCs w:val="14"/>
                <w:color w:val="auto"/>
              </w:rPr>
            </w:pPr>
          </w:p>
        </w:tc>
        <w:tc>
          <w:tcPr>
            <w:tcW w:w="22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3"/>
                <w:szCs w:val="13"/>
                <w:color w:val="auto"/>
              </w:rPr>
              <w:t>$</w:t>
            </w:r>
          </w:p>
        </w:tc>
        <w:tc>
          <w:tcPr>
            <w:tcW w:w="60" w:type="dxa"/>
            <w:vAlign w:val="bottom"/>
            <w:tcBorders>
              <w:top w:val="single" w:sz="8" w:color="auto"/>
              <w:bottom w:val="single" w:sz="8" w:color="auto"/>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77,864</w:t>
            </w:r>
          </w:p>
        </w:tc>
        <w:tc>
          <w:tcPr>
            <w:tcW w:w="80" w:type="dxa"/>
            <w:vAlign w:val="bottom"/>
            <w:tcBorders>
              <w:top w:val="single" w:sz="8" w:color="auto"/>
              <w:bottom w:val="single" w:sz="8" w:color="auto"/>
              <w:right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right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w:t>
            </w: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(5,402)</w:t>
            </w:r>
          </w:p>
        </w:tc>
        <w:tc>
          <w:tcPr>
            <w:tcW w:w="40" w:type="dxa"/>
            <w:vAlign w:val="bottom"/>
            <w:tcBorders>
              <w:top w:val="single" w:sz="8" w:color="auto"/>
              <w:bottom w:val="single" w:sz="8" w:color="auto"/>
              <w:right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0"/>
                <w:szCs w:val="10"/>
                <w:color w:val="auto"/>
                <w:w w:val="71"/>
              </w:rPr>
              <w:t>$</w:t>
            </w: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7"/>
                <w:shd w:val="clear" w:color="auto" w:fill="CCEEFF"/>
              </w:rPr>
              <w:t>315,942</w:t>
            </w:r>
          </w:p>
        </w:tc>
        <w:tc>
          <w:tcPr>
            <w:tcW w:w="80" w:type="dxa"/>
            <w:vAlign w:val="bottom"/>
            <w:tcBorders>
              <w:top w:val="single" w:sz="8" w:color="auto"/>
              <w:bottom w:val="single" w:sz="8" w:color="auto"/>
              <w:right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bottom w:val="single" w:sz="8" w:color="auto"/>
              <w:right w:val="single" w:sz="8" w:color="CCEEFF"/>
            </w:tcBorders>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(74,208)</w:t>
            </w: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 w:type="dxa"/>
            <w:vAlign w:val="bottom"/>
            <w:tcBorders>
              <w:top w:val="single" w:sz="8" w:color="auto"/>
              <w:bottom w:val="single" w:sz="8" w:color="auto"/>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7"/>
                <w:shd w:val="clear" w:color="auto" w:fill="CCEEFF"/>
              </w:rPr>
              <w:t>393,806</w:t>
            </w: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5"/>
                <w:szCs w:val="5"/>
                <w:color w:val="auto"/>
                <w:w w:val="70"/>
              </w:rPr>
              <w:t>$</w:t>
            </w:r>
          </w:p>
        </w:tc>
        <w:tc>
          <w:tcPr>
            <w:tcW w:w="40" w:type="dxa"/>
            <w:vAlign w:val="bottom"/>
            <w:tcBorders>
              <w:top w:val="single" w:sz="8" w:color="auto"/>
              <w:bottom w:val="single" w:sz="8" w:color="auto"/>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9"/>
                <w:shd w:val="clear" w:color="auto" w:fill="CCEEFF"/>
              </w:rPr>
              <w:t>(79,610)</w:t>
            </w: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20" w:type="dxa"/>
            <w:vAlign w:val="bottom"/>
            <w:tcBorders>
              <w:bottom w:val="single" w:sz="8" w:color="auto"/>
            </w:tcBorders>
            <w:gridSpan w:val="4"/>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52"/>
        </w:trPr>
        <w:tc>
          <w:tcPr>
            <w:tcW w:w="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8"/>
          </w:tcPr>
          <w:p>
            <w:pPr>
              <w:ind w:left="80"/>
              <w:spacing w:after="0"/>
              <w:rPr>
                <w:sz w:val="20"/>
                <w:szCs w:val="20"/>
                <w:color w:val="auto"/>
              </w:rPr>
            </w:pPr>
            <w:r>
              <w:rPr>
                <w:rFonts w:ascii="Arial" w:cs="Arial" w:eastAsia="Arial" w:hAnsi="Arial"/>
                <w:sz w:val="13"/>
                <w:szCs w:val="13"/>
                <w:b w:val="1"/>
                <w:bCs w:val="1"/>
                <w:color w:val="auto"/>
              </w:rPr>
              <w:t>December 31, 2021</w:t>
            </w: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51"/>
        </w:trPr>
        <w:tc>
          <w:tcPr>
            <w:tcW w:w="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8"/>
          </w:tcPr>
          <w:p>
            <w:pPr>
              <w:jc w:val="right"/>
              <w:ind w:right="240"/>
              <w:spacing w:after="0"/>
              <w:rPr>
                <w:sz w:val="20"/>
                <w:szCs w:val="20"/>
                <w:color w:val="auto"/>
              </w:rPr>
            </w:pPr>
            <w:r>
              <w:rPr>
                <w:rFonts w:ascii="Arial" w:cs="Arial" w:eastAsia="Arial" w:hAnsi="Arial"/>
                <w:sz w:val="13"/>
                <w:szCs w:val="13"/>
                <w:b w:val="1"/>
                <w:bCs w:val="1"/>
                <w:color w:val="auto"/>
                <w:w w:val="98"/>
              </w:rPr>
              <w:t>Less than 12 months</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8"/>
          </w:tcPr>
          <w:p>
            <w:pPr>
              <w:ind w:left="80"/>
              <w:spacing w:after="0"/>
              <w:rPr>
                <w:sz w:val="20"/>
                <w:szCs w:val="20"/>
                <w:color w:val="auto"/>
              </w:rPr>
            </w:pPr>
            <w:r>
              <w:rPr>
                <w:rFonts w:ascii="Arial" w:cs="Arial" w:eastAsia="Arial" w:hAnsi="Arial"/>
                <w:sz w:val="13"/>
                <w:szCs w:val="13"/>
                <w:b w:val="1"/>
                <w:bCs w:val="1"/>
                <w:color w:val="auto"/>
              </w:rPr>
              <w:t>12 months or more</w:t>
            </w:r>
          </w:p>
        </w:tc>
        <w:tc>
          <w:tcPr>
            <w:tcW w:w="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4"/>
          </w:tcPr>
          <w:p>
            <w:pPr>
              <w:jc w:val="right"/>
              <w:ind w:right="61"/>
              <w:spacing w:after="0"/>
              <w:rPr>
                <w:sz w:val="20"/>
                <w:szCs w:val="20"/>
                <w:color w:val="auto"/>
              </w:rPr>
            </w:pPr>
            <w:r>
              <w:rPr>
                <w:rFonts w:ascii="Arial" w:cs="Arial" w:eastAsia="Arial" w:hAnsi="Arial"/>
                <w:sz w:val="13"/>
                <w:szCs w:val="13"/>
                <w:b w:val="1"/>
                <w:bCs w:val="1"/>
                <w:color w:val="auto"/>
              </w:rPr>
              <w:t>Total</w:t>
            </w:r>
          </w:p>
        </w:tc>
        <w:tc>
          <w:tcPr>
            <w:tcW w:w="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68"/>
        </w:trPr>
        <w:tc>
          <w:tcPr>
            <w:tcW w:w="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4"/>
          </w:tcPr>
          <w:p>
            <w:pPr>
              <w:jc w:val="right"/>
              <w:ind w:right="80"/>
              <w:spacing w:after="0"/>
              <w:rPr>
                <w:sz w:val="20"/>
                <w:szCs w:val="20"/>
                <w:color w:val="auto"/>
              </w:rPr>
            </w:pPr>
            <w:r>
              <w:rPr>
                <w:rFonts w:ascii="Arial" w:cs="Arial" w:eastAsia="Arial" w:hAnsi="Arial"/>
                <w:sz w:val="13"/>
                <w:szCs w:val="13"/>
                <w:b w:val="1"/>
                <w:bCs w:val="1"/>
                <w:color w:val="auto"/>
                <w:w w:val="97"/>
              </w:rPr>
              <w:t>Unrealized</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4"/>
          </w:tcPr>
          <w:p>
            <w:pPr>
              <w:jc w:val="right"/>
              <w:ind w:right="60"/>
              <w:spacing w:after="0"/>
              <w:rPr>
                <w:sz w:val="20"/>
                <w:szCs w:val="20"/>
                <w:color w:val="auto"/>
              </w:rPr>
            </w:pPr>
            <w:r>
              <w:rPr>
                <w:rFonts w:ascii="Arial" w:cs="Arial" w:eastAsia="Arial" w:hAnsi="Arial"/>
                <w:sz w:val="13"/>
                <w:szCs w:val="13"/>
                <w:b w:val="1"/>
                <w:bCs w:val="1"/>
                <w:color w:val="auto"/>
                <w:w w:val="97"/>
              </w:rPr>
              <w:t>Unrealized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97"/>
              </w:rPr>
              <w:t>Unrealized</w:t>
            </w:r>
          </w:p>
        </w:tc>
        <w:tc>
          <w:tcPr>
            <w:tcW w:w="20" w:type="dxa"/>
            <w:vAlign w:val="bottom"/>
          </w:tcPr>
          <w:p>
            <w:pPr>
              <w:spacing w:after="0"/>
              <w:rPr>
                <w:sz w:val="14"/>
                <w:szCs w:val="14"/>
                <w:color w:val="auto"/>
              </w:rPr>
            </w:pPr>
          </w:p>
        </w:tc>
      </w:tr>
      <w:tr>
        <w:trPr>
          <w:trHeight w:val="153"/>
        </w:trPr>
        <w:tc>
          <w:tcPr>
            <w:tcW w:w="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3"/>
                <w:szCs w:val="13"/>
                <w:b w:val="1"/>
                <w:bCs w:val="1"/>
                <w:color w:val="auto"/>
                <w:w w:val="99"/>
              </w:rPr>
              <w:t>Fair Value</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3"/>
                <w:szCs w:val="13"/>
                <w:b w:val="1"/>
                <w:bCs w:val="1"/>
                <w:color w:val="auto"/>
                <w:w w:val="93"/>
              </w:rPr>
              <w:t>Losses</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3"/>
                <w:szCs w:val="13"/>
                <w:b w:val="1"/>
                <w:bCs w:val="1"/>
                <w:color w:val="auto"/>
                <w:w w:val="99"/>
              </w:rPr>
              <w:t>Fair Value</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rPr>
              <w:t>Losses</w:t>
            </w:r>
          </w:p>
        </w:tc>
        <w:tc>
          <w:tcPr>
            <w:tcW w:w="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rPr>
              <w:t>Fair Value</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3"/>
                <w:szCs w:val="13"/>
                <w:b w:val="1"/>
                <w:bCs w:val="1"/>
                <w:color w:val="auto"/>
                <w:w w:val="98"/>
              </w:rPr>
              <w:t>Losses</w:t>
            </w:r>
          </w:p>
        </w:tc>
        <w:tc>
          <w:tcPr>
            <w:tcW w:w="20" w:type="dxa"/>
            <w:vAlign w:val="bottom"/>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1"/>
        </w:trPr>
        <w:tc>
          <w:tcPr>
            <w:tcW w:w="40" w:type="dxa"/>
            <w:vAlign w:val="bottom"/>
          </w:tcPr>
          <w:p>
            <w:pPr>
              <w:spacing w:after="0"/>
              <w:rPr>
                <w:sz w:val="12"/>
                <w:szCs w:val="12"/>
                <w:color w:val="auto"/>
              </w:rPr>
            </w:pPr>
          </w:p>
        </w:tc>
        <w:tc>
          <w:tcPr>
            <w:tcW w:w="222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U.S. Government Agency</w:t>
            </w:r>
          </w:p>
        </w:tc>
        <w:tc>
          <w:tcPr>
            <w:tcW w:w="120" w:type="dxa"/>
            <w:vAlign w:val="bottom"/>
            <w:gridSpan w:val="3"/>
            <w:shd w:val="clear" w:color="auto" w:fill="CCEEFF"/>
          </w:tcPr>
          <w:p>
            <w:pPr>
              <w:ind w:left="20"/>
              <w:spacing w:after="0" w:line="141" w:lineRule="exact"/>
              <w:rPr>
                <w:sz w:val="20"/>
                <w:szCs w:val="20"/>
                <w:color w:val="auto"/>
              </w:rPr>
            </w:pPr>
            <w:r>
              <w:rPr>
                <w:rFonts w:ascii="Arial" w:cs="Arial" w:eastAsia="Arial" w:hAnsi="Arial"/>
                <w:sz w:val="13"/>
                <w:szCs w:val="13"/>
                <w:color w:val="auto"/>
              </w:rPr>
              <w:t>$</w:t>
            </w:r>
          </w:p>
        </w:tc>
        <w:tc>
          <w:tcPr>
            <w:tcW w:w="660" w:type="dxa"/>
            <w:vAlign w:val="bottom"/>
            <w:tcBorders>
              <w:right w:val="single" w:sz="8" w:color="CCEEFF"/>
            </w:tcBorders>
            <w:gridSpan w:val="3"/>
            <w:shd w:val="clear" w:color="auto" w:fill="CCEEFF"/>
          </w:tcPr>
          <w:p>
            <w:pPr>
              <w:jc w:val="right"/>
              <w:ind w:right="60"/>
              <w:spacing w:after="0" w:line="141" w:lineRule="exact"/>
              <w:rPr>
                <w:sz w:val="20"/>
                <w:szCs w:val="20"/>
                <w:color w:val="auto"/>
              </w:rPr>
            </w:pPr>
            <w:r>
              <w:rPr>
                <w:rFonts w:ascii="Arial" w:cs="Arial" w:eastAsia="Arial" w:hAnsi="Arial"/>
                <w:sz w:val="13"/>
                <w:szCs w:val="13"/>
                <w:color w:val="auto"/>
              </w:rPr>
              <w:t>25,951</w:t>
            </w:r>
          </w:p>
        </w:tc>
        <w:tc>
          <w:tcPr>
            <w:tcW w:w="320" w:type="dxa"/>
            <w:vAlign w:val="bottom"/>
            <w:tcBorders>
              <w:right w:val="single" w:sz="8" w:color="CCEEFF"/>
            </w:tcBorders>
            <w:gridSpan w:val="3"/>
            <w:shd w:val="clear" w:color="auto" w:fill="CCEEFF"/>
          </w:tcPr>
          <w:p>
            <w:pPr>
              <w:ind w:left="180"/>
              <w:spacing w:after="0" w:line="141" w:lineRule="exact"/>
              <w:rPr>
                <w:sz w:val="20"/>
                <w:szCs w:val="20"/>
                <w:color w:val="auto"/>
              </w:rPr>
            </w:pPr>
            <w:r>
              <w:rPr>
                <w:rFonts w:ascii="Arial" w:cs="Arial" w:eastAsia="Arial" w:hAnsi="Arial"/>
                <w:sz w:val="13"/>
                <w:szCs w:val="13"/>
                <w:color w:val="auto"/>
              </w:rPr>
              <w:t>$</w:t>
            </w:r>
          </w:p>
        </w:tc>
        <w:tc>
          <w:tcPr>
            <w:tcW w:w="620" w:type="dxa"/>
            <w:vAlign w:val="bottom"/>
            <w:tcBorders>
              <w:right w:val="single" w:sz="8" w:color="CCEEFF"/>
            </w:tcBorders>
            <w:gridSpan w:val="3"/>
            <w:shd w:val="clear" w:color="auto" w:fill="CCEEFF"/>
          </w:tcPr>
          <w:p>
            <w:pPr>
              <w:jc w:val="right"/>
              <w:ind w:right="40"/>
              <w:spacing w:after="0" w:line="141" w:lineRule="exact"/>
              <w:rPr>
                <w:sz w:val="20"/>
                <w:szCs w:val="20"/>
                <w:color w:val="auto"/>
              </w:rPr>
            </w:pPr>
            <w:r>
              <w:rPr>
                <w:rFonts w:ascii="Arial" w:cs="Arial" w:eastAsia="Arial" w:hAnsi="Arial"/>
                <w:sz w:val="13"/>
                <w:szCs w:val="13"/>
                <w:color w:val="auto"/>
              </w:rPr>
              <w:t>(254)</w:t>
            </w:r>
          </w:p>
        </w:tc>
        <w:tc>
          <w:tcPr>
            <w:tcW w:w="320" w:type="dxa"/>
            <w:vAlign w:val="bottom"/>
            <w:gridSpan w:val="3"/>
            <w:shd w:val="clear" w:color="auto" w:fill="CCEEFF"/>
          </w:tcPr>
          <w:p>
            <w:pPr>
              <w:jc w:val="right"/>
              <w:ind w:right="21"/>
              <w:spacing w:after="0" w:line="141" w:lineRule="exact"/>
              <w:rPr>
                <w:sz w:val="20"/>
                <w:szCs w:val="20"/>
                <w:color w:val="auto"/>
              </w:rPr>
            </w:pPr>
            <w:r>
              <w:rPr>
                <w:rFonts w:ascii="Arial" w:cs="Arial" w:eastAsia="Arial" w:hAnsi="Arial"/>
                <w:sz w:val="13"/>
                <w:szCs w:val="13"/>
                <w:color w:val="auto"/>
              </w:rPr>
              <w:t>$</w:t>
            </w:r>
          </w:p>
        </w:tc>
        <w:tc>
          <w:tcPr>
            <w:tcW w:w="620" w:type="dxa"/>
            <w:vAlign w:val="bottom"/>
            <w:tcBorders>
              <w:right w:val="single" w:sz="8" w:color="CCEEFF"/>
            </w:tcBorders>
            <w:gridSpan w:val="3"/>
            <w:shd w:val="clear" w:color="auto" w:fill="CCEEFF"/>
          </w:tcPr>
          <w:p>
            <w:pPr>
              <w:jc w:val="right"/>
              <w:ind w:right="80"/>
              <w:spacing w:after="0" w:line="141" w:lineRule="exact"/>
              <w:rPr>
                <w:sz w:val="20"/>
                <w:szCs w:val="20"/>
                <w:color w:val="auto"/>
              </w:rPr>
            </w:pPr>
            <w:r>
              <w:rPr>
                <w:rFonts w:ascii="Arial" w:cs="Arial" w:eastAsia="Arial" w:hAnsi="Arial"/>
                <w:sz w:val="13"/>
                <w:szCs w:val="13"/>
                <w:color w:val="auto"/>
              </w:rPr>
              <w:t>15,477</w:t>
            </w:r>
          </w:p>
        </w:tc>
        <w:tc>
          <w:tcPr>
            <w:tcW w:w="320" w:type="dxa"/>
            <w:vAlign w:val="bottom"/>
            <w:tcBorders>
              <w:right w:val="single" w:sz="8" w:color="CCEEFF"/>
            </w:tcBorders>
            <w:gridSpan w:val="3"/>
            <w:shd w:val="clear" w:color="auto" w:fill="CCEEFF"/>
          </w:tcPr>
          <w:p>
            <w:pPr>
              <w:jc w:val="right"/>
              <w:ind w:right="24"/>
              <w:spacing w:after="0" w:line="141" w:lineRule="exact"/>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(516)</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
              <w:spacing w:after="0" w:line="141" w:lineRule="exact"/>
              <w:rPr>
                <w:sz w:val="20"/>
                <w:szCs w:val="20"/>
                <w:color w:val="auto"/>
              </w:rPr>
            </w:pPr>
            <w:r>
              <w:rPr>
                <w:rFonts w:ascii="Arial" w:cs="Arial" w:eastAsia="Arial" w:hAnsi="Arial"/>
                <w:sz w:val="13"/>
                <w:szCs w:val="13"/>
                <w:color w:val="auto"/>
              </w:rPr>
              <w:t>$</w:t>
            </w:r>
          </w:p>
        </w:tc>
        <w:tc>
          <w:tcPr>
            <w:tcW w:w="640" w:type="dxa"/>
            <w:vAlign w:val="bottom"/>
            <w:gridSpan w:val="3"/>
            <w:shd w:val="clear" w:color="auto" w:fill="CCEEFF"/>
          </w:tcPr>
          <w:p>
            <w:pPr>
              <w:jc w:val="right"/>
              <w:ind w:right="80"/>
              <w:spacing w:after="0" w:line="141" w:lineRule="exact"/>
              <w:rPr>
                <w:sz w:val="20"/>
                <w:szCs w:val="20"/>
                <w:color w:val="auto"/>
              </w:rPr>
            </w:pPr>
            <w:r>
              <w:rPr>
                <w:rFonts w:ascii="Arial" w:cs="Arial" w:eastAsia="Arial" w:hAnsi="Arial"/>
                <w:sz w:val="13"/>
                <w:szCs w:val="13"/>
                <w:color w:val="auto"/>
              </w:rPr>
              <w:t>41,428</w:t>
            </w:r>
          </w:p>
        </w:tc>
        <w:tc>
          <w:tcPr>
            <w:tcW w:w="300" w:type="dxa"/>
            <w:vAlign w:val="bottom"/>
            <w:gridSpan w:val="2"/>
            <w:shd w:val="clear" w:color="auto" w:fill="CCEEFF"/>
          </w:tcPr>
          <w:p>
            <w:pPr>
              <w:jc w:val="right"/>
              <w:ind w:right="21"/>
              <w:spacing w:after="0" w:line="141"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(770)</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71"/>
        </w:trPr>
        <w:tc>
          <w:tcPr>
            <w:tcW w:w="2260" w:type="dxa"/>
            <w:vAlign w:val="bottom"/>
            <w:gridSpan w:val="2"/>
          </w:tcPr>
          <w:p>
            <w:pPr>
              <w:spacing w:after="0"/>
              <w:rPr>
                <w:sz w:val="20"/>
                <w:szCs w:val="20"/>
                <w:color w:val="auto"/>
              </w:rPr>
            </w:pPr>
            <w:r>
              <w:rPr>
                <w:rFonts w:ascii="Arial" w:cs="Arial" w:eastAsia="Arial" w:hAnsi="Arial"/>
                <w:sz w:val="13"/>
                <w:szCs w:val="13"/>
                <w:color w:val="auto"/>
              </w:rPr>
              <w:t>Collateralized mortgage obligations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3"/>
                <w:szCs w:val="13"/>
                <w:color w:val="auto"/>
              </w:rPr>
              <w:t>155,668</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3"/>
                <w:szCs w:val="13"/>
                <w:color w:val="auto"/>
              </w:rPr>
              <w:t>(3,223)</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3"/>
                <w:szCs w:val="13"/>
                <w:color w:val="auto"/>
              </w:rPr>
              <w:t>38,459</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(1,497)</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194,127</w:t>
            </w:r>
          </w:p>
        </w:tc>
        <w:tc>
          <w:tcPr>
            <w:tcW w:w="80" w:type="dxa"/>
            <w:vAlign w:val="bottom"/>
          </w:tcPr>
          <w:p>
            <w:pPr>
              <w:spacing w:after="0"/>
              <w:rPr>
                <w:sz w:val="14"/>
                <w:szCs w:val="14"/>
                <w:color w:val="auto"/>
              </w:rPr>
            </w:pPr>
          </w:p>
        </w:tc>
        <w:tc>
          <w:tcPr>
            <w:tcW w:w="300" w:type="dxa"/>
            <w:vAlign w:val="bottom"/>
            <w:gridSpan w:val="2"/>
          </w:tcPr>
          <w:p>
            <w:pPr>
              <w:jc w:val="right"/>
              <w:ind w:right="21"/>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(4,720)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39"/>
        </w:trPr>
        <w:tc>
          <w:tcPr>
            <w:tcW w:w="40" w:type="dxa"/>
            <w:vAlign w:val="bottom"/>
          </w:tcPr>
          <w:p>
            <w:pPr>
              <w:spacing w:after="0"/>
              <w:rPr>
                <w:sz w:val="12"/>
                <w:szCs w:val="12"/>
                <w:color w:val="auto"/>
              </w:rPr>
            </w:pPr>
          </w:p>
        </w:tc>
        <w:tc>
          <w:tcPr>
            <w:tcW w:w="222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Mortgage-backed securities -</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49"/>
        </w:trPr>
        <w:tc>
          <w:tcPr>
            <w:tcW w:w="40" w:type="dxa"/>
            <w:vAlign w:val="bottom"/>
          </w:tcPr>
          <w:p>
            <w:pPr>
              <w:spacing w:after="0"/>
              <w:rPr>
                <w:sz w:val="12"/>
                <w:szCs w:val="12"/>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3"/>
                <w:szCs w:val="13"/>
                <w:color w:val="auto"/>
              </w:rPr>
              <w:t>Residential</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88,772</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62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(1,178)</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37,373</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(1,274)</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126,145</w:t>
            </w:r>
          </w:p>
        </w:tc>
        <w:tc>
          <w:tcPr>
            <w:tcW w:w="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21"/>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(2,452)</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62"/>
        </w:trPr>
        <w:tc>
          <w:tcPr>
            <w:tcW w:w="2260" w:type="dxa"/>
            <w:vAlign w:val="bottom"/>
            <w:gridSpan w:val="2"/>
          </w:tcPr>
          <w:p>
            <w:pPr>
              <w:spacing w:after="0"/>
              <w:rPr>
                <w:sz w:val="20"/>
                <w:szCs w:val="20"/>
                <w:color w:val="auto"/>
              </w:rPr>
            </w:pPr>
            <w:r>
              <w:rPr>
                <w:rFonts w:ascii="Arial" w:cs="Arial" w:eastAsia="Arial" w:hAnsi="Arial"/>
                <w:sz w:val="13"/>
                <w:szCs w:val="13"/>
                <w:color w:val="auto"/>
              </w:rPr>
              <w:t>Mortgage-backed securities -</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37"/>
        </w:trPr>
        <w:tc>
          <w:tcPr>
            <w:tcW w:w="2260" w:type="dxa"/>
            <w:vAlign w:val="bottom"/>
            <w:gridSpan w:val="2"/>
          </w:tcPr>
          <w:p>
            <w:pPr>
              <w:spacing w:after="0" w:line="138" w:lineRule="exact"/>
              <w:rPr>
                <w:sz w:val="20"/>
                <w:szCs w:val="20"/>
                <w:color w:val="auto"/>
              </w:rPr>
            </w:pPr>
            <w:r>
              <w:rPr>
                <w:rFonts w:ascii="Arial" w:cs="Arial" w:eastAsia="Arial" w:hAnsi="Arial"/>
                <w:sz w:val="13"/>
                <w:szCs w:val="13"/>
                <w:color w:val="auto"/>
              </w:rPr>
              <w:t>Commercial</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3"/>
          </w:tcPr>
          <w:p>
            <w:pPr>
              <w:jc w:val="right"/>
              <w:ind w:right="60"/>
              <w:spacing w:after="0" w:line="138" w:lineRule="exact"/>
              <w:rPr>
                <w:sz w:val="20"/>
                <w:szCs w:val="20"/>
                <w:color w:val="auto"/>
              </w:rPr>
            </w:pPr>
            <w:r>
              <w:rPr>
                <w:rFonts w:ascii="Arial" w:cs="Arial" w:eastAsia="Arial" w:hAnsi="Arial"/>
                <w:sz w:val="13"/>
                <w:szCs w:val="13"/>
                <w:color w:val="auto"/>
              </w:rPr>
              <w:t>25,289</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3"/>
          </w:tcPr>
          <w:p>
            <w:pPr>
              <w:jc w:val="right"/>
              <w:ind w:right="40"/>
              <w:spacing w:after="0" w:line="138" w:lineRule="exact"/>
              <w:rPr>
                <w:sz w:val="20"/>
                <w:szCs w:val="20"/>
                <w:color w:val="auto"/>
              </w:rPr>
            </w:pPr>
            <w:r>
              <w:rPr>
                <w:rFonts w:ascii="Arial" w:cs="Arial" w:eastAsia="Arial" w:hAnsi="Arial"/>
                <w:sz w:val="13"/>
                <w:szCs w:val="13"/>
                <w:color w:val="auto"/>
              </w:rPr>
              <w:t>(318)</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3"/>
          </w:tcPr>
          <w:p>
            <w:pPr>
              <w:jc w:val="right"/>
              <w:ind w:right="80"/>
              <w:spacing w:after="0" w:line="138" w:lineRule="exact"/>
              <w:rPr>
                <w:sz w:val="20"/>
                <w:szCs w:val="20"/>
                <w:color w:val="auto"/>
              </w:rPr>
            </w:pPr>
            <w:r>
              <w:rPr>
                <w:rFonts w:ascii="Arial" w:cs="Arial" w:eastAsia="Arial" w:hAnsi="Arial"/>
                <w:sz w:val="13"/>
                <w:szCs w:val="13"/>
                <w:color w:val="auto"/>
              </w:rPr>
              <w:t>7,507</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(309)</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3"/>
          </w:tcPr>
          <w:p>
            <w:pPr>
              <w:jc w:val="right"/>
              <w:ind w:right="80"/>
              <w:spacing w:after="0" w:line="138" w:lineRule="exact"/>
              <w:rPr>
                <w:sz w:val="20"/>
                <w:szCs w:val="20"/>
                <w:color w:val="auto"/>
              </w:rPr>
            </w:pPr>
            <w:r>
              <w:rPr>
                <w:rFonts w:ascii="Arial" w:cs="Arial" w:eastAsia="Arial" w:hAnsi="Arial"/>
                <w:sz w:val="13"/>
                <w:szCs w:val="13"/>
                <w:color w:val="auto"/>
              </w:rPr>
              <w:t>32,796</w:t>
            </w:r>
          </w:p>
        </w:tc>
        <w:tc>
          <w:tcPr>
            <w:tcW w:w="300" w:type="dxa"/>
            <w:vAlign w:val="bottom"/>
            <w:gridSpan w:val="2"/>
          </w:tcPr>
          <w:p>
            <w:pPr>
              <w:jc w:val="right"/>
              <w:ind w:right="21"/>
              <w:spacing w:after="0" w:line="138"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(627)</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71"/>
        </w:trPr>
        <w:tc>
          <w:tcPr>
            <w:tcW w:w="40" w:type="dxa"/>
            <w:vAlign w:val="bottom"/>
          </w:tcPr>
          <w:p>
            <w:pPr>
              <w:spacing w:after="0"/>
              <w:rPr>
                <w:sz w:val="14"/>
                <w:szCs w:val="14"/>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3"/>
                <w:szCs w:val="13"/>
                <w:color w:val="auto"/>
              </w:rPr>
              <w:t>Municipal securities</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11,292</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62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(395)</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tcBorders>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11,978</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(499)</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23,270</w:t>
            </w:r>
          </w:p>
        </w:tc>
        <w:tc>
          <w:tcPr>
            <w:tcW w:w="300" w:type="dxa"/>
            <w:vAlign w:val="bottom"/>
            <w:gridSpan w:val="2"/>
            <w:shd w:val="clear" w:color="auto" w:fill="CCEEFF"/>
          </w:tcPr>
          <w:p>
            <w:pPr>
              <w:jc w:val="right"/>
              <w:ind w:right="21"/>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(894)</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60"/>
        </w:trPr>
        <w:tc>
          <w:tcPr>
            <w:tcW w:w="2260" w:type="dxa"/>
            <w:vAlign w:val="bottom"/>
            <w:gridSpan w:val="2"/>
          </w:tcPr>
          <w:p>
            <w:pPr>
              <w:spacing w:after="0"/>
              <w:rPr>
                <w:sz w:val="20"/>
                <w:szCs w:val="20"/>
                <w:color w:val="auto"/>
              </w:rPr>
            </w:pPr>
            <w:r>
              <w:rPr>
                <w:rFonts w:ascii="Arial" w:cs="Arial" w:eastAsia="Arial" w:hAnsi="Arial"/>
                <w:sz w:val="13"/>
                <w:szCs w:val="13"/>
                <w:color w:val="auto"/>
              </w:rPr>
              <w:t>Bank subordinated debt securities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3"/>
                <w:szCs w:val="13"/>
                <w:color w:val="auto"/>
              </w:rPr>
              <w:t>4,487</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3"/>
                <w:szCs w:val="13"/>
                <w:color w:val="auto"/>
              </w:rPr>
              <w:t>(13)</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4,487</w:t>
            </w:r>
          </w:p>
        </w:tc>
        <w:tc>
          <w:tcPr>
            <w:tcW w:w="80" w:type="dxa"/>
            <w:vAlign w:val="bottom"/>
          </w:tcPr>
          <w:p>
            <w:pPr>
              <w:spacing w:after="0"/>
              <w:rPr>
                <w:sz w:val="13"/>
                <w:szCs w:val="13"/>
                <w:color w:val="auto"/>
              </w:rPr>
            </w:pPr>
          </w:p>
        </w:tc>
        <w:tc>
          <w:tcPr>
            <w:tcW w:w="300" w:type="dxa"/>
            <w:vAlign w:val="bottom"/>
            <w:gridSpan w:val="2"/>
          </w:tcPr>
          <w:p>
            <w:pPr>
              <w:jc w:val="right"/>
              <w:ind w:right="21"/>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(13)</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2"/>
        </w:trPr>
        <w:tc>
          <w:tcPr>
            <w:tcW w:w="40" w:type="dxa"/>
            <w:vAlign w:val="bottom"/>
          </w:tcPr>
          <w:p>
            <w:pPr>
              <w:spacing w:after="0"/>
              <w:rPr>
                <w:sz w:val="13"/>
                <w:szCs w:val="13"/>
                <w:color w:val="auto"/>
              </w:rPr>
            </w:pPr>
          </w:p>
        </w:tc>
        <w:tc>
          <w:tcPr>
            <w:tcW w:w="2220" w:type="dxa"/>
            <w:vAlign w:val="bottom"/>
            <w:shd w:val="clear" w:color="auto" w:fill="CCEEFF"/>
          </w:tcPr>
          <w:p>
            <w:pPr>
              <w:spacing w:after="0"/>
              <w:rPr>
                <w:sz w:val="13"/>
                <w:szCs w:val="13"/>
                <w:color w:val="auto"/>
              </w:rPr>
            </w:pPr>
          </w:p>
        </w:tc>
        <w:tc>
          <w:tcPr>
            <w:tcW w:w="12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6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311,459</w:t>
            </w:r>
          </w:p>
        </w:tc>
        <w:tc>
          <w:tcPr>
            <w:tcW w:w="32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62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(5,381)</w:t>
            </w:r>
          </w:p>
        </w:tc>
        <w:tc>
          <w:tcPr>
            <w:tcW w:w="320" w:type="dxa"/>
            <w:vAlign w:val="bottom"/>
            <w:gridSpan w:val="3"/>
            <w:shd w:val="clear" w:color="auto" w:fill="CCEEFF"/>
          </w:tcPr>
          <w:p>
            <w:pPr>
              <w:jc w:val="right"/>
              <w:ind w:right="21"/>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110,794</w:t>
            </w:r>
          </w:p>
        </w:tc>
        <w:tc>
          <w:tcPr>
            <w:tcW w:w="80" w:type="dxa"/>
            <w:vAlign w:val="bottom"/>
            <w:tcBorders>
              <w:right w:val="single" w:sz="8" w:color="CCEEFF"/>
            </w:tcBorders>
            <w:shd w:val="clear" w:color="auto" w:fill="CCEEFF"/>
          </w:tcPr>
          <w:p>
            <w:pPr>
              <w:spacing w:after="0"/>
              <w:rPr>
                <w:sz w:val="13"/>
                <w:szCs w:val="13"/>
                <w:color w:val="auto"/>
              </w:rPr>
            </w:pPr>
          </w:p>
        </w:tc>
        <w:tc>
          <w:tcPr>
            <w:tcW w:w="320" w:type="dxa"/>
            <w:vAlign w:val="bottom"/>
            <w:tcBorders>
              <w:right w:val="single" w:sz="8" w:color="CCEEFF"/>
            </w:tcBorders>
            <w:gridSpan w:val="3"/>
            <w:shd w:val="clear" w:color="auto" w:fill="CCEEFF"/>
          </w:tcPr>
          <w:p>
            <w:pPr>
              <w:jc w:val="right"/>
              <w:ind w:right="24"/>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(4,095)</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4"/>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422,253</w:t>
            </w:r>
          </w:p>
        </w:tc>
        <w:tc>
          <w:tcPr>
            <w:tcW w:w="8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21"/>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(9,476)</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left="640" w:right="719" w:firstLine="256"/>
        <w:spacing w:after="0" w:line="253" w:lineRule="auto"/>
        <w:rPr>
          <w:sz w:val="20"/>
          <w:szCs w:val="20"/>
          <w:color w:val="auto"/>
        </w:rPr>
      </w:pPr>
      <w:r>
        <w:rPr>
          <w:rFonts w:ascii="Arial" w:cs="Arial" w:eastAsia="Arial" w:hAnsi="Arial"/>
          <w:sz w:val="14"/>
          <w:szCs w:val="14"/>
          <w:color w:val="auto"/>
        </w:rPr>
        <w:t>The unrealized losses associated with $134.7 million of investment securities transferred from the AFS portfolio to the HTM portfolio represent unrealized losses since the date of purchase, independent of the impact associated with changes in the cost basis upon transfer between portfolios.</w:t>
      </w:r>
    </w:p>
    <w:p>
      <w:pPr>
        <w:spacing w:after="0" w:line="312"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25</w:t>
      </w:r>
      <w:r>
        <w:rPr>
          <w:sz w:val="20"/>
          <w:szCs w:val="20"/>
          <w:color w:val="auto"/>
        </w:rPr>
        <w:tab/>
      </w:r>
      <w:r>
        <w:rPr>
          <w:rFonts w:ascii="Arial" w:cs="Arial" w:eastAsia="Arial" w:hAnsi="Arial"/>
          <w:sz w:val="14"/>
          <w:szCs w:val="14"/>
          <w:color w:val="auto"/>
        </w:rPr>
        <w:t>USCB Financial Holdings, Inc.</w:t>
        <w:tab/>
        <w:t>2022 10-K/A</w:t>
      </w:r>
    </w:p>
    <w:p>
      <w:pPr>
        <w:sectPr>
          <w:pgSz w:w="11900" w:h="16838" w:orient="portrait"/>
          <w:cols w:equalWidth="0" w:num="1">
            <w:col w:w="9019"/>
          </w:cols>
          <w:pgMar w:left="1440" w:top="490" w:right="1440" w:bottom="1440" w:gutter="0" w:footer="0" w:header="0"/>
        </w:sectPr>
      </w:pPr>
    </w:p>
    <w:bookmarkStart w:id="25" w:name="page26"/>
    <w:bookmarkEnd w:id="2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80" w:lineRule="exact"/>
        <w:rPr>
          <w:sz w:val="20"/>
          <w:szCs w:val="20"/>
          <w:color w:val="auto"/>
        </w:rPr>
      </w:pPr>
    </w:p>
    <w:p>
      <w:pPr>
        <w:jc w:val="both"/>
        <w:ind w:left="640" w:right="699" w:firstLine="256"/>
        <w:spacing w:after="0" w:line="244" w:lineRule="auto"/>
        <w:rPr>
          <w:sz w:val="20"/>
          <w:szCs w:val="20"/>
          <w:color w:val="auto"/>
        </w:rPr>
      </w:pPr>
      <w:r>
        <w:rPr>
          <w:rFonts w:ascii="Arial" w:cs="Arial" w:eastAsia="Arial" w:hAnsi="Arial"/>
          <w:sz w:val="14"/>
          <w:szCs w:val="14"/>
          <w:color w:val="auto"/>
        </w:rPr>
        <w:t>The Company performs a review of the investments that have an unrealized loss to determine whether there have been any changes in the economic circumstance of the security issuer to indicate that the unrealized loss is impaired on an other-than-temporary (“OTTI”) basis. Management considers several factors in their analysis including (i) severity and duration of the impairment, (ii) credit rating of the security including any downgrade, (iii) intent to sell the security, or if it is more likely than not that it will be required to sell the security before recovery, (iv) whether there have been any payment defaults and</w:t>
      </w:r>
    </w:p>
    <w:p>
      <w:pPr>
        <w:spacing w:after="0" w:line="3" w:lineRule="exact"/>
        <w:rPr>
          <w:sz w:val="20"/>
          <w:szCs w:val="20"/>
          <w:color w:val="auto"/>
        </w:rPr>
      </w:pPr>
    </w:p>
    <w:p>
      <w:pPr>
        <w:ind w:left="640"/>
        <w:spacing w:after="0"/>
        <w:rPr>
          <w:sz w:val="20"/>
          <w:szCs w:val="20"/>
          <w:color w:val="auto"/>
        </w:rPr>
      </w:pPr>
      <w:r>
        <w:rPr>
          <w:rFonts w:ascii="Arial" w:cs="Arial" w:eastAsia="Arial" w:hAnsi="Arial"/>
          <w:sz w:val="14"/>
          <w:szCs w:val="14"/>
          <w:color w:val="auto"/>
        </w:rPr>
        <w:t>(v) underlying guarantor of the securities.</w:t>
      </w:r>
    </w:p>
    <w:p>
      <w:pPr>
        <w:spacing w:after="0" w:line="159" w:lineRule="exact"/>
        <w:rPr>
          <w:sz w:val="20"/>
          <w:szCs w:val="20"/>
          <w:color w:val="auto"/>
        </w:rPr>
      </w:pPr>
    </w:p>
    <w:p>
      <w:pPr>
        <w:jc w:val="both"/>
        <w:ind w:left="640" w:right="659" w:firstLine="256"/>
        <w:spacing w:after="0" w:line="247" w:lineRule="auto"/>
        <w:rPr>
          <w:sz w:val="20"/>
          <w:szCs w:val="20"/>
          <w:color w:val="auto"/>
        </w:rPr>
      </w:pPr>
      <w:r>
        <w:rPr>
          <w:rFonts w:ascii="Arial" w:cs="Arial" w:eastAsia="Arial" w:hAnsi="Arial"/>
          <w:sz w:val="14"/>
          <w:szCs w:val="14"/>
          <w:color w:val="auto"/>
        </w:rPr>
        <w:t>At December 31, 2022, the Company had $ 53.7 million of unrealized losses on mortgage backed securities and collateralized mortgage obligations of government sponsored entities having a fair value of $294.6 million that were attributable to a combination of factors, including relative changes in interest rates since the time of purchase. The contractual cash flows for these securities are guaranteed by U.S. government agencies and U.S. government sponsored entities. The municipal bonds are of high credit quality and the declines in fair value are not due to credit quality. Based on the assessment of these mitigating factors, management believes that the unrealized losses on these debt security holdings are a function of changes in investment spreads and interest rate movements and not changes in credit quality. Management expects to recover the entire amortized cost basis of these securities.</w:t>
      </w:r>
    </w:p>
    <w:p>
      <w:pPr>
        <w:spacing w:after="0" w:line="147" w:lineRule="exact"/>
        <w:rPr>
          <w:sz w:val="20"/>
          <w:szCs w:val="20"/>
          <w:color w:val="auto"/>
        </w:rPr>
      </w:pPr>
    </w:p>
    <w:p>
      <w:pPr>
        <w:jc w:val="both"/>
        <w:ind w:left="640" w:right="719" w:firstLine="256"/>
        <w:spacing w:after="0" w:line="248" w:lineRule="auto"/>
        <w:rPr>
          <w:sz w:val="20"/>
          <w:szCs w:val="20"/>
          <w:color w:val="auto"/>
        </w:rPr>
      </w:pPr>
      <w:r>
        <w:rPr>
          <w:rFonts w:ascii="Arial" w:cs="Arial" w:eastAsia="Arial" w:hAnsi="Arial"/>
          <w:sz w:val="14"/>
          <w:szCs w:val="14"/>
          <w:color w:val="auto"/>
        </w:rPr>
        <w:t>At December 31, 2022, the Company does not intend to sell debt securities that are in an unrealized loss position and it is not more than likely than not that the Company will be required to sell these securities before recovery of the amortized cost basis. Therefore, management does not consider any investment to be other than temporarily impaired at December 31, 2022.</w:t>
      </w:r>
    </w:p>
    <w:p>
      <w:pPr>
        <w:spacing w:after="0" w:line="156" w:lineRule="exact"/>
        <w:rPr>
          <w:sz w:val="20"/>
          <w:szCs w:val="20"/>
          <w:color w:val="auto"/>
        </w:rPr>
      </w:pPr>
    </w:p>
    <w:p>
      <w:pPr>
        <w:jc w:val="both"/>
        <w:ind w:left="640" w:right="659" w:firstLine="256"/>
        <w:spacing w:after="0" w:line="248" w:lineRule="auto"/>
        <w:rPr>
          <w:sz w:val="20"/>
          <w:szCs w:val="20"/>
          <w:color w:val="auto"/>
        </w:rPr>
      </w:pPr>
      <w:r>
        <w:rPr>
          <w:rFonts w:ascii="Arial" w:cs="Arial" w:eastAsia="Arial" w:hAnsi="Arial"/>
          <w:sz w:val="14"/>
          <w:szCs w:val="14"/>
          <w:color w:val="auto"/>
        </w:rPr>
        <w:t>As of December 31, 2022, the Company maintains a master repurchase agreement with a public banking institution for up to $20.0 million fully guaranteed with investment securities upon withdrawal. Any amounts borrowed would be at a variable interest rate based on prevailing rates at the time funding is requested. At December 31, 2022, the Company did not have any securities pledged under this agreement.</w:t>
      </w:r>
    </w:p>
    <w:p>
      <w:pPr>
        <w:spacing w:after="0" w:line="156" w:lineRule="exact"/>
        <w:rPr>
          <w:sz w:val="20"/>
          <w:szCs w:val="20"/>
          <w:color w:val="auto"/>
        </w:rPr>
      </w:pPr>
    </w:p>
    <w:p>
      <w:pPr>
        <w:jc w:val="both"/>
        <w:ind w:left="640" w:right="699" w:firstLine="256"/>
        <w:spacing w:after="0" w:line="248" w:lineRule="auto"/>
        <w:rPr>
          <w:sz w:val="20"/>
          <w:szCs w:val="20"/>
          <w:color w:val="auto"/>
        </w:rPr>
      </w:pPr>
      <w:r>
        <w:rPr>
          <w:rFonts w:ascii="Arial" w:cs="Arial" w:eastAsia="Arial" w:hAnsi="Arial"/>
          <w:sz w:val="14"/>
          <w:szCs w:val="14"/>
          <w:color w:val="auto"/>
        </w:rPr>
        <w:t>In 2018, the Company became a Qualified Public Depositor (“QPD”) with the State of Florida. As a QPD, the Company has the authority to legally maintain public deposits from cities, municipalities, and the State of Florida. These public deposits are secured by securities pledged to the State of Florida at a ratio of 25% of the average outstanding uninsured deposits. The Company must also maintain a minimum amount of pledged securities to be in the program.</w:t>
      </w:r>
    </w:p>
    <w:p>
      <w:pPr>
        <w:spacing w:after="0" w:line="145" w:lineRule="exact"/>
        <w:rPr>
          <w:sz w:val="20"/>
          <w:szCs w:val="20"/>
          <w:color w:val="auto"/>
        </w:rPr>
      </w:pPr>
    </w:p>
    <w:p>
      <w:pPr>
        <w:jc w:val="both"/>
        <w:ind w:left="640" w:right="719" w:firstLine="256"/>
        <w:spacing w:after="0" w:line="268" w:lineRule="auto"/>
        <w:rPr>
          <w:sz w:val="20"/>
          <w:szCs w:val="20"/>
          <w:color w:val="auto"/>
        </w:rPr>
      </w:pPr>
      <w:r>
        <w:rPr>
          <w:rFonts w:ascii="Arial" w:cs="Arial" w:eastAsia="Arial" w:hAnsi="Arial"/>
          <w:sz w:val="14"/>
          <w:szCs w:val="14"/>
          <w:color w:val="auto"/>
        </w:rPr>
        <w:t>At December 31, 2022, the Company had eighteen securities with a fair value of $49.0 million pledged to the State of Florida under the public funds program. The Company held a total of $204.2 million in public funds at December 31, 2022.</w:t>
      </w:r>
    </w:p>
    <w:p>
      <w:pPr>
        <w:spacing w:after="0" w:line="131" w:lineRule="exact"/>
        <w:rPr>
          <w:sz w:val="20"/>
          <w:szCs w:val="20"/>
          <w:color w:val="auto"/>
        </w:rPr>
      </w:pPr>
    </w:p>
    <w:p>
      <w:pPr>
        <w:jc w:val="both"/>
        <w:ind w:left="640" w:right="699" w:firstLine="256"/>
        <w:spacing w:after="0" w:line="268" w:lineRule="auto"/>
        <w:rPr>
          <w:sz w:val="20"/>
          <w:szCs w:val="20"/>
          <w:color w:val="auto"/>
        </w:rPr>
      </w:pPr>
      <w:r>
        <w:rPr>
          <w:rFonts w:ascii="Arial" w:cs="Arial" w:eastAsia="Arial" w:hAnsi="Arial"/>
          <w:sz w:val="14"/>
          <w:szCs w:val="14"/>
          <w:color w:val="auto"/>
        </w:rPr>
        <w:t>At December 31, 2021, the Company had eleven securities with a fair value of $20.4 million pledged to the State of Florida under the public funds program. The Company held a total of $37.3 million in public funds at December 31, 2021.</w:t>
      </w:r>
    </w:p>
    <w:p>
      <w:pPr>
        <w:spacing w:after="0" w:line="113" w:lineRule="exact"/>
        <w:rPr>
          <w:sz w:val="20"/>
          <w:szCs w:val="20"/>
          <w:color w:val="auto"/>
        </w:rPr>
      </w:pPr>
    </w:p>
    <w:p>
      <w:pPr>
        <w:ind w:left="1020" w:hanging="378"/>
        <w:spacing w:after="0"/>
        <w:tabs>
          <w:tab w:leader="none" w:pos="1020" w:val="left"/>
        </w:tabs>
        <w:numPr>
          <w:ilvl w:val="0"/>
          <w:numId w:val="9"/>
        </w:numPr>
        <w:rPr>
          <w:rFonts w:ascii="Arial" w:cs="Arial" w:eastAsia="Arial" w:hAnsi="Arial"/>
          <w:sz w:val="14"/>
          <w:szCs w:val="14"/>
          <w:b w:val="1"/>
          <w:bCs w:val="1"/>
          <w:color w:val="auto"/>
        </w:rPr>
      </w:pPr>
      <w:r>
        <w:rPr>
          <w:rFonts w:ascii="Arial" w:cs="Arial" w:eastAsia="Arial" w:hAnsi="Arial"/>
          <w:sz w:val="14"/>
          <w:szCs w:val="14"/>
          <w:b w:val="1"/>
          <w:bCs w:val="1"/>
          <w:color w:val="auto"/>
        </w:rPr>
        <w:t>LOANS</w:t>
      </w:r>
    </w:p>
    <w:p>
      <w:pPr>
        <w:spacing w:after="0" w:line="220" w:lineRule="exact"/>
        <w:rPr>
          <w:sz w:val="20"/>
          <w:szCs w:val="20"/>
          <w:color w:val="auto"/>
        </w:rPr>
      </w:pPr>
    </w:p>
    <w:p>
      <w:pPr>
        <w:ind w:left="900"/>
        <w:spacing w:after="0"/>
        <w:rPr>
          <w:sz w:val="20"/>
          <w:szCs w:val="20"/>
          <w:color w:val="auto"/>
        </w:rPr>
      </w:pPr>
      <w:r>
        <w:rPr>
          <w:rFonts w:ascii="Arial" w:cs="Arial" w:eastAsia="Arial" w:hAnsi="Arial"/>
          <w:sz w:val="14"/>
          <w:szCs w:val="14"/>
          <w:color w:val="auto"/>
        </w:rPr>
        <w:t>The following table is a summary of the distribution of loans held for investment by type (in thousands):</w:t>
      </w:r>
    </w:p>
    <w:p>
      <w:pPr>
        <w:spacing w:after="0" w:line="219" w:lineRule="exact"/>
        <w:rPr>
          <w:sz w:val="20"/>
          <w:szCs w:val="20"/>
          <w:color w:val="auto"/>
        </w:rPr>
      </w:pPr>
    </w:p>
    <w:tbl>
      <w:tblPr>
        <w:tblLayout w:type="fixed"/>
        <w:tblInd w:w="620" w:type="dxa"/>
        <w:tblCellMar>
          <w:top w:w="0" w:type="dxa"/>
          <w:left w:w="0" w:type="dxa"/>
          <w:bottom w:w="0" w:type="dxa"/>
          <w:right w:w="0" w:type="dxa"/>
        </w:tblCellMar>
      </w:tblPr>
      <w:tr>
        <w:trPr>
          <w:trHeight w:val="153"/>
        </w:trPr>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7"/>
          </w:tcPr>
          <w:p>
            <w:pPr>
              <w:jc w:val="right"/>
              <w:ind w:right="536"/>
              <w:spacing w:after="0"/>
              <w:rPr>
                <w:sz w:val="20"/>
                <w:szCs w:val="20"/>
                <w:color w:val="auto"/>
              </w:rPr>
            </w:pPr>
            <w:r>
              <w:rPr>
                <w:rFonts w:ascii="Arial" w:cs="Arial" w:eastAsia="Arial" w:hAnsi="Arial"/>
                <w:sz w:val="13"/>
                <w:szCs w:val="13"/>
                <w:b w:val="1"/>
                <w:bCs w:val="1"/>
                <w:color w:val="auto"/>
              </w:rPr>
              <w:t>December 31, 2022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7"/>
          </w:tcPr>
          <w:p>
            <w:pPr>
              <w:jc w:val="right"/>
              <w:ind w:right="536"/>
              <w:spacing w:after="0"/>
              <w:rPr>
                <w:sz w:val="20"/>
                <w:szCs w:val="20"/>
                <w:color w:val="auto"/>
              </w:rPr>
            </w:pPr>
            <w:r>
              <w:rPr>
                <w:rFonts w:ascii="Arial" w:cs="Arial" w:eastAsia="Arial" w:hAnsi="Arial"/>
                <w:sz w:val="13"/>
                <w:szCs w:val="13"/>
                <w:b w:val="1"/>
                <w:bCs w:val="1"/>
                <w:color w:val="auto"/>
              </w:rPr>
              <w:t>December 31, 2021</w:t>
            </w:r>
          </w:p>
        </w:tc>
        <w:tc>
          <w:tcPr>
            <w:tcW w:w="20" w:type="dxa"/>
            <w:vAlign w:val="bottom"/>
          </w:tcPr>
          <w:p>
            <w:pPr>
              <w:spacing w:after="0"/>
              <w:rPr>
                <w:sz w:val="13"/>
                <w:szCs w:val="13"/>
                <w:color w:val="auto"/>
              </w:rPr>
            </w:pPr>
          </w:p>
        </w:tc>
      </w:tr>
      <w:tr>
        <w:trPr>
          <w:trHeight w:val="190"/>
        </w:trPr>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2"/>
          </w:tcPr>
          <w:p>
            <w:pPr>
              <w:jc w:val="right"/>
              <w:ind w:right="256"/>
              <w:spacing w:after="0"/>
              <w:rPr>
                <w:sz w:val="20"/>
                <w:szCs w:val="20"/>
                <w:color w:val="auto"/>
              </w:rPr>
            </w:pPr>
            <w:r>
              <w:rPr>
                <w:rFonts w:ascii="Arial" w:cs="Arial" w:eastAsia="Arial" w:hAnsi="Arial"/>
                <w:sz w:val="13"/>
                <w:szCs w:val="13"/>
                <w:b w:val="1"/>
                <w:bCs w:val="1"/>
                <w:color w:val="auto"/>
              </w:rPr>
              <w:t>Percent of</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2"/>
          </w:tcPr>
          <w:p>
            <w:pPr>
              <w:jc w:val="right"/>
              <w:ind w:right="256"/>
              <w:spacing w:after="0"/>
              <w:rPr>
                <w:sz w:val="20"/>
                <w:szCs w:val="20"/>
                <w:color w:val="auto"/>
              </w:rPr>
            </w:pPr>
            <w:r>
              <w:rPr>
                <w:rFonts w:ascii="Arial" w:cs="Arial" w:eastAsia="Arial" w:hAnsi="Arial"/>
                <w:sz w:val="13"/>
                <w:szCs w:val="13"/>
                <w:b w:val="1"/>
                <w:bCs w:val="1"/>
                <w:color w:val="auto"/>
              </w:rPr>
              <w:t>Percent of</w:t>
            </w:r>
          </w:p>
        </w:tc>
        <w:tc>
          <w:tcPr>
            <w:tcW w:w="20" w:type="dxa"/>
            <w:vAlign w:val="bottom"/>
          </w:tcPr>
          <w:p>
            <w:pPr>
              <w:spacing w:after="0"/>
              <w:rPr>
                <w:sz w:val="16"/>
                <w:szCs w:val="16"/>
                <w:color w:val="auto"/>
              </w:rPr>
            </w:pPr>
          </w:p>
        </w:tc>
      </w:tr>
      <w:tr>
        <w:trPr>
          <w:trHeight w:val="153"/>
        </w:trPr>
        <w:tc>
          <w:tcPr>
            <w:tcW w:w="40" w:type="dxa"/>
            <w:vAlign w:val="bottom"/>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660" w:type="dxa"/>
            <w:vAlign w:val="bottom"/>
            <w:tcBorders>
              <w:bottom w:val="single" w:sz="8" w:color="CCEEFF"/>
            </w:tcBorders>
          </w:tcPr>
          <w:p>
            <w:pPr>
              <w:spacing w:after="0"/>
              <w:rPr>
                <w:sz w:val="13"/>
                <w:szCs w:val="13"/>
                <w:color w:val="auto"/>
              </w:rPr>
            </w:pPr>
          </w:p>
        </w:tc>
        <w:tc>
          <w:tcPr>
            <w:tcW w:w="6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Total</w:t>
            </w:r>
          </w:p>
        </w:tc>
        <w:tc>
          <w:tcPr>
            <w:tcW w:w="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ind w:right="416"/>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Total</w:t>
            </w:r>
          </w:p>
        </w:tc>
        <w:tc>
          <w:tcPr>
            <w:tcW w:w="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ind w:right="416"/>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3"/>
                <w:szCs w:val="13"/>
                <w:color w:val="auto"/>
              </w:rPr>
            </w:pPr>
          </w:p>
        </w:tc>
      </w:tr>
      <w:tr>
        <w:trPr>
          <w:trHeight w:val="151"/>
        </w:trPr>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3"/>
                <w:szCs w:val="13"/>
                <w:color w:val="auto"/>
              </w:rPr>
              <w:t>Residential Real Estate</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185,636</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24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201,359</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16.9</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20" w:type="dxa"/>
            <w:vAlign w:val="bottom"/>
            <w:shd w:val="clear" w:color="auto" w:fill="CCEEFF"/>
          </w:tcPr>
          <w:p>
            <w:pPr>
              <w:spacing w:after="0"/>
              <w:rPr>
                <w:sz w:val="13"/>
                <w:szCs w:val="13"/>
                <w:color w:val="auto"/>
              </w:rPr>
            </w:pPr>
          </w:p>
        </w:tc>
      </w:tr>
      <w:tr>
        <w:trPr>
          <w:trHeight w:val="171"/>
        </w:trPr>
        <w:tc>
          <w:tcPr>
            <w:tcW w:w="2720" w:type="dxa"/>
            <w:vAlign w:val="bottom"/>
            <w:gridSpan w:val="3"/>
          </w:tcPr>
          <w:p>
            <w:pPr>
              <w:spacing w:after="0"/>
              <w:rPr>
                <w:sz w:val="20"/>
                <w:szCs w:val="20"/>
                <w:color w:val="auto"/>
              </w:rPr>
            </w:pPr>
            <w:r>
              <w:rPr>
                <w:rFonts w:ascii="Arial" w:cs="Arial" w:eastAsia="Arial" w:hAnsi="Arial"/>
                <w:sz w:val="13"/>
                <w:szCs w:val="13"/>
                <w:color w:val="auto"/>
              </w:rPr>
              <w:t>Commercial Real Estate</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970,410</w:t>
            </w:r>
          </w:p>
        </w:tc>
        <w:tc>
          <w:tcPr>
            <w:tcW w:w="1140" w:type="dxa"/>
            <w:vAlign w:val="bottom"/>
            <w:gridSpan w:val="6"/>
          </w:tcPr>
          <w:p>
            <w:pPr>
              <w:jc w:val="right"/>
              <w:spacing w:after="0"/>
              <w:rPr>
                <w:sz w:val="20"/>
                <w:szCs w:val="20"/>
                <w:color w:val="auto"/>
              </w:rPr>
            </w:pPr>
            <w:r>
              <w:rPr>
                <w:rFonts w:ascii="Arial" w:cs="Arial" w:eastAsia="Arial" w:hAnsi="Arial"/>
                <w:sz w:val="13"/>
                <w:szCs w:val="13"/>
                <w:color w:val="auto"/>
              </w:rPr>
              <w:t>64.4 %</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704,988</w:t>
            </w:r>
          </w:p>
        </w:tc>
        <w:tc>
          <w:tcPr>
            <w:tcW w:w="1140" w:type="dxa"/>
            <w:vAlign w:val="bottom"/>
            <w:gridSpan w:val="6"/>
          </w:tcPr>
          <w:p>
            <w:pPr>
              <w:jc w:val="right"/>
              <w:spacing w:after="0"/>
              <w:rPr>
                <w:sz w:val="20"/>
                <w:szCs w:val="20"/>
                <w:color w:val="auto"/>
              </w:rPr>
            </w:pPr>
            <w:r>
              <w:rPr>
                <w:rFonts w:ascii="Arial" w:cs="Arial" w:eastAsia="Arial" w:hAnsi="Arial"/>
                <w:sz w:val="13"/>
                <w:szCs w:val="13"/>
                <w:color w:val="auto"/>
              </w:rPr>
              <w:t>59.2 %</w:t>
            </w:r>
          </w:p>
        </w:tc>
        <w:tc>
          <w:tcPr>
            <w:tcW w:w="20" w:type="dxa"/>
            <w:vAlign w:val="bottom"/>
          </w:tcPr>
          <w:p>
            <w:pPr>
              <w:spacing w:after="0"/>
              <w:rPr>
                <w:sz w:val="14"/>
                <w:szCs w:val="14"/>
                <w:color w:val="auto"/>
              </w:rPr>
            </w:pPr>
          </w:p>
        </w:tc>
      </w:tr>
      <w:tr>
        <w:trPr>
          <w:trHeight w:val="171"/>
        </w:trPr>
        <w:tc>
          <w:tcPr>
            <w:tcW w:w="60" w:type="dxa"/>
            <w:vAlign w:val="bottom"/>
            <w:gridSpan w:val="2"/>
          </w:tcPr>
          <w:p>
            <w:pPr>
              <w:spacing w:after="0"/>
              <w:rPr>
                <w:sz w:val="14"/>
                <w:szCs w:val="14"/>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126,984</w:t>
            </w:r>
          </w:p>
        </w:tc>
        <w:tc>
          <w:tcPr>
            <w:tcW w:w="60" w:type="dxa"/>
            <w:vAlign w:val="bottom"/>
            <w:gridSpan w:val="2"/>
            <w:shd w:val="clear" w:color="auto" w:fill="CCEEFF"/>
          </w:tcPr>
          <w:p>
            <w:pPr>
              <w:spacing w:after="0"/>
              <w:rPr>
                <w:sz w:val="14"/>
                <w:szCs w:val="14"/>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146,592</w:t>
            </w:r>
          </w:p>
        </w:tc>
        <w:tc>
          <w:tcPr>
            <w:tcW w:w="40" w:type="dxa"/>
            <w:vAlign w:val="bottom"/>
            <w:gridSpan w:val="2"/>
            <w:shd w:val="clear" w:color="auto" w:fill="CCEEFF"/>
          </w:tcPr>
          <w:p>
            <w:pPr>
              <w:spacing w:after="0"/>
              <w:rPr>
                <w:sz w:val="14"/>
                <w:szCs w:val="14"/>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20" w:type="dxa"/>
            <w:vAlign w:val="bottom"/>
            <w:shd w:val="clear" w:color="auto" w:fill="CCEEFF"/>
          </w:tcPr>
          <w:p>
            <w:pPr>
              <w:spacing w:after="0"/>
              <w:rPr>
                <w:sz w:val="14"/>
                <w:szCs w:val="14"/>
                <w:color w:val="auto"/>
              </w:rPr>
            </w:pPr>
          </w:p>
        </w:tc>
      </w:tr>
      <w:tr>
        <w:trPr>
          <w:trHeight w:val="171"/>
        </w:trPr>
        <w:tc>
          <w:tcPr>
            <w:tcW w:w="2720" w:type="dxa"/>
            <w:vAlign w:val="bottom"/>
            <w:gridSpan w:val="3"/>
          </w:tcPr>
          <w:p>
            <w:pPr>
              <w:spacing w:after="0"/>
              <w:rPr>
                <w:sz w:val="20"/>
                <w:szCs w:val="20"/>
                <w:color w:val="auto"/>
              </w:rPr>
            </w:pPr>
            <w:r>
              <w:rPr>
                <w:rFonts w:ascii="Arial" w:cs="Arial" w:eastAsia="Arial" w:hAnsi="Arial"/>
                <w:sz w:val="13"/>
                <w:szCs w:val="13"/>
                <w:color w:val="auto"/>
              </w:rPr>
              <w:t>Foreign Banks</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93,769</w:t>
            </w:r>
          </w:p>
        </w:tc>
        <w:tc>
          <w:tcPr>
            <w:tcW w:w="1140" w:type="dxa"/>
            <w:vAlign w:val="bottom"/>
            <w:gridSpan w:val="6"/>
          </w:tcPr>
          <w:p>
            <w:pPr>
              <w:jc w:val="right"/>
              <w:spacing w:after="0"/>
              <w:rPr>
                <w:sz w:val="20"/>
                <w:szCs w:val="20"/>
                <w:color w:val="auto"/>
              </w:rPr>
            </w:pPr>
            <w:r>
              <w:rPr>
                <w:rFonts w:ascii="Arial" w:cs="Arial" w:eastAsia="Arial" w:hAnsi="Arial"/>
                <w:sz w:val="13"/>
                <w:szCs w:val="13"/>
                <w:color w:val="auto"/>
              </w:rPr>
              <w:t>6.2 %</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59,491</w:t>
            </w:r>
          </w:p>
        </w:tc>
        <w:tc>
          <w:tcPr>
            <w:tcW w:w="1140" w:type="dxa"/>
            <w:vAlign w:val="bottom"/>
            <w:gridSpan w:val="6"/>
          </w:tcPr>
          <w:p>
            <w:pPr>
              <w:jc w:val="right"/>
              <w:spacing w:after="0"/>
              <w:rPr>
                <w:sz w:val="20"/>
                <w:szCs w:val="20"/>
                <w:color w:val="auto"/>
              </w:rPr>
            </w:pPr>
            <w:r>
              <w:rPr>
                <w:rFonts w:ascii="Arial" w:cs="Arial" w:eastAsia="Arial" w:hAnsi="Arial"/>
                <w:sz w:val="13"/>
                <w:szCs w:val="13"/>
                <w:color w:val="auto"/>
              </w:rPr>
              <w:t>5.0 %</w:t>
            </w:r>
          </w:p>
        </w:tc>
        <w:tc>
          <w:tcPr>
            <w:tcW w:w="20" w:type="dxa"/>
            <w:vAlign w:val="bottom"/>
          </w:tcPr>
          <w:p>
            <w:pPr>
              <w:spacing w:after="0"/>
              <w:rPr>
                <w:sz w:val="14"/>
                <w:szCs w:val="14"/>
                <w:color w:val="auto"/>
              </w:rPr>
            </w:pPr>
          </w:p>
        </w:tc>
      </w:tr>
      <w:tr>
        <w:trPr>
          <w:trHeight w:val="171"/>
        </w:trPr>
        <w:tc>
          <w:tcPr>
            <w:tcW w:w="60" w:type="dxa"/>
            <w:vAlign w:val="bottom"/>
            <w:gridSpan w:val="2"/>
          </w:tcPr>
          <w:p>
            <w:pPr>
              <w:spacing w:after="0"/>
              <w:rPr>
                <w:sz w:val="14"/>
                <w:szCs w:val="14"/>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3"/>
                <w:szCs w:val="13"/>
                <w:color w:val="auto"/>
              </w:rPr>
              <w:t>Consumer and Other</w:t>
            </w:r>
          </w:p>
        </w:tc>
        <w:tc>
          <w:tcPr>
            <w:tcW w:w="66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130,429</w:t>
            </w:r>
          </w:p>
        </w:tc>
        <w:tc>
          <w:tcPr>
            <w:tcW w:w="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79,229</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20" w:type="dxa"/>
            <w:vAlign w:val="bottom"/>
            <w:shd w:val="clear" w:color="auto" w:fill="CCEEFF"/>
          </w:tcPr>
          <w:p>
            <w:pPr>
              <w:spacing w:after="0"/>
              <w:rPr>
                <w:sz w:val="14"/>
                <w:szCs w:val="14"/>
                <w:color w:val="auto"/>
              </w:rPr>
            </w:pPr>
          </w:p>
        </w:tc>
      </w:tr>
      <w:tr>
        <w:trPr>
          <w:trHeight w:val="201"/>
        </w:trPr>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60" w:type="dxa"/>
            <w:vAlign w:val="bottom"/>
          </w:tcPr>
          <w:p>
            <w:pPr>
              <w:ind w:left="40"/>
              <w:spacing w:after="0"/>
              <w:rPr>
                <w:sz w:val="20"/>
                <w:szCs w:val="20"/>
                <w:color w:val="auto"/>
              </w:rPr>
            </w:pPr>
            <w:r>
              <w:rPr>
                <w:rFonts w:ascii="Arial" w:cs="Arial" w:eastAsia="Arial" w:hAnsi="Arial"/>
                <w:sz w:val="13"/>
                <w:szCs w:val="13"/>
                <w:color w:val="auto"/>
              </w:rPr>
              <w:t>Total gross loans</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1,507,228</w:t>
            </w:r>
          </w:p>
        </w:tc>
        <w:tc>
          <w:tcPr>
            <w:tcW w:w="1140" w:type="dxa"/>
            <w:vAlign w:val="bottom"/>
            <w:gridSpan w:val="6"/>
          </w:tcPr>
          <w:p>
            <w:pPr>
              <w:jc w:val="right"/>
              <w:spacing w:after="0"/>
              <w:rPr>
                <w:sz w:val="20"/>
                <w:szCs w:val="20"/>
                <w:color w:val="auto"/>
              </w:rPr>
            </w:pPr>
            <w:r>
              <w:rPr>
                <w:rFonts w:ascii="Arial" w:cs="Arial" w:eastAsia="Arial" w:hAnsi="Arial"/>
                <w:sz w:val="13"/>
                <w:szCs w:val="13"/>
                <w:color w:val="auto"/>
              </w:rPr>
              <w:t>100.0 %</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1,191,659</w:t>
            </w:r>
          </w:p>
        </w:tc>
        <w:tc>
          <w:tcPr>
            <w:tcW w:w="1140" w:type="dxa"/>
            <w:vAlign w:val="bottom"/>
            <w:gridSpan w:val="6"/>
          </w:tcPr>
          <w:p>
            <w:pPr>
              <w:jc w:val="right"/>
              <w:spacing w:after="0"/>
              <w:rPr>
                <w:sz w:val="20"/>
                <w:szCs w:val="20"/>
                <w:color w:val="auto"/>
              </w:rPr>
            </w:pPr>
            <w:r>
              <w:rPr>
                <w:rFonts w:ascii="Arial" w:cs="Arial" w:eastAsia="Arial" w:hAnsi="Arial"/>
                <w:sz w:val="13"/>
                <w:szCs w:val="13"/>
                <w:color w:val="auto"/>
              </w:rPr>
              <w:t>100.0 %</w:t>
            </w:r>
          </w:p>
        </w:tc>
        <w:tc>
          <w:tcPr>
            <w:tcW w:w="20" w:type="dxa"/>
            <w:vAlign w:val="bottom"/>
          </w:tcPr>
          <w:p>
            <w:pPr>
              <w:spacing w:after="0"/>
              <w:rPr>
                <w:sz w:val="17"/>
                <w:szCs w:val="17"/>
                <w:color w:val="auto"/>
              </w:rPr>
            </w:pPr>
          </w:p>
        </w:tc>
      </w:tr>
      <w:tr>
        <w:trPr>
          <w:trHeight w:val="121"/>
        </w:trPr>
        <w:tc>
          <w:tcPr>
            <w:tcW w:w="60" w:type="dxa"/>
            <w:vAlign w:val="bottom"/>
            <w:gridSpan w:val="2"/>
          </w:tcPr>
          <w:p>
            <w:pPr>
              <w:spacing w:after="0"/>
              <w:rPr>
                <w:sz w:val="10"/>
                <w:szCs w:val="10"/>
                <w:color w:val="auto"/>
              </w:rPr>
            </w:pPr>
          </w:p>
        </w:tc>
        <w:tc>
          <w:tcPr>
            <w:tcW w:w="2660" w:type="dxa"/>
            <w:vAlign w:val="bottom"/>
            <w:tcBorders>
              <w:top w:val="single" w:sz="8" w:color="CCEEFF"/>
            </w:tcBorders>
            <w:shd w:val="clear" w:color="auto" w:fill="CCEEFF"/>
          </w:tcPr>
          <w:p>
            <w:pPr>
              <w:spacing w:after="0" w:line="121" w:lineRule="exact"/>
              <w:rPr>
                <w:sz w:val="20"/>
                <w:szCs w:val="20"/>
                <w:color w:val="auto"/>
              </w:rPr>
            </w:pPr>
            <w:r>
              <w:rPr>
                <w:rFonts w:ascii="Arial" w:cs="Arial" w:eastAsia="Arial" w:hAnsi="Arial"/>
                <w:sz w:val="13"/>
                <w:szCs w:val="13"/>
                <w:color w:val="auto"/>
              </w:rPr>
              <w:t>Less: Unearned income</w:t>
            </w:r>
          </w:p>
        </w:tc>
        <w:tc>
          <w:tcPr>
            <w:tcW w:w="66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bottom w:val="single" w:sz="8" w:color="auto"/>
            </w:tcBorders>
            <w:shd w:val="clear" w:color="auto" w:fill="CCEEFF"/>
          </w:tcPr>
          <w:p>
            <w:pPr>
              <w:spacing w:after="0"/>
              <w:rPr>
                <w:sz w:val="10"/>
                <w:szCs w:val="10"/>
                <w:color w:val="auto"/>
              </w:rPr>
            </w:pPr>
          </w:p>
        </w:tc>
        <w:tc>
          <w:tcPr>
            <w:tcW w:w="820" w:type="dxa"/>
            <w:vAlign w:val="bottom"/>
            <w:tcBorders>
              <w:top w:val="single" w:sz="8" w:color="CCEEFF"/>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3"/>
                <w:szCs w:val="13"/>
                <w:color w:val="auto"/>
              </w:rPr>
              <w:t>(110)</w:t>
            </w:r>
          </w:p>
        </w:tc>
        <w:tc>
          <w:tcPr>
            <w:tcW w:w="40" w:type="dxa"/>
            <w:vAlign w:val="bottom"/>
            <w:tcBorders>
              <w:top w:val="single" w:sz="8" w:color="CCEEFF"/>
              <w:bottom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bottom w:val="single" w:sz="8" w:color="auto"/>
            </w:tcBorders>
            <w:shd w:val="clear" w:color="auto" w:fill="CCEEFF"/>
          </w:tcPr>
          <w:p>
            <w:pPr>
              <w:spacing w:after="0"/>
              <w:rPr>
                <w:sz w:val="10"/>
                <w:szCs w:val="10"/>
                <w:color w:val="auto"/>
              </w:rPr>
            </w:pPr>
          </w:p>
        </w:tc>
        <w:tc>
          <w:tcPr>
            <w:tcW w:w="820" w:type="dxa"/>
            <w:vAlign w:val="bottom"/>
            <w:tcBorders>
              <w:top w:val="single" w:sz="8" w:color="CCEEFF"/>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3"/>
                <w:szCs w:val="13"/>
                <w:color w:val="auto"/>
              </w:rPr>
              <w:t>1,578</w:t>
            </w:r>
          </w:p>
        </w:tc>
        <w:tc>
          <w:tcPr>
            <w:tcW w:w="20" w:type="dxa"/>
            <w:vAlign w:val="bottom"/>
            <w:tcBorders>
              <w:top w:val="single" w:sz="8" w:color="CCEEFF"/>
              <w:bottom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r>
      <w:tr>
        <w:trPr>
          <w:trHeight w:val="151"/>
        </w:trPr>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60" w:type="dxa"/>
            <w:vAlign w:val="bottom"/>
          </w:tcPr>
          <w:p>
            <w:pPr>
              <w:ind w:left="40"/>
              <w:spacing w:after="0"/>
              <w:rPr>
                <w:sz w:val="20"/>
                <w:szCs w:val="20"/>
                <w:color w:val="auto"/>
              </w:rPr>
            </w:pPr>
            <w:r>
              <w:rPr>
                <w:rFonts w:ascii="Arial" w:cs="Arial" w:eastAsia="Arial" w:hAnsi="Arial"/>
                <w:sz w:val="13"/>
                <w:szCs w:val="13"/>
                <w:color w:val="auto"/>
              </w:rPr>
              <w:t>Total loans net of unearned income</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1,507,338</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1,190,081</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1"/>
        </w:trPr>
        <w:tc>
          <w:tcPr>
            <w:tcW w:w="60" w:type="dxa"/>
            <w:vAlign w:val="bottom"/>
            <w:gridSpan w:val="2"/>
          </w:tcPr>
          <w:p>
            <w:pPr>
              <w:spacing w:after="0"/>
              <w:rPr>
                <w:sz w:val="14"/>
                <w:szCs w:val="14"/>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3"/>
                <w:szCs w:val="13"/>
                <w:color w:val="auto"/>
              </w:rPr>
              <w:t>Less: Allowance for credit losses</w:t>
            </w:r>
          </w:p>
        </w:tc>
        <w:tc>
          <w:tcPr>
            <w:tcW w:w="66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17,487</w:t>
            </w:r>
          </w:p>
        </w:tc>
        <w:tc>
          <w:tcPr>
            <w:tcW w:w="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15,057</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61"/>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60" w:type="dxa"/>
            <w:vAlign w:val="bottom"/>
          </w:tcPr>
          <w:p>
            <w:pPr>
              <w:ind w:left="40"/>
              <w:spacing w:after="0"/>
              <w:rPr>
                <w:sz w:val="20"/>
                <w:szCs w:val="20"/>
                <w:color w:val="auto"/>
              </w:rPr>
            </w:pPr>
            <w:r>
              <w:rPr>
                <w:rFonts w:ascii="Arial" w:cs="Arial" w:eastAsia="Arial" w:hAnsi="Arial"/>
                <w:sz w:val="13"/>
                <w:szCs w:val="13"/>
                <w:color w:val="auto"/>
              </w:rPr>
              <w:t>Total net loans</w:t>
            </w: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1,489,851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1,175,024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1" w:lineRule="exact"/>
        <w:rPr>
          <w:sz w:val="20"/>
          <w:szCs w:val="20"/>
          <w:color w:val="auto"/>
        </w:rPr>
      </w:pPr>
    </w:p>
    <w:p>
      <w:pPr>
        <w:ind w:left="640" w:right="699" w:firstLine="256"/>
        <w:spacing w:after="0" w:line="252" w:lineRule="auto"/>
        <w:rPr>
          <w:sz w:val="20"/>
          <w:szCs w:val="20"/>
          <w:color w:val="auto"/>
        </w:rPr>
      </w:pPr>
      <w:r>
        <w:rPr>
          <w:rFonts w:ascii="Arial" w:cs="Arial" w:eastAsia="Arial" w:hAnsi="Arial"/>
          <w:sz w:val="14"/>
          <w:szCs w:val="14"/>
          <w:color w:val="auto"/>
        </w:rPr>
        <w:t>At December 31, 2022 and 2021, the Company had $338.1 million and $185.1 million, respectively, of commercial real estate and residential mortgage loans pledged as collateral on lines of credit with the FHLB and the Federal Reserve Bank</w:t>
      </w:r>
    </w:p>
    <w:p>
      <w:pPr>
        <w:spacing w:after="0" w:line="302"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26</w:t>
      </w:r>
      <w:r>
        <w:rPr>
          <w:sz w:val="20"/>
          <w:szCs w:val="20"/>
          <w:color w:val="auto"/>
        </w:rPr>
        <w:tab/>
      </w:r>
      <w:r>
        <w:rPr>
          <w:rFonts w:ascii="Arial" w:cs="Arial" w:eastAsia="Arial" w:hAnsi="Arial"/>
          <w:sz w:val="14"/>
          <w:szCs w:val="14"/>
          <w:color w:val="auto"/>
        </w:rPr>
        <w:t>USCB Financial Holdings, Inc.</w:t>
        <w:tab/>
        <w:t>2022 10-K/A</w:t>
      </w:r>
    </w:p>
    <w:p>
      <w:pPr>
        <w:sectPr>
          <w:pgSz w:w="11900" w:h="16838" w:orient="portrait"/>
          <w:cols w:equalWidth="0" w:num="1">
            <w:col w:w="9019"/>
          </w:cols>
          <w:pgMar w:left="1440" w:top="490" w:right="1440" w:bottom="1440" w:gutter="0" w:footer="0" w:header="0"/>
        </w:sectPr>
      </w:pPr>
    </w:p>
    <w:bookmarkStart w:id="26" w:name="page27"/>
    <w:bookmarkEnd w:id="2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80" w:lineRule="exact"/>
        <w:rPr>
          <w:sz w:val="20"/>
          <w:szCs w:val="20"/>
          <w:color w:val="auto"/>
        </w:rPr>
      </w:pPr>
    </w:p>
    <w:p>
      <w:pPr>
        <w:ind w:left="640" w:right="719"/>
        <w:spacing w:after="0" w:line="252" w:lineRule="auto"/>
        <w:rPr>
          <w:sz w:val="20"/>
          <w:szCs w:val="20"/>
          <w:color w:val="auto"/>
        </w:rPr>
      </w:pPr>
      <w:r>
        <w:rPr>
          <w:rFonts w:ascii="Arial" w:cs="Arial" w:eastAsia="Arial" w:hAnsi="Arial"/>
          <w:sz w:val="14"/>
          <w:szCs w:val="14"/>
          <w:color w:val="auto"/>
        </w:rPr>
        <w:t>of Atlanta. At December 31, 2022 and 2021 the Company had no loans and one loan for $1.2 million, respectively, in the process of foreclosure.</w:t>
      </w:r>
    </w:p>
    <w:p>
      <w:pPr>
        <w:spacing w:after="0" w:line="153" w:lineRule="exact"/>
        <w:rPr>
          <w:sz w:val="20"/>
          <w:szCs w:val="20"/>
          <w:color w:val="auto"/>
        </w:rPr>
      </w:pPr>
    </w:p>
    <w:p>
      <w:pPr>
        <w:jc w:val="both"/>
        <w:ind w:left="640" w:right="699" w:firstLine="256"/>
        <w:spacing w:after="0" w:line="247" w:lineRule="auto"/>
        <w:rPr>
          <w:sz w:val="20"/>
          <w:szCs w:val="20"/>
          <w:color w:val="auto"/>
        </w:rPr>
      </w:pPr>
      <w:r>
        <w:rPr>
          <w:rFonts w:ascii="Arial" w:cs="Arial" w:eastAsia="Arial" w:hAnsi="Arial"/>
          <w:sz w:val="14"/>
          <w:szCs w:val="14"/>
          <w:color w:val="auto"/>
        </w:rPr>
        <w:t>The Company was a participant of the Small Business Administration’s (“SBA”) Paycheck Protection Program (“PPP”) loans. These loans were designed to provide a direct incentive for small businesses to keep their workers on payroll and had to be used towards payroll cost, mortgage interest, rent, utilities and other costs related to COVID-19. These loans are forgivable under specific criteria as determined by the SBA. The Company had PPP loans of $1.3 million at December 31, 2022 and $42.4 million at December 31, 2021, which are categorized as commercial and industrial loans. These PPP loans had deferred loan fees of $13 thousand at December 31, 2022 and $1.5 million at December 31, 2021.</w:t>
      </w:r>
    </w:p>
    <w:p>
      <w:pPr>
        <w:spacing w:after="0" w:line="147" w:lineRule="exact"/>
        <w:rPr>
          <w:sz w:val="20"/>
          <w:szCs w:val="20"/>
          <w:color w:val="auto"/>
        </w:rPr>
      </w:pPr>
    </w:p>
    <w:p>
      <w:pPr>
        <w:jc w:val="both"/>
        <w:ind w:left="640" w:right="659" w:firstLine="256"/>
        <w:spacing w:after="0" w:line="253" w:lineRule="auto"/>
        <w:rPr>
          <w:sz w:val="20"/>
          <w:szCs w:val="20"/>
          <w:color w:val="auto"/>
        </w:rPr>
      </w:pPr>
      <w:r>
        <w:rPr>
          <w:rFonts w:ascii="Arial" w:cs="Arial" w:eastAsia="Arial" w:hAnsi="Arial"/>
          <w:sz w:val="14"/>
          <w:szCs w:val="14"/>
          <w:color w:val="auto"/>
        </w:rPr>
        <w:t>The Company recognized $1.6 million and $4.5 million in PPP loan fees and interest income for the years ended December 31, 2022 and 2021, respectively, which is reported under loans, including fees within the Consolidated Statements of Operations.</w:t>
      </w:r>
    </w:p>
    <w:p>
      <w:pPr>
        <w:spacing w:after="0" w:line="152" w:lineRule="exact"/>
        <w:rPr>
          <w:sz w:val="20"/>
          <w:szCs w:val="20"/>
          <w:color w:val="auto"/>
        </w:rPr>
      </w:pPr>
    </w:p>
    <w:p>
      <w:pPr>
        <w:jc w:val="both"/>
        <w:ind w:left="640" w:right="719" w:firstLine="256"/>
        <w:spacing w:after="0" w:line="248" w:lineRule="auto"/>
        <w:rPr>
          <w:sz w:val="20"/>
          <w:szCs w:val="20"/>
          <w:color w:val="auto"/>
        </w:rPr>
      </w:pPr>
      <w:r>
        <w:rPr>
          <w:rFonts w:ascii="Arial" w:cs="Arial" w:eastAsia="Arial" w:hAnsi="Arial"/>
          <w:sz w:val="14"/>
          <w:szCs w:val="14"/>
          <w:color w:val="auto"/>
        </w:rPr>
        <w:t>The Company segments the portfolio by pools grouping loans that share similar risk characteristics and employing collateral type and lien position to group loans according to risk. The Company determines historical loss rates for each loan pool based on its own loss experience. In estimating credit losses, the Company also considers qualitative and environmental factors that may cause estimated credit losses for the loan portfolio to differ from historical losses.</w:t>
      </w:r>
    </w:p>
    <w:p>
      <w:pPr>
        <w:spacing w:after="0" w:line="145" w:lineRule="exact"/>
        <w:rPr>
          <w:sz w:val="20"/>
          <w:szCs w:val="20"/>
          <w:color w:val="auto"/>
        </w:rPr>
      </w:pPr>
    </w:p>
    <w:p>
      <w:pPr>
        <w:ind w:left="640" w:right="739" w:firstLine="256"/>
        <w:spacing w:after="0" w:line="268" w:lineRule="auto"/>
        <w:rPr>
          <w:sz w:val="20"/>
          <w:szCs w:val="20"/>
          <w:color w:val="auto"/>
        </w:rPr>
      </w:pPr>
      <w:r>
        <w:rPr>
          <w:rFonts w:ascii="Arial" w:cs="Arial" w:eastAsia="Arial" w:hAnsi="Arial"/>
          <w:sz w:val="14"/>
          <w:szCs w:val="14"/>
          <w:color w:val="auto"/>
        </w:rPr>
        <w:t>Changes in the allowance for credit losses for the years ended December 31, 2022 and 2021 are as follows (in thousands):</w:t>
      </w:r>
    </w:p>
    <w:p>
      <w:pPr>
        <w:spacing w:after="0" w:line="170" w:lineRule="exact"/>
        <w:rPr>
          <w:sz w:val="20"/>
          <w:szCs w:val="20"/>
          <w:color w:val="auto"/>
        </w:rPr>
      </w:pPr>
    </w:p>
    <w:tbl>
      <w:tblPr>
        <w:tblLayout w:type="fixed"/>
        <w:tblInd w:w="62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b w:val="1"/>
                <w:bCs w:val="1"/>
                <w:color w:val="auto"/>
                <w:w w:val="97"/>
              </w:rPr>
              <w:t>Residential</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jc w:val="right"/>
              <w:ind w:right="56"/>
              <w:spacing w:after="0"/>
              <w:rPr>
                <w:sz w:val="20"/>
                <w:szCs w:val="20"/>
                <w:color w:val="auto"/>
              </w:rPr>
            </w:pPr>
            <w:r>
              <w:rPr>
                <w:rFonts w:ascii="Arial" w:cs="Arial" w:eastAsia="Arial" w:hAnsi="Arial"/>
                <w:sz w:val="13"/>
                <w:szCs w:val="13"/>
                <w:b w:val="1"/>
                <w:bCs w:val="1"/>
                <w:color w:val="auto"/>
                <w:w w:val="94"/>
              </w:rPr>
              <w:t>Commercial</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jc w:val="right"/>
              <w:ind w:right="76"/>
              <w:spacing w:after="0"/>
              <w:rPr>
                <w:sz w:val="20"/>
                <w:szCs w:val="20"/>
                <w:color w:val="auto"/>
              </w:rPr>
            </w:pPr>
            <w:r>
              <w:rPr>
                <w:rFonts w:ascii="Arial" w:cs="Arial" w:eastAsia="Arial" w:hAnsi="Arial"/>
                <w:sz w:val="13"/>
                <w:szCs w:val="13"/>
                <w:b w:val="1"/>
                <w:bCs w:val="1"/>
                <w:color w:val="auto"/>
                <w:w w:val="96"/>
              </w:rPr>
              <w:t>Commercial</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176"/>
              <w:spacing w:after="0"/>
              <w:rPr>
                <w:sz w:val="20"/>
                <w:szCs w:val="20"/>
                <w:color w:val="auto"/>
              </w:rPr>
            </w:pPr>
            <w:r>
              <w:rPr>
                <w:rFonts w:ascii="Arial" w:cs="Arial" w:eastAsia="Arial" w:hAnsi="Arial"/>
                <w:sz w:val="13"/>
                <w:szCs w:val="13"/>
                <w:b w:val="1"/>
                <w:bCs w:val="1"/>
                <w:color w:val="auto"/>
              </w:rPr>
              <w:t>Foreign</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jc w:val="right"/>
              <w:ind w:right="96"/>
              <w:spacing w:after="0"/>
              <w:rPr>
                <w:sz w:val="20"/>
                <w:szCs w:val="20"/>
                <w:color w:val="auto"/>
              </w:rPr>
            </w:pPr>
            <w:r>
              <w:rPr>
                <w:rFonts w:ascii="Arial" w:cs="Arial" w:eastAsia="Arial" w:hAnsi="Arial"/>
                <w:sz w:val="13"/>
                <w:szCs w:val="13"/>
                <w:b w:val="1"/>
                <w:bCs w:val="1"/>
                <w:color w:val="auto"/>
                <w:w w:val="99"/>
              </w:rPr>
              <w:t>Consumer</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b w:val="1"/>
                <w:bCs w:val="1"/>
                <w:color w:val="auto"/>
                <w:w w:val="96"/>
              </w:rPr>
              <w:t>Real Estate</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jc w:val="right"/>
              <w:ind w:right="76"/>
              <w:spacing w:after="0"/>
              <w:rPr>
                <w:sz w:val="20"/>
                <w:szCs w:val="20"/>
                <w:color w:val="auto"/>
              </w:rPr>
            </w:pPr>
            <w:r>
              <w:rPr>
                <w:rFonts w:ascii="Arial" w:cs="Arial" w:eastAsia="Arial" w:hAnsi="Arial"/>
                <w:sz w:val="13"/>
                <w:szCs w:val="13"/>
                <w:b w:val="1"/>
                <w:bCs w:val="1"/>
                <w:color w:val="auto"/>
                <w:w w:val="96"/>
              </w:rPr>
              <w:t>Real Estate</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2"/>
          </w:tcPr>
          <w:p>
            <w:pPr>
              <w:jc w:val="right"/>
              <w:ind w:right="16"/>
              <w:spacing w:after="0"/>
              <w:rPr>
                <w:sz w:val="20"/>
                <w:szCs w:val="20"/>
                <w:color w:val="auto"/>
              </w:rPr>
            </w:pPr>
            <w:r>
              <w:rPr>
                <w:rFonts w:ascii="Arial" w:cs="Arial" w:eastAsia="Arial" w:hAnsi="Arial"/>
                <w:sz w:val="13"/>
                <w:szCs w:val="13"/>
                <w:b w:val="1"/>
                <w:bCs w:val="1"/>
                <w:color w:val="auto"/>
                <w:w w:val="96"/>
              </w:rPr>
              <w:t>and Industrial</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196"/>
              <w:spacing w:after="0"/>
              <w:rPr>
                <w:sz w:val="20"/>
                <w:szCs w:val="20"/>
                <w:color w:val="auto"/>
              </w:rPr>
            </w:pPr>
            <w:r>
              <w:rPr>
                <w:rFonts w:ascii="Arial" w:cs="Arial" w:eastAsia="Arial" w:hAnsi="Arial"/>
                <w:sz w:val="13"/>
                <w:szCs w:val="13"/>
                <w:b w:val="1"/>
                <w:bCs w:val="1"/>
                <w:color w:val="auto"/>
              </w:rPr>
              <w:t>Banks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jc w:val="right"/>
              <w:ind w:right="116"/>
              <w:spacing w:after="0"/>
              <w:rPr>
                <w:sz w:val="20"/>
                <w:szCs w:val="20"/>
                <w:color w:val="auto"/>
              </w:rPr>
            </w:pPr>
            <w:r>
              <w:rPr>
                <w:rFonts w:ascii="Arial" w:cs="Arial" w:eastAsia="Arial" w:hAnsi="Arial"/>
                <w:sz w:val="13"/>
                <w:szCs w:val="13"/>
                <w:b w:val="1"/>
                <w:bCs w:val="1"/>
                <w:color w:val="auto"/>
              </w:rPr>
              <w:t>and Other</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ind w:left="1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December 31, 2022:</w:t>
            </w:r>
          </w:p>
        </w:tc>
        <w:tc>
          <w:tcPr>
            <w:tcW w:w="3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800" w:type="dxa"/>
            <w:vAlign w:val="bottom"/>
            <w:gridSpan w:val="2"/>
          </w:tcPr>
          <w:p>
            <w:pPr>
              <w:spacing w:after="0"/>
              <w:rPr>
                <w:sz w:val="20"/>
                <w:szCs w:val="20"/>
                <w:color w:val="auto"/>
              </w:rPr>
            </w:pPr>
            <w:r>
              <w:rPr>
                <w:rFonts w:ascii="Arial" w:cs="Arial" w:eastAsia="Arial" w:hAnsi="Arial"/>
                <w:sz w:val="13"/>
                <w:szCs w:val="13"/>
                <w:color w:val="auto"/>
              </w:rPr>
              <w:t>Beginning balance</w:t>
            </w:r>
          </w:p>
        </w:tc>
        <w:tc>
          <w:tcPr>
            <w:tcW w:w="4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2,498</w:t>
            </w:r>
          </w:p>
        </w:tc>
        <w:tc>
          <w:tcPr>
            <w:tcW w:w="10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8,758</w:t>
            </w:r>
          </w:p>
        </w:tc>
        <w:tc>
          <w:tcPr>
            <w:tcW w:w="10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2,775</w:t>
            </w:r>
          </w:p>
        </w:tc>
        <w:tc>
          <w:tcPr>
            <w:tcW w:w="180" w:type="dxa"/>
            <w:vAlign w:val="bottom"/>
            <w:gridSpan w:val="4"/>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457</w:t>
            </w:r>
          </w:p>
        </w:tc>
        <w:tc>
          <w:tcPr>
            <w:tcW w:w="120" w:type="dxa"/>
            <w:vAlign w:val="bottom"/>
            <w:gridSpan w:val="4"/>
          </w:tcPr>
          <w:p>
            <w:pPr>
              <w:jc w:val="right"/>
              <w:ind w:right="2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569</w:t>
            </w:r>
          </w:p>
        </w:tc>
        <w:tc>
          <w:tcPr>
            <w:tcW w:w="180" w:type="dxa"/>
            <w:vAlign w:val="bottom"/>
            <w:gridSpan w:val="4"/>
          </w:tcPr>
          <w:p>
            <w:pPr>
              <w:jc w:val="right"/>
              <w:ind w:right="100"/>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15,057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3"/>
                <w:szCs w:val="13"/>
                <w:color w:val="auto"/>
              </w:rPr>
              <w:t>Provision for credit losses</w:t>
            </w: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(1,179)</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1,385</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1,474</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263</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552</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2,495</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00" w:type="dxa"/>
            <w:vAlign w:val="bottom"/>
            <w:gridSpan w:val="2"/>
          </w:tcPr>
          <w:p>
            <w:pPr>
              <w:spacing w:after="0"/>
              <w:rPr>
                <w:sz w:val="20"/>
                <w:szCs w:val="20"/>
                <w:color w:val="auto"/>
              </w:rPr>
            </w:pPr>
            <w:r>
              <w:rPr>
                <w:rFonts w:ascii="Arial" w:cs="Arial" w:eastAsia="Arial" w:hAnsi="Arial"/>
                <w:sz w:val="13"/>
                <w:szCs w:val="13"/>
                <w:color w:val="auto"/>
              </w:rPr>
              <w:t>Recoveries</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33</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18</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55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3"/>
                <w:szCs w:val="13"/>
                <w:color w:val="auto"/>
              </w:rPr>
              <w:t>Charge-offs</w:t>
            </w:r>
          </w:p>
        </w:tc>
        <w:tc>
          <w:tcPr>
            <w:tcW w:w="36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1800" w:type="dxa"/>
            <w:vAlign w:val="bottom"/>
            <w:gridSpan w:val="2"/>
          </w:tcPr>
          <w:p>
            <w:pPr>
              <w:spacing w:after="0"/>
              <w:rPr>
                <w:sz w:val="20"/>
                <w:szCs w:val="20"/>
                <w:color w:val="auto"/>
              </w:rPr>
            </w:pPr>
            <w:r>
              <w:rPr>
                <w:rFonts w:ascii="Arial" w:cs="Arial" w:eastAsia="Arial" w:hAnsi="Arial"/>
                <w:sz w:val="13"/>
                <w:szCs w:val="13"/>
                <w:color w:val="auto"/>
              </w:rPr>
              <w:t>Ending Balance</w:t>
            </w:r>
          </w:p>
        </w:tc>
        <w:tc>
          <w:tcPr>
            <w:tcW w:w="4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1,352</w:t>
            </w:r>
          </w:p>
        </w:tc>
        <w:tc>
          <w:tcPr>
            <w:tcW w:w="10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10,143</w:t>
            </w:r>
          </w:p>
        </w:tc>
        <w:tc>
          <w:tcPr>
            <w:tcW w:w="10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4,163</w:t>
            </w:r>
          </w:p>
        </w:tc>
        <w:tc>
          <w:tcPr>
            <w:tcW w:w="180" w:type="dxa"/>
            <w:vAlign w:val="bottom"/>
            <w:gridSpan w:val="4"/>
          </w:tcPr>
          <w:p>
            <w:pPr>
              <w:jc w:val="right"/>
              <w:ind w:right="8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720</w:t>
            </w:r>
          </w:p>
        </w:tc>
        <w:tc>
          <w:tcPr>
            <w:tcW w:w="120" w:type="dxa"/>
            <w:vAlign w:val="bottom"/>
            <w:gridSpan w:val="4"/>
          </w:tcPr>
          <w:p>
            <w:pPr>
              <w:jc w:val="right"/>
              <w:ind w:right="2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1,109</w:t>
            </w:r>
          </w:p>
        </w:tc>
        <w:tc>
          <w:tcPr>
            <w:tcW w:w="180" w:type="dxa"/>
            <w:vAlign w:val="bottom"/>
            <w:gridSpan w:val="4"/>
          </w:tcPr>
          <w:p>
            <w:pPr>
              <w:jc w:val="right"/>
              <w:ind w:right="100"/>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17,487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40" w:type="dxa"/>
            <w:vAlign w:val="bottom"/>
            <w:vMerge w:val="restart"/>
          </w:tcPr>
          <w:p>
            <w:pPr>
              <w:spacing w:after="0"/>
              <w:rPr>
                <w:sz w:val="10"/>
                <w:szCs w:val="10"/>
                <w:color w:val="auto"/>
              </w:rPr>
            </w:pPr>
          </w:p>
        </w:tc>
        <w:tc>
          <w:tcPr>
            <w:tcW w:w="176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1760" w:type="dxa"/>
            <w:vAlign w:val="bottom"/>
          </w:tcPr>
          <w:p>
            <w:pPr>
              <w:spacing w:after="0"/>
              <w:rPr>
                <w:sz w:val="20"/>
                <w:szCs w:val="20"/>
                <w:color w:val="auto"/>
              </w:rPr>
            </w:pPr>
            <w:r>
              <w:rPr>
                <w:rFonts w:ascii="Arial" w:cs="Arial" w:eastAsia="Arial" w:hAnsi="Arial"/>
                <w:sz w:val="13"/>
                <w:szCs w:val="13"/>
                <w:b w:val="1"/>
                <w:bCs w:val="1"/>
                <w:color w:val="auto"/>
              </w:rPr>
              <w:t>December 31, 2021:</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3"/>
                <w:szCs w:val="13"/>
                <w:color w:val="auto"/>
              </w:rPr>
              <w:t>Beginning balance</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3,408</w:t>
            </w:r>
          </w:p>
        </w:tc>
        <w:tc>
          <w:tcPr>
            <w:tcW w:w="20" w:type="dxa"/>
            <w:vAlign w:val="bottom"/>
            <w:shd w:val="clear" w:color="auto" w:fill="CCEEFF"/>
          </w:tcPr>
          <w:p>
            <w:pPr>
              <w:spacing w:after="0"/>
              <w:rPr>
                <w:sz w:val="14"/>
                <w:szCs w:val="14"/>
                <w:color w:val="auto"/>
              </w:rPr>
            </w:pPr>
          </w:p>
        </w:tc>
        <w:tc>
          <w:tcPr>
            <w:tcW w:w="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9,453</w:t>
            </w:r>
          </w:p>
        </w:tc>
        <w:tc>
          <w:tcPr>
            <w:tcW w:w="20" w:type="dxa"/>
            <w:vAlign w:val="bottom"/>
            <w:shd w:val="clear" w:color="auto" w:fill="CCEEFF"/>
          </w:tcPr>
          <w:p>
            <w:pPr>
              <w:spacing w:after="0"/>
              <w:rPr>
                <w:sz w:val="14"/>
                <w:szCs w:val="14"/>
                <w:color w:val="auto"/>
              </w:rPr>
            </w:pPr>
          </w:p>
        </w:tc>
        <w:tc>
          <w:tcPr>
            <w:tcW w:w="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1,689</w:t>
            </w:r>
          </w:p>
        </w:tc>
        <w:tc>
          <w:tcPr>
            <w:tcW w:w="20" w:type="dxa"/>
            <w:vAlign w:val="bottom"/>
            <w:shd w:val="clear" w:color="auto" w:fill="CCEEFF"/>
          </w:tcPr>
          <w:p>
            <w:pPr>
              <w:spacing w:after="0"/>
              <w:rPr>
                <w:sz w:val="14"/>
                <w:szCs w:val="14"/>
                <w:color w:val="auto"/>
              </w:rPr>
            </w:pPr>
          </w:p>
        </w:tc>
        <w:tc>
          <w:tcPr>
            <w:tcW w:w="1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348</w:t>
            </w:r>
          </w:p>
        </w:tc>
        <w:tc>
          <w:tcPr>
            <w:tcW w:w="20" w:type="dxa"/>
            <w:vAlign w:val="bottom"/>
            <w:shd w:val="clear" w:color="auto" w:fill="CCEEFF"/>
          </w:tcPr>
          <w:p>
            <w:pPr>
              <w:spacing w:after="0"/>
              <w:rPr>
                <w:sz w:val="14"/>
                <w:szCs w:val="14"/>
                <w:color w:val="auto"/>
              </w:rPr>
            </w:pPr>
          </w:p>
        </w:tc>
        <w:tc>
          <w:tcPr>
            <w:tcW w:w="1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188</w:t>
            </w:r>
          </w:p>
        </w:tc>
        <w:tc>
          <w:tcPr>
            <w:tcW w:w="20" w:type="dxa"/>
            <w:vAlign w:val="bottom"/>
            <w:shd w:val="clear" w:color="auto" w:fill="CCEEFF"/>
          </w:tcPr>
          <w:p>
            <w:pPr>
              <w:spacing w:after="0"/>
              <w:rPr>
                <w:sz w:val="14"/>
                <w:szCs w:val="14"/>
                <w:color w:val="auto"/>
              </w:rPr>
            </w:pPr>
          </w:p>
        </w:tc>
        <w:tc>
          <w:tcPr>
            <w:tcW w:w="160" w:type="dxa"/>
            <w:vAlign w:val="bottom"/>
            <w:gridSpan w:val="3"/>
            <w:shd w:val="clear" w:color="auto" w:fill="CCEEFF"/>
          </w:tcPr>
          <w:p>
            <w:pPr>
              <w:jc w:val="right"/>
              <w:ind w:right="100"/>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15,086</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00" w:type="dxa"/>
            <w:vAlign w:val="bottom"/>
            <w:gridSpan w:val="2"/>
          </w:tcPr>
          <w:p>
            <w:pPr>
              <w:spacing w:after="0"/>
              <w:rPr>
                <w:sz w:val="20"/>
                <w:szCs w:val="20"/>
                <w:color w:val="auto"/>
              </w:rPr>
            </w:pPr>
            <w:r>
              <w:rPr>
                <w:rFonts w:ascii="Arial" w:cs="Arial" w:eastAsia="Arial" w:hAnsi="Arial"/>
                <w:sz w:val="13"/>
                <w:szCs w:val="13"/>
                <w:color w:val="auto"/>
              </w:rPr>
              <w:t>Provision for credit losses</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(919)</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(695)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955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109</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jc w:val="right"/>
              <w:ind w:right="16"/>
              <w:spacing w:after="0"/>
              <w:rPr>
                <w:sz w:val="20"/>
                <w:szCs w:val="20"/>
                <w:color w:val="auto"/>
              </w:rPr>
            </w:pPr>
            <w:r>
              <w:rPr>
                <w:rFonts w:ascii="Arial" w:cs="Arial" w:eastAsia="Arial" w:hAnsi="Arial"/>
                <w:sz w:val="13"/>
                <w:szCs w:val="13"/>
                <w:color w:val="auto"/>
              </w:rPr>
              <w:t>390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(160)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3"/>
                <w:szCs w:val="13"/>
                <w:color w:val="auto"/>
              </w:rPr>
              <w:t>Recoveries</w:t>
            </w: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149</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392</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00" w:type="dxa"/>
            <w:vAlign w:val="bottom"/>
            <w:gridSpan w:val="2"/>
          </w:tcPr>
          <w:p>
            <w:pPr>
              <w:spacing w:after="0"/>
              <w:rPr>
                <w:sz w:val="20"/>
                <w:szCs w:val="20"/>
                <w:color w:val="auto"/>
              </w:rPr>
            </w:pPr>
            <w:r>
              <w:rPr>
                <w:rFonts w:ascii="Arial" w:cs="Arial" w:eastAsia="Arial" w:hAnsi="Arial"/>
                <w:sz w:val="13"/>
                <w:szCs w:val="13"/>
                <w:color w:val="auto"/>
              </w:rPr>
              <w:t>Charge-offs</w:t>
            </w:r>
          </w:p>
        </w:tc>
        <w:tc>
          <w:tcPr>
            <w:tcW w:w="3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(229)</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3"/>
                <w:szCs w:val="13"/>
                <w:color w:val="auto"/>
              </w:rPr>
              <w:t>Ending Balance</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2,498</w:t>
            </w:r>
          </w:p>
        </w:tc>
        <w:tc>
          <w:tcPr>
            <w:tcW w:w="20" w:type="dxa"/>
            <w:vAlign w:val="bottom"/>
            <w:shd w:val="clear" w:color="auto" w:fill="CCEEFF"/>
          </w:tcPr>
          <w:p>
            <w:pPr>
              <w:spacing w:after="0"/>
              <w:rPr>
                <w:sz w:val="14"/>
                <w:szCs w:val="14"/>
                <w:color w:val="auto"/>
              </w:rPr>
            </w:pPr>
          </w:p>
        </w:tc>
        <w:tc>
          <w:tcPr>
            <w:tcW w:w="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8,758</w:t>
            </w:r>
          </w:p>
        </w:tc>
        <w:tc>
          <w:tcPr>
            <w:tcW w:w="20" w:type="dxa"/>
            <w:vAlign w:val="bottom"/>
            <w:shd w:val="clear" w:color="auto" w:fill="CCEEFF"/>
          </w:tcPr>
          <w:p>
            <w:pPr>
              <w:spacing w:after="0"/>
              <w:rPr>
                <w:sz w:val="14"/>
                <w:szCs w:val="14"/>
                <w:color w:val="auto"/>
              </w:rPr>
            </w:pPr>
          </w:p>
        </w:tc>
        <w:tc>
          <w:tcPr>
            <w:tcW w:w="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2,775</w:t>
            </w:r>
          </w:p>
        </w:tc>
        <w:tc>
          <w:tcPr>
            <w:tcW w:w="20" w:type="dxa"/>
            <w:vAlign w:val="bottom"/>
            <w:shd w:val="clear" w:color="auto" w:fill="CCEEFF"/>
          </w:tcPr>
          <w:p>
            <w:pPr>
              <w:spacing w:after="0"/>
              <w:rPr>
                <w:sz w:val="14"/>
                <w:szCs w:val="14"/>
                <w:color w:val="auto"/>
              </w:rPr>
            </w:pPr>
          </w:p>
        </w:tc>
        <w:tc>
          <w:tcPr>
            <w:tcW w:w="1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457</w:t>
            </w:r>
          </w:p>
        </w:tc>
        <w:tc>
          <w:tcPr>
            <w:tcW w:w="20" w:type="dxa"/>
            <w:vAlign w:val="bottom"/>
            <w:shd w:val="clear" w:color="auto" w:fill="CCEEFF"/>
          </w:tcPr>
          <w:p>
            <w:pPr>
              <w:spacing w:after="0"/>
              <w:rPr>
                <w:sz w:val="14"/>
                <w:szCs w:val="14"/>
                <w:color w:val="auto"/>
              </w:rPr>
            </w:pPr>
          </w:p>
        </w:tc>
        <w:tc>
          <w:tcPr>
            <w:tcW w:w="1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569</w:t>
            </w:r>
          </w:p>
        </w:tc>
        <w:tc>
          <w:tcPr>
            <w:tcW w:w="20" w:type="dxa"/>
            <w:vAlign w:val="bottom"/>
            <w:shd w:val="clear" w:color="auto" w:fill="CCEEFF"/>
          </w:tcPr>
          <w:p>
            <w:pPr>
              <w:spacing w:after="0"/>
              <w:rPr>
                <w:sz w:val="14"/>
                <w:szCs w:val="14"/>
                <w:color w:val="auto"/>
              </w:rPr>
            </w:pPr>
          </w:p>
        </w:tc>
        <w:tc>
          <w:tcPr>
            <w:tcW w:w="160" w:type="dxa"/>
            <w:vAlign w:val="bottom"/>
            <w:gridSpan w:val="3"/>
            <w:shd w:val="clear" w:color="auto" w:fill="CCEEFF"/>
          </w:tcPr>
          <w:p>
            <w:pPr>
              <w:jc w:val="right"/>
              <w:ind w:right="100"/>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15,057</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27</w:t>
      </w:r>
      <w:r>
        <w:rPr>
          <w:sz w:val="20"/>
          <w:szCs w:val="20"/>
          <w:color w:val="auto"/>
        </w:rPr>
        <w:tab/>
      </w:r>
      <w:r>
        <w:rPr>
          <w:rFonts w:ascii="Arial" w:cs="Arial" w:eastAsia="Arial" w:hAnsi="Arial"/>
          <w:sz w:val="14"/>
          <w:szCs w:val="14"/>
          <w:color w:val="auto"/>
        </w:rPr>
        <w:t>USCB Financial Holdings, Inc.</w:t>
        <w:tab/>
        <w:t>2022 10-K/A</w:t>
      </w:r>
    </w:p>
    <w:p>
      <w:pPr>
        <w:sectPr>
          <w:pgSz w:w="11900" w:h="16838" w:orient="portrait"/>
          <w:cols w:equalWidth="0" w:num="1">
            <w:col w:w="9019"/>
          </w:cols>
          <w:pgMar w:left="1440" w:top="490" w:right="1440" w:bottom="1440" w:gutter="0" w:footer="0" w:header="0"/>
        </w:sectPr>
      </w:pPr>
    </w:p>
    <w:bookmarkStart w:id="27" w:name="page28"/>
    <w:bookmarkEnd w:id="2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80" w:lineRule="exact"/>
        <w:rPr>
          <w:sz w:val="20"/>
          <w:szCs w:val="20"/>
          <w:color w:val="auto"/>
        </w:rPr>
      </w:pPr>
    </w:p>
    <w:p>
      <w:pPr>
        <w:ind w:left="640" w:right="699" w:firstLine="256"/>
        <w:spacing w:after="0" w:line="252" w:lineRule="auto"/>
        <w:rPr>
          <w:sz w:val="20"/>
          <w:szCs w:val="20"/>
          <w:color w:val="auto"/>
        </w:rPr>
      </w:pPr>
      <w:r>
        <w:rPr>
          <w:rFonts w:ascii="Arial" w:cs="Arial" w:eastAsia="Arial" w:hAnsi="Arial"/>
          <w:sz w:val="14"/>
          <w:szCs w:val="14"/>
          <w:color w:val="auto"/>
        </w:rPr>
        <w:t>Allowance for credit losses and the outstanding balances in loans as of December 31, 2022 and 2021 are as follows (in thousands):</w:t>
      </w:r>
    </w:p>
    <w:p>
      <w:pPr>
        <w:spacing w:after="0" w:line="138" w:lineRule="exact"/>
        <w:rPr>
          <w:sz w:val="20"/>
          <w:szCs w:val="20"/>
          <w:color w:val="auto"/>
        </w:rPr>
      </w:pPr>
    </w:p>
    <w:tbl>
      <w:tblPr>
        <w:tblLayout w:type="fixed"/>
        <w:tblInd w:w="62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jc w:val="right"/>
              <w:ind w:right="16"/>
              <w:spacing w:after="0"/>
              <w:rPr>
                <w:sz w:val="20"/>
                <w:szCs w:val="20"/>
                <w:color w:val="auto"/>
              </w:rPr>
            </w:pPr>
            <w:r>
              <w:rPr>
                <w:rFonts w:ascii="Arial" w:cs="Arial" w:eastAsia="Arial" w:hAnsi="Arial"/>
                <w:sz w:val="13"/>
                <w:szCs w:val="13"/>
                <w:b w:val="1"/>
                <w:bCs w:val="1"/>
                <w:color w:val="auto"/>
                <w:w w:val="97"/>
              </w:rPr>
              <w:t>Residential</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jc w:val="right"/>
              <w:ind w:right="36"/>
              <w:spacing w:after="0"/>
              <w:rPr>
                <w:sz w:val="20"/>
                <w:szCs w:val="20"/>
                <w:color w:val="auto"/>
              </w:rPr>
            </w:pPr>
            <w:r>
              <w:rPr>
                <w:rFonts w:ascii="Arial" w:cs="Arial" w:eastAsia="Arial" w:hAnsi="Arial"/>
                <w:sz w:val="13"/>
                <w:szCs w:val="13"/>
                <w:b w:val="1"/>
                <w:bCs w:val="1"/>
                <w:color w:val="auto"/>
                <w:w w:val="96"/>
              </w:rPr>
              <w:t>Commercial</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jc w:val="right"/>
              <w:ind w:right="76"/>
              <w:spacing w:after="0"/>
              <w:rPr>
                <w:sz w:val="20"/>
                <w:szCs w:val="20"/>
                <w:color w:val="auto"/>
              </w:rPr>
            </w:pPr>
            <w:r>
              <w:rPr>
                <w:rFonts w:ascii="Arial" w:cs="Arial" w:eastAsia="Arial" w:hAnsi="Arial"/>
                <w:sz w:val="13"/>
                <w:szCs w:val="13"/>
                <w:b w:val="1"/>
                <w:bCs w:val="1"/>
                <w:color w:val="auto"/>
                <w:w w:val="96"/>
              </w:rPr>
              <w:t>Commercial</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156"/>
              <w:spacing w:after="0"/>
              <w:rPr>
                <w:sz w:val="20"/>
                <w:szCs w:val="20"/>
                <w:color w:val="auto"/>
              </w:rPr>
            </w:pPr>
            <w:r>
              <w:rPr>
                <w:rFonts w:ascii="Arial" w:cs="Arial" w:eastAsia="Arial" w:hAnsi="Arial"/>
                <w:sz w:val="13"/>
                <w:szCs w:val="13"/>
                <w:b w:val="1"/>
                <w:bCs w:val="1"/>
                <w:color w:val="auto"/>
              </w:rPr>
              <w:t>Foreign</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jc w:val="right"/>
              <w:ind w:right="76"/>
              <w:spacing w:after="0"/>
              <w:rPr>
                <w:sz w:val="20"/>
                <w:szCs w:val="20"/>
                <w:color w:val="auto"/>
              </w:rPr>
            </w:pPr>
            <w:r>
              <w:rPr>
                <w:rFonts w:ascii="Arial" w:cs="Arial" w:eastAsia="Arial" w:hAnsi="Arial"/>
                <w:sz w:val="13"/>
                <w:szCs w:val="13"/>
                <w:b w:val="1"/>
                <w:bCs w:val="1"/>
                <w:color w:val="auto"/>
                <w:w w:val="99"/>
              </w:rPr>
              <w:t>Consumer</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3"/>
        </w:trPr>
        <w:tc>
          <w:tcPr>
            <w:tcW w:w="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jc w:val="right"/>
              <w:ind w:right="16"/>
              <w:spacing w:after="0"/>
              <w:rPr>
                <w:sz w:val="20"/>
                <w:szCs w:val="20"/>
                <w:color w:val="auto"/>
              </w:rPr>
            </w:pPr>
            <w:r>
              <w:rPr>
                <w:rFonts w:ascii="Arial" w:cs="Arial" w:eastAsia="Arial" w:hAnsi="Arial"/>
                <w:sz w:val="13"/>
                <w:szCs w:val="13"/>
                <w:b w:val="1"/>
                <w:bCs w:val="1"/>
                <w:color w:val="auto"/>
                <w:w w:val="96"/>
              </w:rPr>
              <w:t>Real Estate</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jc w:val="right"/>
              <w:ind w:right="56"/>
              <w:spacing w:after="0"/>
              <w:rPr>
                <w:sz w:val="20"/>
                <w:szCs w:val="20"/>
                <w:color w:val="auto"/>
              </w:rPr>
            </w:pPr>
            <w:r>
              <w:rPr>
                <w:rFonts w:ascii="Arial" w:cs="Arial" w:eastAsia="Arial" w:hAnsi="Arial"/>
                <w:sz w:val="13"/>
                <w:szCs w:val="13"/>
                <w:b w:val="1"/>
                <w:bCs w:val="1"/>
                <w:color w:val="auto"/>
                <w:w w:val="99"/>
              </w:rPr>
              <w:t>Real Estate</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2"/>
          </w:tcPr>
          <w:p>
            <w:pPr>
              <w:jc w:val="right"/>
              <w:ind w:right="16"/>
              <w:spacing w:after="0"/>
              <w:rPr>
                <w:sz w:val="20"/>
                <w:szCs w:val="20"/>
                <w:color w:val="auto"/>
              </w:rPr>
            </w:pPr>
            <w:r>
              <w:rPr>
                <w:rFonts w:ascii="Arial" w:cs="Arial" w:eastAsia="Arial" w:hAnsi="Arial"/>
                <w:sz w:val="13"/>
                <w:szCs w:val="13"/>
                <w:b w:val="1"/>
                <w:bCs w:val="1"/>
                <w:color w:val="auto"/>
                <w:w w:val="96"/>
              </w:rPr>
              <w:t>and Industrial</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196"/>
              <w:spacing w:after="0"/>
              <w:rPr>
                <w:sz w:val="20"/>
                <w:szCs w:val="20"/>
                <w:color w:val="auto"/>
              </w:rPr>
            </w:pPr>
            <w:r>
              <w:rPr>
                <w:rFonts w:ascii="Arial" w:cs="Arial" w:eastAsia="Arial" w:hAnsi="Arial"/>
                <w:sz w:val="13"/>
                <w:szCs w:val="13"/>
                <w:b w:val="1"/>
                <w:bCs w:val="1"/>
                <w:color w:val="auto"/>
              </w:rPr>
              <w:t>Banks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jc w:val="right"/>
              <w:ind w:right="96"/>
              <w:spacing w:after="0"/>
              <w:rPr>
                <w:sz w:val="20"/>
                <w:szCs w:val="20"/>
                <w:color w:val="auto"/>
              </w:rPr>
            </w:pPr>
            <w:r>
              <w:rPr>
                <w:rFonts w:ascii="Arial" w:cs="Arial" w:eastAsia="Arial" w:hAnsi="Arial"/>
                <w:sz w:val="13"/>
                <w:szCs w:val="13"/>
                <w:b w:val="1"/>
                <w:bCs w:val="1"/>
                <w:color w:val="auto"/>
              </w:rPr>
              <w:t>and Other</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ind w:left="120"/>
              <w:spacing w:after="0"/>
              <w:rPr>
                <w:sz w:val="20"/>
                <w:szCs w:val="20"/>
                <w:color w:val="auto"/>
              </w:rPr>
            </w:pPr>
            <w:r>
              <w:rPr>
                <w:rFonts w:ascii="Arial" w:cs="Arial" w:eastAsia="Arial" w:hAnsi="Arial"/>
                <w:sz w:val="13"/>
                <w:szCs w:val="13"/>
                <w:b w:val="1"/>
                <w:bCs w:val="1"/>
                <w:color w:val="auto"/>
              </w:rPr>
              <w:t>Total</w:t>
            </w:r>
          </w:p>
        </w:tc>
      </w:tr>
      <w:tr>
        <w:trPr>
          <w:trHeight w:val="151"/>
        </w:trPr>
        <w:tc>
          <w:tcPr>
            <w:tcW w:w="40" w:type="dxa"/>
            <w:vAlign w:val="bottom"/>
          </w:tcPr>
          <w:p>
            <w:pPr>
              <w:spacing w:after="0"/>
              <w:rPr>
                <w:sz w:val="13"/>
                <w:szCs w:val="13"/>
                <w:color w:val="auto"/>
              </w:rPr>
            </w:pPr>
          </w:p>
        </w:tc>
        <w:tc>
          <w:tcPr>
            <w:tcW w:w="2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December 31, 2022:</w:t>
            </w: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71"/>
        </w:trPr>
        <w:tc>
          <w:tcPr>
            <w:tcW w:w="2240" w:type="dxa"/>
            <w:vAlign w:val="bottom"/>
            <w:gridSpan w:val="2"/>
          </w:tcPr>
          <w:p>
            <w:pPr>
              <w:spacing w:after="0"/>
              <w:rPr>
                <w:sz w:val="20"/>
                <w:szCs w:val="20"/>
                <w:color w:val="auto"/>
              </w:rPr>
            </w:pPr>
            <w:r>
              <w:rPr>
                <w:rFonts w:ascii="Arial" w:cs="Arial" w:eastAsia="Arial" w:hAnsi="Arial"/>
                <w:sz w:val="13"/>
                <w:szCs w:val="13"/>
                <w:color w:val="auto"/>
              </w:rPr>
              <w:t>Allowance for credit losses: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200" w:type="dxa"/>
            <w:vAlign w:val="bottom"/>
            <w:shd w:val="clear" w:color="auto" w:fill="CCEEFF"/>
          </w:tcPr>
          <w:p>
            <w:pPr>
              <w:ind w:left="100"/>
              <w:spacing w:after="0"/>
              <w:rPr>
                <w:sz w:val="20"/>
                <w:szCs w:val="20"/>
                <w:color w:val="auto"/>
              </w:rPr>
            </w:pPr>
            <w:r>
              <w:rPr>
                <w:rFonts w:ascii="Arial" w:cs="Arial" w:eastAsia="Arial" w:hAnsi="Arial"/>
                <w:sz w:val="13"/>
                <w:szCs w:val="13"/>
                <w:color w:val="auto"/>
                <w:w w:val="98"/>
              </w:rPr>
              <w:t>Individually evaluated for impairment</w:t>
            </w:r>
          </w:p>
        </w:tc>
        <w:tc>
          <w:tcPr>
            <w:tcW w:w="1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w:t>
            </w:r>
          </w:p>
        </w:tc>
        <w:tc>
          <w:tcPr>
            <w:tcW w:w="40" w:type="dxa"/>
            <w:vAlign w:val="bottom"/>
            <w:shd w:val="clear" w:color="auto" w:fill="CCEEFF"/>
          </w:tcPr>
          <w:p>
            <w:pPr>
              <w:spacing w:after="0"/>
              <w:rPr>
                <w:sz w:val="14"/>
                <w:szCs w:val="14"/>
                <w:color w:val="auto"/>
              </w:rPr>
            </w:pPr>
          </w:p>
        </w:tc>
        <w:tc>
          <w:tcPr>
            <w:tcW w:w="60" w:type="dxa"/>
            <w:vAlign w:val="bottom"/>
            <w:gridSpan w:val="3"/>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gridSpan w:val="3"/>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41</w:t>
            </w:r>
          </w:p>
        </w:tc>
        <w:tc>
          <w:tcPr>
            <w:tcW w:w="20" w:type="dxa"/>
            <w:vAlign w:val="bottom"/>
            <w:shd w:val="clear" w:color="auto" w:fill="CCEEFF"/>
          </w:tcPr>
          <w:p>
            <w:pPr>
              <w:spacing w:after="0"/>
              <w:rPr>
                <w:sz w:val="14"/>
                <w:szCs w:val="14"/>
                <w:color w:val="auto"/>
              </w:rPr>
            </w:pPr>
          </w:p>
        </w:tc>
        <w:tc>
          <w:tcPr>
            <w:tcW w:w="140" w:type="dxa"/>
            <w:vAlign w:val="bottom"/>
            <w:gridSpan w:val="3"/>
            <w:shd w:val="clear" w:color="auto" w:fill="CCEEFF"/>
          </w:tcPr>
          <w:p>
            <w:pPr>
              <w:jc w:val="right"/>
              <w:ind w:right="80"/>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gridSpan w:val="3"/>
            <w:shd w:val="clear" w:color="auto" w:fill="CCEEFF"/>
          </w:tcPr>
          <w:p>
            <w:pPr>
              <w:jc w:val="right"/>
              <w:ind w:right="2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98</w:t>
            </w:r>
          </w:p>
        </w:tc>
        <w:tc>
          <w:tcPr>
            <w:tcW w:w="1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w:t>
            </w: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200" w:type="dxa"/>
            <w:vAlign w:val="bottom"/>
          </w:tcPr>
          <w:p>
            <w:pPr>
              <w:ind w:left="60"/>
              <w:spacing w:after="0"/>
              <w:rPr>
                <w:sz w:val="20"/>
                <w:szCs w:val="20"/>
                <w:color w:val="auto"/>
              </w:rPr>
            </w:pPr>
            <w:r>
              <w:rPr>
                <w:rFonts w:ascii="Arial" w:cs="Arial" w:eastAsia="Arial" w:hAnsi="Arial"/>
                <w:sz w:val="13"/>
                <w:szCs w:val="13"/>
                <w:color w:val="auto"/>
                <w:w w:val="99"/>
              </w:rPr>
              <w:t>Collectively evaluated for impairment</w:t>
            </w: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1,197</w:t>
            </w:r>
          </w:p>
        </w:tc>
        <w:tc>
          <w:tcPr>
            <w:tcW w:w="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10,143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4,122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1,011</w:t>
            </w: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17,193</w:t>
            </w:r>
          </w:p>
        </w:tc>
        <w:tc>
          <w:tcPr>
            <w:tcW w:w="20" w:type="dxa"/>
            <w:vAlign w:val="bottom"/>
          </w:tcPr>
          <w:p>
            <w:pPr>
              <w:spacing w:after="0"/>
              <w:rPr>
                <w:sz w:val="14"/>
                <w:szCs w:val="14"/>
                <w:color w:val="auto"/>
              </w:rPr>
            </w:pPr>
          </w:p>
        </w:tc>
      </w:tr>
      <w:tr>
        <w:trPr>
          <w:trHeight w:val="151"/>
        </w:trPr>
        <w:tc>
          <w:tcPr>
            <w:tcW w:w="40" w:type="dxa"/>
            <w:vAlign w:val="bottom"/>
          </w:tcPr>
          <w:p>
            <w:pPr>
              <w:spacing w:after="0"/>
              <w:rPr>
                <w:sz w:val="13"/>
                <w:szCs w:val="13"/>
                <w:color w:val="auto"/>
              </w:rPr>
            </w:pPr>
          </w:p>
        </w:tc>
        <w:tc>
          <w:tcPr>
            <w:tcW w:w="22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Balances, end of period</w:t>
            </w:r>
          </w:p>
        </w:tc>
        <w:tc>
          <w:tcPr>
            <w:tcW w:w="1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1,352</w:t>
            </w:r>
          </w:p>
        </w:tc>
        <w:tc>
          <w:tcPr>
            <w:tcW w:w="40" w:type="dxa"/>
            <w:vAlign w:val="bottom"/>
            <w:shd w:val="clear" w:color="auto" w:fill="CCEEFF"/>
          </w:tcPr>
          <w:p>
            <w:pPr>
              <w:spacing w:after="0"/>
              <w:rPr>
                <w:sz w:val="13"/>
                <w:szCs w:val="13"/>
                <w:color w:val="auto"/>
              </w:rPr>
            </w:pPr>
          </w:p>
        </w:tc>
        <w:tc>
          <w:tcPr>
            <w:tcW w:w="60" w:type="dxa"/>
            <w:vAlign w:val="bottom"/>
            <w:gridSpan w:val="3"/>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10,143</w:t>
            </w:r>
          </w:p>
        </w:tc>
        <w:tc>
          <w:tcPr>
            <w:tcW w:w="20" w:type="dxa"/>
            <w:vAlign w:val="bottom"/>
            <w:shd w:val="clear" w:color="auto" w:fill="CCEEFF"/>
          </w:tcPr>
          <w:p>
            <w:pPr>
              <w:spacing w:after="0"/>
              <w:rPr>
                <w:sz w:val="13"/>
                <w:szCs w:val="13"/>
                <w:color w:val="auto"/>
              </w:rPr>
            </w:pPr>
          </w:p>
        </w:tc>
        <w:tc>
          <w:tcPr>
            <w:tcW w:w="80" w:type="dxa"/>
            <w:vAlign w:val="bottom"/>
            <w:gridSpan w:val="3"/>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4,163</w:t>
            </w:r>
          </w:p>
        </w:tc>
        <w:tc>
          <w:tcPr>
            <w:tcW w:w="20" w:type="dxa"/>
            <w:vAlign w:val="bottom"/>
            <w:shd w:val="clear" w:color="auto" w:fill="CCEEFF"/>
          </w:tcPr>
          <w:p>
            <w:pPr>
              <w:spacing w:after="0"/>
              <w:rPr>
                <w:sz w:val="13"/>
                <w:szCs w:val="13"/>
                <w:color w:val="auto"/>
              </w:rPr>
            </w:pPr>
          </w:p>
        </w:tc>
        <w:tc>
          <w:tcPr>
            <w:tcW w:w="140" w:type="dxa"/>
            <w:vAlign w:val="bottom"/>
            <w:gridSpan w:val="3"/>
            <w:shd w:val="clear" w:color="auto" w:fill="CCEEFF"/>
          </w:tcPr>
          <w:p>
            <w:pPr>
              <w:jc w:val="right"/>
              <w:ind w:right="80"/>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720</w:t>
            </w:r>
          </w:p>
        </w:tc>
        <w:tc>
          <w:tcPr>
            <w:tcW w:w="20" w:type="dxa"/>
            <w:vAlign w:val="bottom"/>
            <w:shd w:val="clear" w:color="auto" w:fill="CCEEFF"/>
          </w:tcPr>
          <w:p>
            <w:pPr>
              <w:spacing w:after="0"/>
              <w:rPr>
                <w:sz w:val="13"/>
                <w:szCs w:val="13"/>
                <w:color w:val="auto"/>
              </w:rPr>
            </w:pPr>
          </w:p>
        </w:tc>
        <w:tc>
          <w:tcPr>
            <w:tcW w:w="80" w:type="dxa"/>
            <w:vAlign w:val="bottom"/>
            <w:gridSpan w:val="3"/>
            <w:shd w:val="clear" w:color="auto" w:fill="CCEEFF"/>
          </w:tcPr>
          <w:p>
            <w:pPr>
              <w:jc w:val="right"/>
              <w:ind w:right="2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1,109</w:t>
            </w:r>
          </w:p>
        </w:tc>
        <w:tc>
          <w:tcPr>
            <w:tcW w:w="1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17,487</w:t>
            </w:r>
          </w:p>
        </w:tc>
        <w:tc>
          <w:tcPr>
            <w:tcW w:w="20" w:type="dxa"/>
            <w:vAlign w:val="bottom"/>
            <w:shd w:val="clear" w:color="auto" w:fill="CCEEFF"/>
          </w:tcPr>
          <w:p>
            <w:pPr>
              <w:spacing w:after="0"/>
              <w:rPr>
                <w:sz w:val="13"/>
                <w:szCs w:val="13"/>
                <w:color w:val="auto"/>
              </w:rPr>
            </w:pPr>
          </w:p>
        </w:tc>
      </w:tr>
      <w:tr>
        <w:trPr>
          <w:trHeight w:val="20"/>
        </w:trPr>
        <w:tc>
          <w:tcPr>
            <w:tcW w:w="2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111"/>
        </w:trPr>
        <w:tc>
          <w:tcPr>
            <w:tcW w:w="224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71"/>
        </w:trPr>
        <w:tc>
          <w:tcPr>
            <w:tcW w:w="4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3"/>
                <w:szCs w:val="13"/>
                <w:color w:val="auto"/>
              </w:rPr>
              <w:t>Loans:</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200" w:type="dxa"/>
            <w:vAlign w:val="bottom"/>
          </w:tcPr>
          <w:p>
            <w:pPr>
              <w:ind w:left="60"/>
              <w:spacing w:after="0"/>
              <w:rPr>
                <w:sz w:val="20"/>
                <w:szCs w:val="20"/>
                <w:color w:val="auto"/>
              </w:rPr>
            </w:pPr>
            <w:r>
              <w:rPr>
                <w:rFonts w:ascii="Arial" w:cs="Arial" w:eastAsia="Arial" w:hAnsi="Arial"/>
                <w:sz w:val="13"/>
                <w:szCs w:val="13"/>
                <w:color w:val="auto"/>
              </w:rPr>
              <w:t>Individually evaluated for impairment</w:t>
            </w: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7,206</w:t>
            </w:r>
          </w:p>
        </w:tc>
        <w:tc>
          <w:tcPr>
            <w:tcW w:w="10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393</w:t>
            </w:r>
          </w:p>
        </w:tc>
        <w:tc>
          <w:tcPr>
            <w:tcW w:w="100" w:type="dxa"/>
            <w:vAlign w:val="bottom"/>
            <w:gridSpan w:val="4"/>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82</w:t>
            </w:r>
          </w:p>
        </w:tc>
        <w:tc>
          <w:tcPr>
            <w:tcW w:w="160" w:type="dxa"/>
            <w:vAlign w:val="bottom"/>
            <w:gridSpan w:val="4"/>
          </w:tcPr>
          <w:p>
            <w:pPr>
              <w:jc w:val="right"/>
              <w:ind w:right="80"/>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gridSpan w:val="4"/>
          </w:tcPr>
          <w:p>
            <w:pPr>
              <w:jc w:val="right"/>
              <w:ind w:right="2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196</w:t>
            </w:r>
          </w:p>
        </w:tc>
        <w:tc>
          <w:tcPr>
            <w:tcW w:w="140" w:type="dxa"/>
            <w:vAlign w:val="bottom"/>
            <w:gridSpan w:val="3"/>
          </w:tcPr>
          <w:p>
            <w:pPr>
              <w:jc w:val="right"/>
              <w:ind w:right="60"/>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7,877</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200" w:type="dxa"/>
            <w:vAlign w:val="bottom"/>
            <w:shd w:val="clear" w:color="auto" w:fill="CCEEFF"/>
          </w:tcPr>
          <w:p>
            <w:pPr>
              <w:ind w:left="100"/>
              <w:spacing w:after="0"/>
              <w:rPr>
                <w:sz w:val="20"/>
                <w:szCs w:val="20"/>
                <w:color w:val="auto"/>
              </w:rPr>
            </w:pPr>
            <w:r>
              <w:rPr>
                <w:rFonts w:ascii="Arial" w:cs="Arial" w:eastAsia="Arial" w:hAnsi="Arial"/>
                <w:sz w:val="13"/>
                <w:szCs w:val="13"/>
                <w:color w:val="auto"/>
                <w:w w:val="97"/>
              </w:rPr>
              <w:t>Collectively evaluated for impairment</w:t>
            </w: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178,430</w:t>
            </w:r>
          </w:p>
        </w:tc>
        <w:tc>
          <w:tcPr>
            <w:tcW w:w="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970,017</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126,902</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93,769</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130,233</w:t>
            </w: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1,499,351</w:t>
            </w:r>
          </w:p>
        </w:tc>
        <w:tc>
          <w:tcPr>
            <w:tcW w:w="20" w:type="dxa"/>
            <w:vAlign w:val="bottom"/>
            <w:shd w:val="clear" w:color="auto" w:fill="CCEEFF"/>
          </w:tcPr>
          <w:p>
            <w:pPr>
              <w:spacing w:after="0"/>
              <w:rPr>
                <w:sz w:val="14"/>
                <w:szCs w:val="14"/>
                <w:color w:val="auto"/>
              </w:rPr>
            </w:pPr>
          </w:p>
        </w:tc>
      </w:tr>
      <w:tr>
        <w:trPr>
          <w:trHeight w:val="191"/>
        </w:trPr>
        <w:tc>
          <w:tcPr>
            <w:tcW w:w="40" w:type="dxa"/>
            <w:vAlign w:val="bottom"/>
          </w:tcPr>
          <w:p>
            <w:pPr>
              <w:spacing w:after="0"/>
              <w:rPr>
                <w:sz w:val="16"/>
                <w:szCs w:val="16"/>
                <w:color w:val="auto"/>
              </w:rPr>
            </w:pPr>
          </w:p>
        </w:tc>
        <w:tc>
          <w:tcPr>
            <w:tcW w:w="2200" w:type="dxa"/>
            <w:vAlign w:val="bottom"/>
          </w:tcPr>
          <w:p>
            <w:pPr>
              <w:ind w:left="60"/>
              <w:spacing w:after="0"/>
              <w:rPr>
                <w:sz w:val="20"/>
                <w:szCs w:val="20"/>
                <w:color w:val="auto"/>
              </w:rPr>
            </w:pPr>
            <w:r>
              <w:rPr>
                <w:rFonts w:ascii="Arial" w:cs="Arial" w:eastAsia="Arial" w:hAnsi="Arial"/>
                <w:sz w:val="13"/>
                <w:szCs w:val="13"/>
                <w:color w:val="auto"/>
              </w:rPr>
              <w:t>Balances, end of period</w:t>
            </w: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185,636</w:t>
            </w:r>
          </w:p>
        </w:tc>
        <w:tc>
          <w:tcPr>
            <w:tcW w:w="10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970,410</w:t>
            </w:r>
          </w:p>
        </w:tc>
        <w:tc>
          <w:tcPr>
            <w:tcW w:w="100" w:type="dxa"/>
            <w:vAlign w:val="bottom"/>
            <w:gridSpan w:val="4"/>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126,984</w:t>
            </w:r>
          </w:p>
        </w:tc>
        <w:tc>
          <w:tcPr>
            <w:tcW w:w="160" w:type="dxa"/>
            <w:vAlign w:val="bottom"/>
            <w:gridSpan w:val="4"/>
          </w:tcPr>
          <w:p>
            <w:pPr>
              <w:jc w:val="right"/>
              <w:ind w:right="80"/>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93,769</w:t>
            </w:r>
          </w:p>
        </w:tc>
        <w:tc>
          <w:tcPr>
            <w:tcW w:w="100" w:type="dxa"/>
            <w:vAlign w:val="bottom"/>
            <w:gridSpan w:val="4"/>
          </w:tcPr>
          <w:p>
            <w:pPr>
              <w:jc w:val="right"/>
              <w:ind w:right="2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130,429</w:t>
            </w:r>
          </w:p>
        </w:tc>
        <w:tc>
          <w:tcPr>
            <w:tcW w:w="140" w:type="dxa"/>
            <w:vAlign w:val="bottom"/>
            <w:gridSpan w:val="3"/>
          </w:tcPr>
          <w:p>
            <w:pPr>
              <w:jc w:val="right"/>
              <w:ind w:right="60"/>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1,507,228</w:t>
            </w:r>
          </w:p>
        </w:tc>
        <w:tc>
          <w:tcPr>
            <w:tcW w:w="20" w:type="dxa"/>
            <w:vAlign w:val="bottom"/>
          </w:tcPr>
          <w:p>
            <w:pPr>
              <w:spacing w:after="0"/>
              <w:rPr>
                <w:sz w:val="16"/>
                <w:szCs w:val="16"/>
                <w:color w:val="auto"/>
              </w:rPr>
            </w:pPr>
          </w:p>
        </w:tc>
      </w:tr>
      <w:tr>
        <w:trPr>
          <w:trHeight w:val="111"/>
        </w:trPr>
        <w:tc>
          <w:tcPr>
            <w:tcW w:w="40" w:type="dxa"/>
            <w:vAlign w:val="bottom"/>
          </w:tcPr>
          <w:p>
            <w:pPr>
              <w:spacing w:after="0"/>
              <w:rPr>
                <w:sz w:val="9"/>
                <w:szCs w:val="9"/>
                <w:color w:val="auto"/>
              </w:rPr>
            </w:pPr>
          </w:p>
        </w:tc>
        <w:tc>
          <w:tcPr>
            <w:tcW w:w="22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r>
      <w:tr>
        <w:trPr>
          <w:trHeight w:val="171"/>
        </w:trPr>
        <w:tc>
          <w:tcPr>
            <w:tcW w:w="2240" w:type="dxa"/>
            <w:vAlign w:val="bottom"/>
            <w:gridSpan w:val="2"/>
          </w:tcPr>
          <w:p>
            <w:pPr>
              <w:spacing w:after="0"/>
              <w:rPr>
                <w:sz w:val="20"/>
                <w:szCs w:val="20"/>
                <w:color w:val="auto"/>
              </w:rPr>
            </w:pPr>
            <w:r>
              <w:rPr>
                <w:rFonts w:ascii="Arial" w:cs="Arial" w:eastAsia="Arial" w:hAnsi="Arial"/>
                <w:sz w:val="13"/>
                <w:szCs w:val="13"/>
                <w:b w:val="1"/>
                <w:bCs w:val="1"/>
                <w:color w:val="auto"/>
              </w:rPr>
              <w:t>December 31, 2021: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3"/>
                <w:szCs w:val="13"/>
                <w:color w:val="auto"/>
              </w:rPr>
              <w:t>Allowance for credit losses:</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200" w:type="dxa"/>
            <w:vAlign w:val="bottom"/>
          </w:tcPr>
          <w:p>
            <w:pPr>
              <w:ind w:left="60"/>
              <w:spacing w:after="0"/>
              <w:rPr>
                <w:sz w:val="20"/>
                <w:szCs w:val="20"/>
                <w:color w:val="auto"/>
              </w:rPr>
            </w:pPr>
            <w:r>
              <w:rPr>
                <w:rFonts w:ascii="Arial" w:cs="Arial" w:eastAsia="Arial" w:hAnsi="Arial"/>
                <w:sz w:val="13"/>
                <w:szCs w:val="13"/>
                <w:color w:val="auto"/>
              </w:rPr>
              <w:t>Individually evaluated for impairment</w:t>
            </w: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178</w:t>
            </w:r>
          </w:p>
        </w:tc>
        <w:tc>
          <w:tcPr>
            <w:tcW w:w="10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gridSpan w:val="4"/>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71</w:t>
            </w:r>
          </w:p>
        </w:tc>
        <w:tc>
          <w:tcPr>
            <w:tcW w:w="160" w:type="dxa"/>
            <w:vAlign w:val="bottom"/>
            <w:gridSpan w:val="4"/>
          </w:tcPr>
          <w:p>
            <w:pPr>
              <w:jc w:val="right"/>
              <w:ind w:right="80"/>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gridSpan w:val="4"/>
          </w:tcPr>
          <w:p>
            <w:pPr>
              <w:jc w:val="right"/>
              <w:ind w:right="2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111</w:t>
            </w:r>
          </w:p>
        </w:tc>
        <w:tc>
          <w:tcPr>
            <w:tcW w:w="140" w:type="dxa"/>
            <w:vAlign w:val="bottom"/>
            <w:gridSpan w:val="3"/>
          </w:tcPr>
          <w:p>
            <w:pPr>
              <w:jc w:val="right"/>
              <w:ind w:right="60"/>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360</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200" w:type="dxa"/>
            <w:vAlign w:val="bottom"/>
            <w:shd w:val="clear" w:color="auto" w:fill="CCEEFF"/>
          </w:tcPr>
          <w:p>
            <w:pPr>
              <w:ind w:left="100"/>
              <w:spacing w:after="0"/>
              <w:rPr>
                <w:sz w:val="20"/>
                <w:szCs w:val="20"/>
                <w:color w:val="auto"/>
              </w:rPr>
            </w:pPr>
            <w:r>
              <w:rPr>
                <w:rFonts w:ascii="Arial" w:cs="Arial" w:eastAsia="Arial" w:hAnsi="Arial"/>
                <w:sz w:val="13"/>
                <w:szCs w:val="13"/>
                <w:color w:val="auto"/>
                <w:w w:val="97"/>
              </w:rPr>
              <w:t>Collectively evaluated for impairment</w:t>
            </w: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2,320</w:t>
            </w:r>
          </w:p>
        </w:tc>
        <w:tc>
          <w:tcPr>
            <w:tcW w:w="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8,758</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2,704</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457</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458</w:t>
            </w: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14,697</w:t>
            </w:r>
          </w:p>
        </w:tc>
        <w:tc>
          <w:tcPr>
            <w:tcW w:w="20" w:type="dxa"/>
            <w:vAlign w:val="bottom"/>
            <w:shd w:val="clear" w:color="auto" w:fill="CCEEFF"/>
          </w:tcPr>
          <w:p>
            <w:pPr>
              <w:spacing w:after="0"/>
              <w:rPr>
                <w:sz w:val="14"/>
                <w:szCs w:val="14"/>
                <w:color w:val="auto"/>
              </w:rPr>
            </w:pPr>
          </w:p>
        </w:tc>
      </w:tr>
      <w:tr>
        <w:trPr>
          <w:trHeight w:val="191"/>
        </w:trPr>
        <w:tc>
          <w:tcPr>
            <w:tcW w:w="40" w:type="dxa"/>
            <w:vAlign w:val="bottom"/>
          </w:tcPr>
          <w:p>
            <w:pPr>
              <w:spacing w:after="0"/>
              <w:rPr>
                <w:sz w:val="16"/>
                <w:szCs w:val="16"/>
                <w:color w:val="auto"/>
              </w:rPr>
            </w:pPr>
          </w:p>
        </w:tc>
        <w:tc>
          <w:tcPr>
            <w:tcW w:w="2200" w:type="dxa"/>
            <w:vAlign w:val="bottom"/>
          </w:tcPr>
          <w:p>
            <w:pPr>
              <w:ind w:left="60"/>
              <w:spacing w:after="0"/>
              <w:rPr>
                <w:sz w:val="20"/>
                <w:szCs w:val="20"/>
                <w:color w:val="auto"/>
              </w:rPr>
            </w:pPr>
            <w:r>
              <w:rPr>
                <w:rFonts w:ascii="Arial" w:cs="Arial" w:eastAsia="Arial" w:hAnsi="Arial"/>
                <w:sz w:val="13"/>
                <w:szCs w:val="13"/>
                <w:color w:val="auto"/>
              </w:rPr>
              <w:t>Balances, end of period</w:t>
            </w: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2,498</w:t>
            </w:r>
          </w:p>
        </w:tc>
        <w:tc>
          <w:tcPr>
            <w:tcW w:w="10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8,758</w:t>
            </w:r>
          </w:p>
        </w:tc>
        <w:tc>
          <w:tcPr>
            <w:tcW w:w="100" w:type="dxa"/>
            <w:vAlign w:val="bottom"/>
            <w:gridSpan w:val="4"/>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2,775</w:t>
            </w:r>
          </w:p>
        </w:tc>
        <w:tc>
          <w:tcPr>
            <w:tcW w:w="160" w:type="dxa"/>
            <w:vAlign w:val="bottom"/>
            <w:gridSpan w:val="4"/>
          </w:tcPr>
          <w:p>
            <w:pPr>
              <w:jc w:val="right"/>
              <w:ind w:right="80"/>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457</w:t>
            </w:r>
          </w:p>
        </w:tc>
        <w:tc>
          <w:tcPr>
            <w:tcW w:w="100" w:type="dxa"/>
            <w:vAlign w:val="bottom"/>
            <w:gridSpan w:val="4"/>
          </w:tcPr>
          <w:p>
            <w:pPr>
              <w:jc w:val="right"/>
              <w:ind w:right="2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569</w:t>
            </w:r>
          </w:p>
        </w:tc>
        <w:tc>
          <w:tcPr>
            <w:tcW w:w="140" w:type="dxa"/>
            <w:vAlign w:val="bottom"/>
            <w:gridSpan w:val="3"/>
          </w:tcPr>
          <w:p>
            <w:pPr>
              <w:jc w:val="right"/>
              <w:ind w:right="60"/>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15,057</w:t>
            </w:r>
          </w:p>
        </w:tc>
        <w:tc>
          <w:tcPr>
            <w:tcW w:w="20" w:type="dxa"/>
            <w:vAlign w:val="bottom"/>
          </w:tcPr>
          <w:p>
            <w:pPr>
              <w:spacing w:after="0"/>
              <w:rPr>
                <w:sz w:val="16"/>
                <w:szCs w:val="16"/>
                <w:color w:val="auto"/>
              </w:rPr>
            </w:pPr>
          </w:p>
        </w:tc>
      </w:tr>
      <w:tr>
        <w:trPr>
          <w:trHeight w:val="111"/>
        </w:trPr>
        <w:tc>
          <w:tcPr>
            <w:tcW w:w="40" w:type="dxa"/>
            <w:vAlign w:val="bottom"/>
          </w:tcPr>
          <w:p>
            <w:pPr>
              <w:spacing w:after="0"/>
              <w:rPr>
                <w:sz w:val="9"/>
                <w:szCs w:val="9"/>
                <w:color w:val="auto"/>
              </w:rPr>
            </w:pPr>
          </w:p>
        </w:tc>
        <w:tc>
          <w:tcPr>
            <w:tcW w:w="22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r>
      <w:tr>
        <w:trPr>
          <w:trHeight w:val="171"/>
        </w:trPr>
        <w:tc>
          <w:tcPr>
            <w:tcW w:w="2240" w:type="dxa"/>
            <w:vAlign w:val="bottom"/>
            <w:gridSpan w:val="2"/>
          </w:tcPr>
          <w:p>
            <w:pPr>
              <w:spacing w:after="0"/>
              <w:rPr>
                <w:sz w:val="20"/>
                <w:szCs w:val="20"/>
                <w:color w:val="auto"/>
              </w:rPr>
            </w:pPr>
            <w:r>
              <w:rPr>
                <w:rFonts w:ascii="Arial" w:cs="Arial" w:eastAsia="Arial" w:hAnsi="Arial"/>
                <w:sz w:val="13"/>
                <w:szCs w:val="13"/>
                <w:color w:val="auto"/>
              </w:rPr>
              <w:t>Loans: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200" w:type="dxa"/>
            <w:vAlign w:val="bottom"/>
            <w:shd w:val="clear" w:color="auto" w:fill="CCEEFF"/>
          </w:tcPr>
          <w:p>
            <w:pPr>
              <w:ind w:left="100"/>
              <w:spacing w:after="0"/>
              <w:rPr>
                <w:sz w:val="20"/>
                <w:szCs w:val="20"/>
                <w:color w:val="auto"/>
              </w:rPr>
            </w:pPr>
            <w:r>
              <w:rPr>
                <w:rFonts w:ascii="Arial" w:cs="Arial" w:eastAsia="Arial" w:hAnsi="Arial"/>
                <w:sz w:val="13"/>
                <w:szCs w:val="13"/>
                <w:color w:val="auto"/>
                <w:w w:val="98"/>
              </w:rPr>
              <w:t>Individually evaluated for impairment</w:t>
            </w:r>
          </w:p>
        </w:tc>
        <w:tc>
          <w:tcPr>
            <w:tcW w:w="1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9,006</w:t>
            </w:r>
          </w:p>
        </w:tc>
        <w:tc>
          <w:tcPr>
            <w:tcW w:w="40" w:type="dxa"/>
            <w:vAlign w:val="bottom"/>
            <w:shd w:val="clear" w:color="auto" w:fill="CCEEFF"/>
          </w:tcPr>
          <w:p>
            <w:pPr>
              <w:spacing w:after="0"/>
              <w:rPr>
                <w:sz w:val="14"/>
                <w:szCs w:val="14"/>
                <w:color w:val="auto"/>
              </w:rPr>
            </w:pPr>
          </w:p>
        </w:tc>
        <w:tc>
          <w:tcPr>
            <w:tcW w:w="60" w:type="dxa"/>
            <w:vAlign w:val="bottom"/>
            <w:gridSpan w:val="3"/>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696</w:t>
            </w:r>
          </w:p>
        </w:tc>
        <w:tc>
          <w:tcPr>
            <w:tcW w:w="20" w:type="dxa"/>
            <w:vAlign w:val="bottom"/>
            <w:shd w:val="clear" w:color="auto" w:fill="CCEEFF"/>
          </w:tcPr>
          <w:p>
            <w:pPr>
              <w:spacing w:after="0"/>
              <w:rPr>
                <w:sz w:val="14"/>
                <w:szCs w:val="14"/>
                <w:color w:val="auto"/>
              </w:rPr>
            </w:pPr>
          </w:p>
        </w:tc>
        <w:tc>
          <w:tcPr>
            <w:tcW w:w="80" w:type="dxa"/>
            <w:vAlign w:val="bottom"/>
            <w:gridSpan w:val="3"/>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w:t>
            </w:r>
          </w:p>
        </w:tc>
        <w:tc>
          <w:tcPr>
            <w:tcW w:w="20" w:type="dxa"/>
            <w:vAlign w:val="bottom"/>
            <w:shd w:val="clear" w:color="auto" w:fill="CCEEFF"/>
          </w:tcPr>
          <w:p>
            <w:pPr>
              <w:spacing w:after="0"/>
              <w:rPr>
                <w:sz w:val="14"/>
                <w:szCs w:val="14"/>
                <w:color w:val="auto"/>
              </w:rPr>
            </w:pPr>
          </w:p>
        </w:tc>
        <w:tc>
          <w:tcPr>
            <w:tcW w:w="140" w:type="dxa"/>
            <w:vAlign w:val="bottom"/>
            <w:gridSpan w:val="3"/>
            <w:shd w:val="clear" w:color="auto" w:fill="CCEEFF"/>
          </w:tcPr>
          <w:p>
            <w:pPr>
              <w:jc w:val="right"/>
              <w:ind w:right="80"/>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gridSpan w:val="3"/>
            <w:shd w:val="clear" w:color="auto" w:fill="CCEEFF"/>
          </w:tcPr>
          <w:p>
            <w:pPr>
              <w:jc w:val="right"/>
              <w:ind w:right="2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224</w:t>
            </w:r>
          </w:p>
        </w:tc>
        <w:tc>
          <w:tcPr>
            <w:tcW w:w="1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10,067</w:t>
            </w: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200" w:type="dxa"/>
            <w:vAlign w:val="bottom"/>
          </w:tcPr>
          <w:p>
            <w:pPr>
              <w:ind w:left="60"/>
              <w:spacing w:after="0"/>
              <w:rPr>
                <w:sz w:val="20"/>
                <w:szCs w:val="20"/>
                <w:color w:val="auto"/>
              </w:rPr>
            </w:pPr>
            <w:r>
              <w:rPr>
                <w:rFonts w:ascii="Arial" w:cs="Arial" w:eastAsia="Arial" w:hAnsi="Arial"/>
                <w:sz w:val="13"/>
                <w:szCs w:val="13"/>
                <w:color w:val="auto"/>
                <w:w w:val="99"/>
              </w:rPr>
              <w:t>Collectively evaluated for impairment</w:t>
            </w: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192,353</w:t>
            </w:r>
          </w:p>
        </w:tc>
        <w:tc>
          <w:tcPr>
            <w:tcW w:w="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704,292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146,451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59,491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79,005</w:t>
            </w: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1,181,592</w:t>
            </w:r>
          </w:p>
        </w:tc>
        <w:tc>
          <w:tcPr>
            <w:tcW w:w="20" w:type="dxa"/>
            <w:vAlign w:val="bottom"/>
          </w:tcPr>
          <w:p>
            <w:pPr>
              <w:spacing w:after="0"/>
              <w:rPr>
                <w:sz w:val="14"/>
                <w:szCs w:val="14"/>
                <w:color w:val="auto"/>
              </w:rPr>
            </w:pPr>
          </w:p>
        </w:tc>
      </w:tr>
      <w:tr>
        <w:trPr>
          <w:trHeight w:val="151"/>
        </w:trPr>
        <w:tc>
          <w:tcPr>
            <w:tcW w:w="40" w:type="dxa"/>
            <w:vAlign w:val="bottom"/>
          </w:tcPr>
          <w:p>
            <w:pPr>
              <w:spacing w:after="0"/>
              <w:rPr>
                <w:sz w:val="13"/>
                <w:szCs w:val="13"/>
                <w:color w:val="auto"/>
              </w:rPr>
            </w:pPr>
          </w:p>
        </w:tc>
        <w:tc>
          <w:tcPr>
            <w:tcW w:w="22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Balances, end of period</w:t>
            </w:r>
          </w:p>
        </w:tc>
        <w:tc>
          <w:tcPr>
            <w:tcW w:w="1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201,359</w:t>
            </w:r>
          </w:p>
        </w:tc>
        <w:tc>
          <w:tcPr>
            <w:tcW w:w="40" w:type="dxa"/>
            <w:vAlign w:val="bottom"/>
            <w:shd w:val="clear" w:color="auto" w:fill="CCEEFF"/>
          </w:tcPr>
          <w:p>
            <w:pPr>
              <w:spacing w:after="0"/>
              <w:rPr>
                <w:sz w:val="13"/>
                <w:szCs w:val="13"/>
                <w:color w:val="auto"/>
              </w:rPr>
            </w:pPr>
          </w:p>
        </w:tc>
        <w:tc>
          <w:tcPr>
            <w:tcW w:w="60" w:type="dxa"/>
            <w:vAlign w:val="bottom"/>
            <w:gridSpan w:val="3"/>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704,988</w:t>
            </w:r>
          </w:p>
        </w:tc>
        <w:tc>
          <w:tcPr>
            <w:tcW w:w="20" w:type="dxa"/>
            <w:vAlign w:val="bottom"/>
            <w:shd w:val="clear" w:color="auto" w:fill="CCEEFF"/>
          </w:tcPr>
          <w:p>
            <w:pPr>
              <w:spacing w:after="0"/>
              <w:rPr>
                <w:sz w:val="13"/>
                <w:szCs w:val="13"/>
                <w:color w:val="auto"/>
              </w:rPr>
            </w:pPr>
          </w:p>
        </w:tc>
        <w:tc>
          <w:tcPr>
            <w:tcW w:w="80" w:type="dxa"/>
            <w:vAlign w:val="bottom"/>
            <w:gridSpan w:val="3"/>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146,592</w:t>
            </w:r>
          </w:p>
        </w:tc>
        <w:tc>
          <w:tcPr>
            <w:tcW w:w="20" w:type="dxa"/>
            <w:vAlign w:val="bottom"/>
            <w:shd w:val="clear" w:color="auto" w:fill="CCEEFF"/>
          </w:tcPr>
          <w:p>
            <w:pPr>
              <w:spacing w:after="0"/>
              <w:rPr>
                <w:sz w:val="13"/>
                <w:szCs w:val="13"/>
                <w:color w:val="auto"/>
              </w:rPr>
            </w:pPr>
          </w:p>
        </w:tc>
        <w:tc>
          <w:tcPr>
            <w:tcW w:w="140" w:type="dxa"/>
            <w:vAlign w:val="bottom"/>
            <w:gridSpan w:val="3"/>
            <w:shd w:val="clear" w:color="auto" w:fill="CCEEFF"/>
          </w:tcPr>
          <w:p>
            <w:pPr>
              <w:jc w:val="right"/>
              <w:ind w:right="80"/>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59,491</w:t>
            </w:r>
          </w:p>
        </w:tc>
        <w:tc>
          <w:tcPr>
            <w:tcW w:w="20" w:type="dxa"/>
            <w:vAlign w:val="bottom"/>
            <w:shd w:val="clear" w:color="auto" w:fill="CCEEFF"/>
          </w:tcPr>
          <w:p>
            <w:pPr>
              <w:spacing w:after="0"/>
              <w:rPr>
                <w:sz w:val="13"/>
                <w:szCs w:val="13"/>
                <w:color w:val="auto"/>
              </w:rPr>
            </w:pPr>
          </w:p>
        </w:tc>
        <w:tc>
          <w:tcPr>
            <w:tcW w:w="80" w:type="dxa"/>
            <w:vAlign w:val="bottom"/>
            <w:gridSpan w:val="3"/>
            <w:shd w:val="clear" w:color="auto" w:fill="CCEEFF"/>
          </w:tcPr>
          <w:p>
            <w:pPr>
              <w:jc w:val="right"/>
              <w:ind w:right="2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79,229</w:t>
            </w:r>
          </w:p>
        </w:tc>
        <w:tc>
          <w:tcPr>
            <w:tcW w:w="14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w w:val="82"/>
                <w:shd w:val="clear" w:color="auto" w:fill="CCEEFF"/>
              </w:rPr>
              <w:t>$</w:t>
            </w: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shd w:val="clear" w:color="auto" w:fill="CCEEFF"/>
              </w:rPr>
              <w:t>1,191,659</w:t>
            </w:r>
          </w:p>
        </w:tc>
        <w:tc>
          <w:tcPr>
            <w:tcW w:w="20" w:type="dxa"/>
            <w:vAlign w:val="bottom"/>
            <w:shd w:val="clear" w:color="auto" w:fill="CCEEFF"/>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28</w:t>
      </w:r>
      <w:r>
        <w:rPr>
          <w:sz w:val="20"/>
          <w:szCs w:val="20"/>
          <w:color w:val="auto"/>
        </w:rPr>
        <w:tab/>
      </w:r>
      <w:r>
        <w:rPr>
          <w:rFonts w:ascii="Arial" w:cs="Arial" w:eastAsia="Arial" w:hAnsi="Arial"/>
          <w:sz w:val="14"/>
          <w:szCs w:val="14"/>
          <w:color w:val="auto"/>
        </w:rPr>
        <w:t>USCB Financial Holdings, Inc.</w:t>
        <w:tab/>
        <w:t>2022 10-K/A</w:t>
      </w:r>
    </w:p>
    <w:p>
      <w:pPr>
        <w:sectPr>
          <w:pgSz w:w="11900" w:h="16838" w:orient="portrait"/>
          <w:cols w:equalWidth="0" w:num="1">
            <w:col w:w="9019"/>
          </w:cols>
          <w:pgMar w:left="1440" w:top="490" w:right="1440" w:bottom="1440" w:gutter="0" w:footer="0" w:header="0"/>
        </w:sectPr>
      </w:pPr>
    </w:p>
    <w:bookmarkStart w:id="28" w:name="page29"/>
    <w:bookmarkEnd w:id="2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Credit Quality Indicators</w:t>
      </w:r>
    </w:p>
    <w:p>
      <w:pPr>
        <w:spacing w:after="0" w:line="188" w:lineRule="exact"/>
        <w:rPr>
          <w:sz w:val="20"/>
          <w:szCs w:val="20"/>
          <w:color w:val="auto"/>
        </w:rPr>
      </w:pPr>
    </w:p>
    <w:p>
      <w:pPr>
        <w:jc w:val="both"/>
        <w:ind w:left="640" w:right="699" w:firstLine="256"/>
        <w:spacing w:after="0" w:line="248" w:lineRule="auto"/>
        <w:rPr>
          <w:sz w:val="20"/>
          <w:szCs w:val="20"/>
          <w:color w:val="auto"/>
        </w:rPr>
      </w:pPr>
      <w:r>
        <w:rPr>
          <w:rFonts w:ascii="Arial" w:cs="Arial" w:eastAsia="Arial" w:hAnsi="Arial"/>
          <w:sz w:val="14"/>
          <w:szCs w:val="14"/>
          <w:color w:val="auto"/>
        </w:rPr>
        <w:t>The Company grades loans based on the estimated capability of the borrower to repay the contractual obligation of the loan agreement based on relevant information which may include: current financial information on the borrower, historical payment experience, credit documentation and other current economic trends. Internal credit risk grades are evaluated periodically.</w:t>
      </w:r>
    </w:p>
    <w:p>
      <w:pPr>
        <w:spacing w:after="0" w:line="145" w:lineRule="exact"/>
        <w:rPr>
          <w:sz w:val="20"/>
          <w:szCs w:val="20"/>
          <w:color w:val="auto"/>
        </w:rPr>
      </w:pPr>
    </w:p>
    <w:p>
      <w:pPr>
        <w:ind w:left="900"/>
        <w:spacing w:after="0"/>
        <w:rPr>
          <w:sz w:val="20"/>
          <w:szCs w:val="20"/>
          <w:color w:val="auto"/>
        </w:rPr>
      </w:pPr>
      <w:r>
        <w:rPr>
          <w:rFonts w:ascii="Arial" w:cs="Arial" w:eastAsia="Arial" w:hAnsi="Arial"/>
          <w:sz w:val="14"/>
          <w:szCs w:val="14"/>
          <w:color w:val="auto"/>
        </w:rPr>
        <w:t>The Company's internally assigned credit risk grades are as follows:</w:t>
      </w:r>
    </w:p>
    <w:p>
      <w:pPr>
        <w:spacing w:after="0" w:line="152"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 xml:space="preserve">Pass </w:t>
      </w:r>
      <w:r>
        <w:rPr>
          <w:rFonts w:ascii="Arial" w:cs="Arial" w:eastAsia="Arial" w:hAnsi="Arial"/>
          <w:sz w:val="14"/>
          <w:szCs w:val="14"/>
          <w:color w:val="auto"/>
        </w:rPr>
        <w:t>– Loans indicate different levels of satisfactory financial condition and performance.</w:t>
      </w:r>
    </w:p>
    <w:p>
      <w:pPr>
        <w:spacing w:after="0" w:line="170" w:lineRule="exact"/>
        <w:rPr>
          <w:sz w:val="20"/>
          <w:szCs w:val="20"/>
          <w:color w:val="auto"/>
        </w:rPr>
      </w:pPr>
    </w:p>
    <w:p>
      <w:pPr>
        <w:ind w:left="1160" w:right="839"/>
        <w:spacing w:after="0" w:line="258" w:lineRule="auto"/>
        <w:rPr>
          <w:sz w:val="20"/>
          <w:szCs w:val="20"/>
          <w:color w:val="auto"/>
        </w:rPr>
      </w:pPr>
      <w:r>
        <w:rPr>
          <w:rFonts w:ascii="Arial" w:cs="Arial" w:eastAsia="Arial" w:hAnsi="Arial"/>
          <w:sz w:val="14"/>
          <w:szCs w:val="14"/>
          <w:b w:val="1"/>
          <w:bCs w:val="1"/>
          <w:color w:val="auto"/>
        </w:rPr>
        <w:t xml:space="preserve">Special Mention </w:t>
      </w:r>
      <w:r>
        <w:rPr>
          <w:rFonts w:ascii="Arial" w:cs="Arial" w:eastAsia="Arial" w:hAnsi="Arial"/>
          <w:sz w:val="14"/>
          <w:szCs w:val="14"/>
          <w:color w:val="auto"/>
        </w:rPr>
        <w:t>– Loans classified as special mention have a potential weakness that deserves management’s</w:t>
      </w:r>
      <w:r>
        <w:rPr>
          <w:rFonts w:ascii="Arial" w:cs="Arial" w:eastAsia="Arial" w:hAnsi="Arial"/>
          <w:sz w:val="14"/>
          <w:szCs w:val="14"/>
          <w:b w:val="1"/>
          <w:bCs w:val="1"/>
          <w:color w:val="auto"/>
        </w:rPr>
        <w:t xml:space="preserve"> </w:t>
      </w:r>
      <w:r>
        <w:rPr>
          <w:rFonts w:ascii="Arial" w:cs="Arial" w:eastAsia="Arial" w:hAnsi="Arial"/>
          <w:sz w:val="14"/>
          <w:szCs w:val="14"/>
          <w:color w:val="auto"/>
        </w:rPr>
        <w:t>close attention. If left uncorrected, these potential weaknesses may result in deterioration of the repayment prospects for the loan or of the institution’s credit position at some future date.</w:t>
      </w:r>
    </w:p>
    <w:p>
      <w:pPr>
        <w:spacing w:after="0" w:line="132" w:lineRule="exact"/>
        <w:rPr>
          <w:sz w:val="20"/>
          <w:szCs w:val="20"/>
          <w:color w:val="auto"/>
        </w:rPr>
      </w:pPr>
    </w:p>
    <w:p>
      <w:pPr>
        <w:jc w:val="both"/>
        <w:ind w:left="1160" w:right="839"/>
        <w:spacing w:after="0" w:line="257" w:lineRule="auto"/>
        <w:rPr>
          <w:sz w:val="20"/>
          <w:szCs w:val="20"/>
          <w:color w:val="auto"/>
        </w:rPr>
      </w:pPr>
      <w:r>
        <w:rPr>
          <w:rFonts w:ascii="Arial" w:cs="Arial" w:eastAsia="Arial" w:hAnsi="Arial"/>
          <w:sz w:val="14"/>
          <w:szCs w:val="14"/>
          <w:b w:val="1"/>
          <w:bCs w:val="1"/>
          <w:color w:val="auto"/>
        </w:rPr>
        <w:t xml:space="preserve">Substandard </w:t>
      </w:r>
      <w:r>
        <w:rPr>
          <w:rFonts w:ascii="Arial" w:cs="Arial" w:eastAsia="Arial" w:hAnsi="Arial"/>
          <w:sz w:val="14"/>
          <w:szCs w:val="14"/>
          <w:color w:val="auto"/>
        </w:rPr>
        <w:t>– Loans classified as substandard are inadequately protected by the current net worth and paying</w:t>
      </w:r>
      <w:r>
        <w:rPr>
          <w:rFonts w:ascii="Arial" w:cs="Arial" w:eastAsia="Arial" w:hAnsi="Arial"/>
          <w:sz w:val="14"/>
          <w:szCs w:val="14"/>
          <w:b w:val="1"/>
          <w:bCs w:val="1"/>
          <w:color w:val="auto"/>
        </w:rPr>
        <w:t xml:space="preserve"> </w:t>
      </w:r>
      <w:r>
        <w:rPr>
          <w:rFonts w:ascii="Arial" w:cs="Arial" w:eastAsia="Arial" w:hAnsi="Arial"/>
          <w:sz w:val="14"/>
          <w:szCs w:val="14"/>
          <w:color w:val="auto"/>
        </w:rPr>
        <w:t>capacity of the obligator or of the collateral pledged, if any. Loans so classified have a well-defined weakness or weaknesses that jeopardize the liquidation of the debt. They are characterized by the distinct possibility that the institution will sustain some loss if the deficiencies are not corrected.</w:t>
      </w:r>
    </w:p>
    <w:p>
      <w:pPr>
        <w:spacing w:after="0" w:line="132" w:lineRule="exact"/>
        <w:rPr>
          <w:sz w:val="20"/>
          <w:szCs w:val="20"/>
          <w:color w:val="auto"/>
        </w:rPr>
      </w:pPr>
    </w:p>
    <w:p>
      <w:pPr>
        <w:jc w:val="both"/>
        <w:ind w:left="1160" w:right="739"/>
        <w:spacing w:after="0" w:line="258" w:lineRule="auto"/>
        <w:rPr>
          <w:sz w:val="20"/>
          <w:szCs w:val="20"/>
          <w:color w:val="auto"/>
        </w:rPr>
      </w:pPr>
      <w:r>
        <w:rPr>
          <w:rFonts w:ascii="Arial" w:cs="Arial" w:eastAsia="Arial" w:hAnsi="Arial"/>
          <w:sz w:val="14"/>
          <w:szCs w:val="14"/>
          <w:b w:val="1"/>
          <w:bCs w:val="1"/>
          <w:color w:val="auto"/>
        </w:rPr>
        <w:t xml:space="preserve">Doubtful </w:t>
      </w:r>
      <w:r>
        <w:rPr>
          <w:rFonts w:ascii="Arial" w:cs="Arial" w:eastAsia="Arial" w:hAnsi="Arial"/>
          <w:sz w:val="14"/>
          <w:szCs w:val="14"/>
          <w:color w:val="auto"/>
        </w:rPr>
        <w:t>– Loans classified as doubtful have all the weaknesses inherent in those classified at substandard, with</w:t>
      </w:r>
      <w:r>
        <w:rPr>
          <w:rFonts w:ascii="Arial" w:cs="Arial" w:eastAsia="Arial" w:hAnsi="Arial"/>
          <w:sz w:val="14"/>
          <w:szCs w:val="14"/>
          <w:b w:val="1"/>
          <w:bCs w:val="1"/>
          <w:color w:val="auto"/>
        </w:rPr>
        <w:t xml:space="preserve"> </w:t>
      </w:r>
      <w:r>
        <w:rPr>
          <w:rFonts w:ascii="Arial" w:cs="Arial" w:eastAsia="Arial" w:hAnsi="Arial"/>
          <w:sz w:val="14"/>
          <w:szCs w:val="14"/>
          <w:color w:val="auto"/>
        </w:rPr>
        <w:t>the added characteristic that the weaknesses make collection or liquidation in full on the basis of currently existing facts, conditions, and values, highly questionable and improbable.</w:t>
      </w:r>
    </w:p>
    <w:p>
      <w:pPr>
        <w:spacing w:after="0" w:line="132"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 xml:space="preserve">Loss </w:t>
      </w:r>
      <w:r>
        <w:rPr>
          <w:rFonts w:ascii="Arial" w:cs="Arial" w:eastAsia="Arial" w:hAnsi="Arial"/>
          <w:sz w:val="14"/>
          <w:szCs w:val="14"/>
          <w:color w:val="auto"/>
        </w:rPr>
        <w:t>– Loans classified as loss are considered uncollectible.</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Loan credit exposures by internally assigned grades are presented below for the periods indicated (in thousands):</w:t>
      </w:r>
    </w:p>
    <w:p>
      <w:pPr>
        <w:spacing w:after="0" w:line="166" w:lineRule="exact"/>
        <w:rPr>
          <w:sz w:val="20"/>
          <w:szCs w:val="20"/>
          <w:color w:val="auto"/>
        </w:rPr>
      </w:pPr>
    </w:p>
    <w:tbl>
      <w:tblPr>
        <w:tblLayout w:type="fixed"/>
        <w:tblInd w:w="620" w:type="dxa"/>
        <w:tblCellMar>
          <w:top w:w="0" w:type="dxa"/>
          <w:left w:w="0" w:type="dxa"/>
          <w:bottom w:w="0" w:type="dxa"/>
          <w:right w:w="0" w:type="dxa"/>
        </w:tblCellMar>
      </w:tblPr>
      <w:tr>
        <w:trPr>
          <w:trHeight w:val="153"/>
        </w:trPr>
        <w:tc>
          <w:tcPr>
            <w:tcW w:w="4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8"/>
          </w:tcPr>
          <w:p>
            <w:pPr>
              <w:jc w:val="right"/>
              <w:ind w:right="336"/>
              <w:spacing w:after="0"/>
              <w:rPr>
                <w:sz w:val="20"/>
                <w:szCs w:val="20"/>
                <w:color w:val="auto"/>
              </w:rPr>
            </w:pPr>
            <w:r>
              <w:rPr>
                <w:rFonts w:ascii="Arial" w:cs="Arial" w:eastAsia="Arial" w:hAnsi="Arial"/>
                <w:sz w:val="13"/>
                <w:szCs w:val="13"/>
                <w:b w:val="1"/>
                <w:bCs w:val="1"/>
                <w:color w:val="auto"/>
              </w:rPr>
              <w:t>As of December 31, 2022</w:t>
            </w: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36"/>
        </w:trPr>
        <w:tc>
          <w:tcPr>
            <w:tcW w:w="4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rPr>
              <w:t>Special</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73"/>
        </w:trPr>
        <w:tc>
          <w:tcPr>
            <w:tcW w:w="4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Pass</w:t>
            </w:r>
          </w:p>
        </w:tc>
        <w:tc>
          <w:tcPr>
            <w:tcW w:w="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Mention</w:t>
            </w: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3"/>
                <w:szCs w:val="13"/>
                <w:b w:val="1"/>
                <w:bCs w:val="1"/>
                <w:color w:val="auto"/>
              </w:rPr>
              <w:t>Substandard</w:t>
            </w: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Doubtful</w:t>
            </w: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w w:val="95"/>
              </w:rPr>
              <w:t>Total Loans</w:t>
            </w:r>
          </w:p>
        </w:tc>
        <w:tc>
          <w:tcPr>
            <w:tcW w:w="20" w:type="dxa"/>
            <w:vAlign w:val="bottom"/>
          </w:tcPr>
          <w:p>
            <w:pPr>
              <w:spacing w:after="0"/>
              <w:rPr>
                <w:sz w:val="15"/>
                <w:szCs w:val="15"/>
                <w:color w:val="auto"/>
              </w:rPr>
            </w:pPr>
          </w:p>
        </w:tc>
      </w:tr>
      <w:tr>
        <w:trPr>
          <w:trHeight w:val="141"/>
        </w:trPr>
        <w:tc>
          <w:tcPr>
            <w:tcW w:w="40" w:type="dxa"/>
            <w:vAlign w:val="bottom"/>
          </w:tcPr>
          <w:p>
            <w:pPr>
              <w:spacing w:after="0"/>
              <w:rPr>
                <w:sz w:val="12"/>
                <w:szCs w:val="12"/>
                <w:color w:val="auto"/>
              </w:rPr>
            </w:pPr>
          </w:p>
        </w:tc>
        <w:tc>
          <w:tcPr>
            <w:tcW w:w="2980" w:type="dxa"/>
            <w:vAlign w:val="bottom"/>
            <w:tcBorders>
              <w:top w:val="single" w:sz="8" w:color="CCEEFF"/>
            </w:tcBorders>
            <w:shd w:val="clear" w:color="auto" w:fill="CCEEFF"/>
          </w:tcPr>
          <w:p>
            <w:pPr>
              <w:spacing w:after="0" w:line="137" w:lineRule="exact"/>
              <w:rPr>
                <w:sz w:val="20"/>
                <w:szCs w:val="20"/>
                <w:color w:val="auto"/>
              </w:rPr>
            </w:pPr>
            <w:r>
              <w:rPr>
                <w:rFonts w:ascii="Arial" w:cs="Arial" w:eastAsia="Arial" w:hAnsi="Arial"/>
                <w:sz w:val="13"/>
                <w:szCs w:val="13"/>
                <w:color w:val="auto"/>
              </w:rPr>
              <w:t>Residential real estate:</w:t>
            </w:r>
          </w:p>
        </w:tc>
        <w:tc>
          <w:tcPr>
            <w:tcW w:w="3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71"/>
        </w:trPr>
        <w:tc>
          <w:tcPr>
            <w:tcW w:w="40" w:type="dxa"/>
            <w:vAlign w:val="bottom"/>
          </w:tcPr>
          <w:p>
            <w:pPr>
              <w:spacing w:after="0"/>
              <w:rPr>
                <w:sz w:val="14"/>
                <w:szCs w:val="14"/>
                <w:color w:val="auto"/>
              </w:rPr>
            </w:pPr>
          </w:p>
        </w:tc>
        <w:tc>
          <w:tcPr>
            <w:tcW w:w="2980" w:type="dxa"/>
            <w:vAlign w:val="bottom"/>
          </w:tcPr>
          <w:p>
            <w:pPr>
              <w:ind w:left="60"/>
              <w:spacing w:after="0"/>
              <w:rPr>
                <w:sz w:val="20"/>
                <w:szCs w:val="20"/>
                <w:color w:val="auto"/>
              </w:rPr>
            </w:pPr>
            <w:r>
              <w:rPr>
                <w:rFonts w:ascii="Arial" w:cs="Arial" w:eastAsia="Arial" w:hAnsi="Arial"/>
                <w:sz w:val="13"/>
                <w:szCs w:val="13"/>
                <w:color w:val="auto"/>
              </w:rPr>
              <w:t>Home equity line of credit ("HELOC") and other</w:t>
            </w:r>
          </w:p>
        </w:tc>
        <w:tc>
          <w:tcPr>
            <w:tcW w:w="46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623</w:t>
            </w:r>
          </w:p>
        </w:tc>
        <w:tc>
          <w:tcPr>
            <w:tcW w:w="140" w:type="dxa"/>
            <w:vAlign w:val="bottom"/>
            <w:gridSpan w:val="4"/>
          </w:tcPr>
          <w:p>
            <w:pPr>
              <w:jc w:val="right"/>
              <w:ind w:right="40"/>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4"/>
                <w:szCs w:val="14"/>
                <w:color w:val="auto"/>
              </w:rPr>
            </w:pPr>
          </w:p>
        </w:tc>
        <w:tc>
          <w:tcPr>
            <w:tcW w:w="460" w:type="dxa"/>
            <w:vAlign w:val="bottom"/>
            <w:gridSpan w:val="3"/>
          </w:tcPr>
          <w:p>
            <w:pPr>
              <w:ind w:left="40"/>
              <w:spacing w:after="0"/>
              <w:rPr>
                <w:sz w:val="20"/>
                <w:szCs w:val="20"/>
                <w:color w:val="auto"/>
              </w:rPr>
            </w:pPr>
            <w:r>
              <w:rPr>
                <w:rFonts w:ascii="Arial" w:cs="Arial" w:eastAsia="Arial" w:hAnsi="Arial"/>
                <w:sz w:val="13"/>
                <w:szCs w:val="13"/>
                <w:color w:val="auto"/>
              </w:rPr>
              <w:t>- $</w:t>
            </w:r>
          </w:p>
        </w:tc>
        <w:tc>
          <w:tcPr>
            <w:tcW w:w="1300" w:type="dxa"/>
            <w:vAlign w:val="bottom"/>
            <w:gridSpan w:val="4"/>
          </w:tcPr>
          <w:p>
            <w:pPr>
              <w:jc w:val="right"/>
              <w:ind w:right="536"/>
              <w:spacing w:after="0"/>
              <w:rPr>
                <w:sz w:val="20"/>
                <w:szCs w:val="20"/>
                <w:color w:val="auto"/>
              </w:rPr>
            </w:pPr>
            <w:r>
              <w:rPr>
                <w:rFonts w:ascii="Arial" w:cs="Arial" w:eastAsia="Arial" w:hAnsi="Arial"/>
                <w:sz w:val="13"/>
                <w:szCs w:val="13"/>
                <w:color w:val="auto"/>
              </w:rPr>
              <w:t>- $</w:t>
            </w:r>
          </w:p>
        </w:tc>
        <w:tc>
          <w:tcPr>
            <w:tcW w:w="200" w:type="dxa"/>
            <w:vAlign w:val="bottom"/>
            <w:gridSpan w:val="3"/>
          </w:tcPr>
          <w:p>
            <w:pPr>
              <w:ind w:left="20"/>
              <w:spacing w:after="0"/>
              <w:rPr>
                <w:sz w:val="20"/>
                <w:szCs w:val="20"/>
                <w:color w:val="auto"/>
              </w:rPr>
            </w:pPr>
            <w:r>
              <w:rPr>
                <w:rFonts w:ascii="Arial" w:cs="Arial" w:eastAsia="Arial" w:hAnsi="Arial"/>
                <w:sz w:val="13"/>
                <w:szCs w:val="13"/>
                <w:color w:val="auto"/>
              </w:rPr>
              <w:t>- $</w:t>
            </w:r>
          </w:p>
        </w:tc>
        <w:tc>
          <w:tcPr>
            <w:tcW w:w="880" w:type="dxa"/>
            <w:vAlign w:val="bottom"/>
          </w:tcPr>
          <w:p>
            <w:pPr>
              <w:jc w:val="right"/>
              <w:spacing w:after="0"/>
              <w:rPr>
                <w:sz w:val="20"/>
                <w:szCs w:val="20"/>
                <w:color w:val="auto"/>
              </w:rPr>
            </w:pPr>
            <w:r>
              <w:rPr>
                <w:rFonts w:ascii="Arial" w:cs="Arial" w:eastAsia="Arial" w:hAnsi="Arial"/>
                <w:sz w:val="13"/>
                <w:szCs w:val="13"/>
                <w:color w:val="auto"/>
              </w:rPr>
              <w:t>623</w:t>
            </w:r>
          </w:p>
        </w:tc>
        <w:tc>
          <w:tcPr>
            <w:tcW w:w="20" w:type="dxa"/>
            <w:vAlign w:val="bottom"/>
          </w:tcPr>
          <w:p>
            <w:pPr>
              <w:spacing w:after="0"/>
              <w:rPr>
                <w:sz w:val="14"/>
                <w:szCs w:val="14"/>
                <w:color w:val="auto"/>
              </w:rPr>
            </w:pPr>
          </w:p>
        </w:tc>
      </w:tr>
      <w:tr>
        <w:trPr>
          <w:trHeight w:val="151"/>
        </w:trPr>
        <w:tc>
          <w:tcPr>
            <w:tcW w:w="40" w:type="dxa"/>
            <w:vAlign w:val="bottom"/>
          </w:tcPr>
          <w:p>
            <w:pPr>
              <w:spacing w:after="0"/>
              <w:rPr>
                <w:sz w:val="13"/>
                <w:szCs w:val="13"/>
                <w:color w:val="auto"/>
              </w:rPr>
            </w:pPr>
          </w:p>
        </w:tc>
        <w:tc>
          <w:tcPr>
            <w:tcW w:w="29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1-4 family residential</w:t>
            </w:r>
          </w:p>
        </w:tc>
        <w:tc>
          <w:tcPr>
            <w:tcW w:w="3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132,178</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132,178</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80"/>
        </w:trPr>
        <w:tc>
          <w:tcPr>
            <w:tcW w:w="40" w:type="dxa"/>
            <w:vAlign w:val="bottom"/>
          </w:tcPr>
          <w:p>
            <w:pPr>
              <w:spacing w:after="0"/>
              <w:rPr>
                <w:sz w:val="15"/>
                <w:szCs w:val="15"/>
                <w:color w:val="auto"/>
              </w:rPr>
            </w:pPr>
          </w:p>
        </w:tc>
        <w:tc>
          <w:tcPr>
            <w:tcW w:w="2980" w:type="dxa"/>
            <w:vAlign w:val="bottom"/>
          </w:tcPr>
          <w:p>
            <w:pPr>
              <w:ind w:left="60"/>
              <w:spacing w:after="0"/>
              <w:rPr>
                <w:sz w:val="20"/>
                <w:szCs w:val="20"/>
                <w:color w:val="auto"/>
              </w:rPr>
            </w:pPr>
            <w:r>
              <w:rPr>
                <w:rFonts w:ascii="Arial" w:cs="Arial" w:eastAsia="Arial" w:hAnsi="Arial"/>
                <w:sz w:val="13"/>
                <w:szCs w:val="13"/>
                <w:color w:val="auto"/>
              </w:rPr>
              <w:t>Condo residential</w:t>
            </w:r>
          </w:p>
        </w:tc>
        <w:tc>
          <w:tcPr>
            <w:tcW w:w="3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52,835</w:t>
            </w:r>
          </w:p>
        </w:tc>
        <w:tc>
          <w:tcPr>
            <w:tcW w:w="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52,835</w:t>
            </w:r>
          </w:p>
        </w:tc>
        <w:tc>
          <w:tcPr>
            <w:tcW w:w="20" w:type="dxa"/>
            <w:vAlign w:val="bottom"/>
          </w:tcPr>
          <w:p>
            <w:pPr>
              <w:spacing w:after="0"/>
              <w:rPr>
                <w:sz w:val="15"/>
                <w:szCs w:val="15"/>
                <w:color w:val="auto"/>
              </w:rPr>
            </w:pPr>
          </w:p>
        </w:tc>
      </w:tr>
      <w:tr>
        <w:trPr>
          <w:trHeight w:val="141"/>
        </w:trPr>
        <w:tc>
          <w:tcPr>
            <w:tcW w:w="40" w:type="dxa"/>
            <w:vAlign w:val="bottom"/>
          </w:tcPr>
          <w:p>
            <w:pPr>
              <w:spacing w:after="0"/>
              <w:rPr>
                <w:sz w:val="12"/>
                <w:szCs w:val="12"/>
                <w:color w:val="auto"/>
              </w:rPr>
            </w:pPr>
          </w:p>
        </w:tc>
        <w:tc>
          <w:tcPr>
            <w:tcW w:w="29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185,636</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ind w:left="40"/>
              <w:spacing w:after="0" w:line="141" w:lineRule="exact"/>
              <w:rPr>
                <w:sz w:val="20"/>
                <w:szCs w:val="20"/>
                <w:color w:val="auto"/>
              </w:rPr>
            </w:pPr>
            <w:r>
              <w:rPr>
                <w:rFonts w:ascii="Arial" w:cs="Arial" w:eastAsia="Arial" w:hAnsi="Arial"/>
                <w:sz w:val="13"/>
                <w:szCs w:val="13"/>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ind w:left="20"/>
              <w:spacing w:after="0" w:line="141" w:lineRule="exact"/>
              <w:rPr>
                <w:sz w:val="20"/>
                <w:szCs w:val="20"/>
                <w:color w:val="auto"/>
              </w:rPr>
            </w:pPr>
            <w:r>
              <w:rPr>
                <w:rFonts w:ascii="Arial" w:cs="Arial" w:eastAsia="Arial" w:hAnsi="Arial"/>
                <w:sz w:val="13"/>
                <w:szCs w:val="13"/>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185,636</w:t>
            </w:r>
          </w:p>
        </w:tc>
        <w:tc>
          <w:tcPr>
            <w:tcW w:w="20" w:type="dxa"/>
            <w:vAlign w:val="bottom"/>
            <w:shd w:val="clear" w:color="auto" w:fill="CCEEFF"/>
          </w:tcPr>
          <w:p>
            <w:pPr>
              <w:spacing w:after="0"/>
              <w:rPr>
                <w:sz w:val="12"/>
                <w:szCs w:val="12"/>
                <w:color w:val="auto"/>
              </w:rPr>
            </w:pPr>
          </w:p>
        </w:tc>
      </w:tr>
      <w:tr>
        <w:trPr>
          <w:trHeight w:val="168"/>
        </w:trPr>
        <w:tc>
          <w:tcPr>
            <w:tcW w:w="3020" w:type="dxa"/>
            <w:vAlign w:val="bottom"/>
            <w:gridSpan w:val="2"/>
          </w:tcPr>
          <w:p>
            <w:pPr>
              <w:spacing w:after="0"/>
              <w:rPr>
                <w:sz w:val="20"/>
                <w:szCs w:val="20"/>
                <w:color w:val="auto"/>
              </w:rPr>
            </w:pPr>
            <w:r>
              <w:rPr>
                <w:rFonts w:ascii="Arial" w:cs="Arial" w:eastAsia="Arial" w:hAnsi="Arial"/>
                <w:sz w:val="13"/>
                <w:szCs w:val="13"/>
                <w:color w:val="auto"/>
              </w:rPr>
              <w:t>Commercial real estate:</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3"/>
        </w:trPr>
        <w:tc>
          <w:tcPr>
            <w:tcW w:w="40" w:type="dxa"/>
            <w:vAlign w:val="bottom"/>
          </w:tcPr>
          <w:p>
            <w:pPr>
              <w:spacing w:after="0"/>
              <w:rPr>
                <w:sz w:val="13"/>
                <w:szCs w:val="13"/>
                <w:color w:val="auto"/>
              </w:rPr>
            </w:pPr>
          </w:p>
        </w:tc>
        <w:tc>
          <w:tcPr>
            <w:tcW w:w="2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Land and construction</w:t>
            </w:r>
          </w:p>
        </w:tc>
        <w:tc>
          <w:tcPr>
            <w:tcW w:w="3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38,687</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38,687</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71"/>
        </w:trPr>
        <w:tc>
          <w:tcPr>
            <w:tcW w:w="40" w:type="dxa"/>
            <w:vAlign w:val="bottom"/>
          </w:tcPr>
          <w:p>
            <w:pPr>
              <w:spacing w:after="0"/>
              <w:rPr>
                <w:sz w:val="14"/>
                <w:szCs w:val="14"/>
                <w:color w:val="auto"/>
              </w:rPr>
            </w:pPr>
          </w:p>
        </w:tc>
        <w:tc>
          <w:tcPr>
            <w:tcW w:w="2980" w:type="dxa"/>
            <w:vAlign w:val="bottom"/>
          </w:tcPr>
          <w:p>
            <w:pPr>
              <w:ind w:left="60"/>
              <w:spacing w:after="0"/>
              <w:rPr>
                <w:sz w:val="20"/>
                <w:szCs w:val="20"/>
                <w:color w:val="auto"/>
              </w:rPr>
            </w:pPr>
            <w:r>
              <w:rPr>
                <w:rFonts w:ascii="Arial" w:cs="Arial" w:eastAsia="Arial" w:hAnsi="Arial"/>
                <w:sz w:val="13"/>
                <w:szCs w:val="13"/>
                <w:color w:val="auto"/>
              </w:rPr>
              <w:t>Multi family residential</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176,820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ind w:lef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176,820</w:t>
            </w:r>
          </w:p>
        </w:tc>
        <w:tc>
          <w:tcPr>
            <w:tcW w:w="20" w:type="dxa"/>
            <w:vAlign w:val="bottom"/>
          </w:tcPr>
          <w:p>
            <w:pPr>
              <w:spacing w:after="0"/>
              <w:rPr>
                <w:sz w:val="14"/>
                <w:szCs w:val="14"/>
                <w:color w:val="auto"/>
              </w:rPr>
            </w:pPr>
          </w:p>
        </w:tc>
      </w:tr>
      <w:tr>
        <w:trPr>
          <w:trHeight w:val="151"/>
        </w:trPr>
        <w:tc>
          <w:tcPr>
            <w:tcW w:w="40" w:type="dxa"/>
            <w:vAlign w:val="bottom"/>
          </w:tcPr>
          <w:p>
            <w:pPr>
              <w:spacing w:after="0"/>
              <w:rPr>
                <w:sz w:val="13"/>
                <w:szCs w:val="13"/>
                <w:color w:val="auto"/>
              </w:rPr>
            </w:pPr>
          </w:p>
        </w:tc>
        <w:tc>
          <w:tcPr>
            <w:tcW w:w="2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Condo commercial</w:t>
            </w:r>
          </w:p>
        </w:tc>
        <w:tc>
          <w:tcPr>
            <w:tcW w:w="3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49,601</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393</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49,994</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71"/>
        </w:trPr>
        <w:tc>
          <w:tcPr>
            <w:tcW w:w="40" w:type="dxa"/>
            <w:vAlign w:val="bottom"/>
          </w:tcPr>
          <w:p>
            <w:pPr>
              <w:spacing w:after="0"/>
              <w:rPr>
                <w:sz w:val="14"/>
                <w:szCs w:val="14"/>
                <w:color w:val="auto"/>
              </w:rPr>
            </w:pPr>
          </w:p>
        </w:tc>
        <w:tc>
          <w:tcPr>
            <w:tcW w:w="2980" w:type="dxa"/>
            <w:vAlign w:val="bottom"/>
          </w:tcPr>
          <w:p>
            <w:pPr>
              <w:ind w:left="60"/>
              <w:spacing w:after="0"/>
              <w:rPr>
                <w:sz w:val="20"/>
                <w:szCs w:val="20"/>
                <w:color w:val="auto"/>
              </w:rPr>
            </w:pPr>
            <w:r>
              <w:rPr>
                <w:rFonts w:ascii="Arial" w:cs="Arial" w:eastAsia="Arial" w:hAnsi="Arial"/>
                <w:sz w:val="13"/>
                <w:szCs w:val="13"/>
                <w:color w:val="auto"/>
              </w:rPr>
              <w:t>Commercial property</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702,357</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ind w:lef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2,552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704,909</w:t>
            </w:r>
          </w:p>
        </w:tc>
        <w:tc>
          <w:tcPr>
            <w:tcW w:w="20" w:type="dxa"/>
            <w:vAlign w:val="bottom"/>
          </w:tcPr>
          <w:p>
            <w:pPr>
              <w:spacing w:after="0"/>
              <w:rPr>
                <w:sz w:val="14"/>
                <w:szCs w:val="14"/>
                <w:color w:val="auto"/>
              </w:rPr>
            </w:pPr>
          </w:p>
        </w:tc>
      </w:tr>
      <w:tr>
        <w:trPr>
          <w:trHeight w:val="155"/>
        </w:trPr>
        <w:tc>
          <w:tcPr>
            <w:tcW w:w="40" w:type="dxa"/>
            <w:vAlign w:val="bottom"/>
          </w:tcPr>
          <w:p>
            <w:pPr>
              <w:spacing w:after="0"/>
              <w:rPr>
                <w:sz w:val="13"/>
                <w:szCs w:val="13"/>
                <w:color w:val="auto"/>
              </w:rPr>
            </w:pPr>
          </w:p>
        </w:tc>
        <w:tc>
          <w:tcPr>
            <w:tcW w:w="2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Leasehold improvements</w:t>
            </w:r>
          </w:p>
        </w:tc>
        <w:tc>
          <w:tcPr>
            <w:tcW w:w="3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67"/>
        </w:trPr>
        <w:tc>
          <w:tcPr>
            <w:tcW w:w="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967,465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ind w:lef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2,945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970,410</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r>
              <w:rPr>
                <w:rFonts w:ascii="Arial" w:cs="Arial" w:eastAsia="Arial" w:hAnsi="Arial"/>
                <w:sz w:val="14"/>
                <w:szCs w:val="14"/>
                <w:color w:val="auto"/>
                <w:vertAlign w:val="superscript"/>
              </w:rPr>
              <w:t>(1)</w:t>
            </w:r>
          </w:p>
        </w:tc>
        <w:tc>
          <w:tcPr>
            <w:tcW w:w="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980" w:type="dxa"/>
            <w:vAlign w:val="bottom"/>
          </w:tcPr>
          <w:p>
            <w:pPr>
              <w:ind w:left="60"/>
              <w:spacing w:after="0"/>
              <w:rPr>
                <w:sz w:val="20"/>
                <w:szCs w:val="20"/>
                <w:color w:val="auto"/>
              </w:rPr>
            </w:pPr>
            <w:r>
              <w:rPr>
                <w:rFonts w:ascii="Arial" w:cs="Arial" w:eastAsia="Arial" w:hAnsi="Arial"/>
                <w:sz w:val="13"/>
                <w:szCs w:val="13"/>
                <w:color w:val="auto"/>
              </w:rPr>
              <w:t>Secured</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120,873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ind w:lef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807</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121,680</w:t>
            </w:r>
          </w:p>
        </w:tc>
        <w:tc>
          <w:tcPr>
            <w:tcW w:w="20" w:type="dxa"/>
            <w:vAlign w:val="bottom"/>
          </w:tcPr>
          <w:p>
            <w:pPr>
              <w:spacing w:after="0"/>
              <w:rPr>
                <w:sz w:val="14"/>
                <w:szCs w:val="14"/>
                <w:color w:val="auto"/>
              </w:rPr>
            </w:pPr>
          </w:p>
        </w:tc>
      </w:tr>
      <w:tr>
        <w:trPr>
          <w:trHeight w:val="160"/>
        </w:trPr>
        <w:tc>
          <w:tcPr>
            <w:tcW w:w="40" w:type="dxa"/>
            <w:vAlign w:val="bottom"/>
          </w:tcPr>
          <w:p>
            <w:pPr>
              <w:spacing w:after="0"/>
              <w:rPr>
                <w:sz w:val="13"/>
                <w:szCs w:val="13"/>
                <w:color w:val="auto"/>
              </w:rPr>
            </w:pPr>
          </w:p>
        </w:tc>
        <w:tc>
          <w:tcPr>
            <w:tcW w:w="2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Unsecured</w:t>
            </w:r>
          </w:p>
        </w:tc>
        <w:tc>
          <w:tcPr>
            <w:tcW w:w="3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5,304</w:t>
            </w:r>
          </w:p>
        </w:tc>
        <w:tc>
          <w:tcPr>
            <w:tcW w:w="4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5,304</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61"/>
        </w:trPr>
        <w:tc>
          <w:tcPr>
            <w:tcW w:w="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126,177</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ind w:lef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807</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126,984</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9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3020" w:type="dxa"/>
            <w:vAlign w:val="bottom"/>
            <w:gridSpan w:val="2"/>
          </w:tcPr>
          <w:p>
            <w:pPr>
              <w:spacing w:after="0"/>
              <w:rPr>
                <w:sz w:val="20"/>
                <w:szCs w:val="20"/>
                <w:color w:val="auto"/>
              </w:rPr>
            </w:pPr>
            <w:r>
              <w:rPr>
                <w:rFonts w:ascii="Arial" w:cs="Arial" w:eastAsia="Arial" w:hAnsi="Arial"/>
                <w:sz w:val="13"/>
                <w:szCs w:val="13"/>
                <w:color w:val="auto"/>
              </w:rPr>
              <w:t>Foreign banks</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93,769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ind w:lef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93,769</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3"/>
                <w:szCs w:val="13"/>
                <w:color w:val="auto"/>
              </w:rPr>
              <w:t>Consumer and other loans</w:t>
            </w:r>
          </w:p>
        </w:tc>
        <w:tc>
          <w:tcPr>
            <w:tcW w:w="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130,233</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130,429</w:t>
            </w:r>
          </w:p>
        </w:tc>
        <w:tc>
          <w:tcPr>
            <w:tcW w:w="20" w:type="dxa"/>
            <w:vAlign w:val="bottom"/>
            <w:shd w:val="clear" w:color="auto" w:fill="CCEEFF"/>
          </w:tcPr>
          <w:p>
            <w:pPr>
              <w:spacing w:after="0"/>
              <w:rPr>
                <w:sz w:val="14"/>
                <w:szCs w:val="14"/>
                <w:color w:val="auto"/>
              </w:rPr>
            </w:pPr>
          </w:p>
        </w:tc>
      </w:tr>
      <w:tr>
        <w:trPr>
          <w:trHeight w:val="160"/>
        </w:trPr>
        <w:tc>
          <w:tcPr>
            <w:tcW w:w="4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460" w:type="dxa"/>
            <w:vAlign w:val="bottom"/>
            <w:gridSpan w:val="3"/>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gridSpan w:val="3"/>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gridSpan w:val="3"/>
          </w:tcPr>
          <w:p>
            <w:pPr>
              <w:spacing w:after="0"/>
              <w:rPr>
                <w:sz w:val="13"/>
                <w:szCs w:val="13"/>
                <w:color w:val="auto"/>
              </w:rPr>
            </w:pPr>
          </w:p>
        </w:tc>
        <w:tc>
          <w:tcPr>
            <w:tcW w:w="200" w:type="dxa"/>
            <w:vAlign w:val="bottom"/>
            <w:gridSpan w:val="3"/>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2"/>
        </w:trPr>
        <w:tc>
          <w:tcPr>
            <w:tcW w:w="40" w:type="dxa"/>
            <w:vAlign w:val="bottom"/>
          </w:tcPr>
          <w:p>
            <w:pPr>
              <w:spacing w:after="0"/>
              <w:rPr>
                <w:sz w:val="13"/>
                <w:szCs w:val="13"/>
                <w:color w:val="auto"/>
              </w:rPr>
            </w:pPr>
          </w:p>
        </w:tc>
        <w:tc>
          <w:tcPr>
            <w:tcW w:w="2980" w:type="dxa"/>
            <w:vAlign w:val="bottom"/>
            <w:tcBorders>
              <w:bottom w:val="single" w:sz="8" w:color="CCEEFF"/>
            </w:tcBorders>
            <w:shd w:val="clear" w:color="auto" w:fill="CCEEFF"/>
          </w:tcPr>
          <w:p>
            <w:pPr>
              <w:ind w:left="100"/>
              <w:spacing w:after="0" w:line="131" w:lineRule="exact"/>
              <w:rPr>
                <w:sz w:val="20"/>
                <w:szCs w:val="20"/>
                <w:color w:val="auto"/>
              </w:rPr>
            </w:pPr>
            <w:r>
              <w:rPr>
                <w:rFonts w:ascii="Arial" w:cs="Arial" w:eastAsia="Arial" w:hAnsi="Arial"/>
                <w:sz w:val="13"/>
                <w:szCs w:val="13"/>
                <w:color w:val="auto"/>
              </w:rPr>
              <w:t>Total</w:t>
            </w:r>
          </w:p>
        </w:tc>
        <w:tc>
          <w:tcPr>
            <w:tcW w:w="460" w:type="dxa"/>
            <w:vAlign w:val="bottom"/>
            <w:tcBorders>
              <w:bottom w:val="single" w:sz="8" w:color="CCEEFF"/>
            </w:tcBorders>
            <w:gridSpan w:val="3"/>
            <w:shd w:val="clear" w:color="auto" w:fill="CCEEFF"/>
          </w:tcPr>
          <w:p>
            <w:pPr>
              <w:jc w:val="right"/>
              <w:ind w:right="120"/>
              <w:spacing w:after="0" w:line="131" w:lineRule="exact"/>
              <w:rPr>
                <w:sz w:val="20"/>
                <w:szCs w:val="20"/>
                <w:color w:val="auto"/>
              </w:rPr>
            </w:pPr>
            <w:r>
              <w:rPr>
                <w:rFonts w:ascii="Arial" w:cs="Arial" w:eastAsia="Arial" w:hAnsi="Arial"/>
                <w:sz w:val="13"/>
                <w:szCs w:val="13"/>
                <w:color w:val="auto"/>
              </w:rPr>
              <w:t>$</w:t>
            </w:r>
          </w:p>
        </w:tc>
        <w:tc>
          <w:tcPr>
            <w:tcW w:w="72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1,503,280</w:t>
            </w:r>
          </w:p>
        </w:tc>
        <w:tc>
          <w:tcPr>
            <w:tcW w:w="60" w:type="dxa"/>
            <w:vAlign w:val="bottom"/>
            <w:tcBorders>
              <w:bottom w:val="single" w:sz="8" w:color="CCEEFF"/>
            </w:tcBorders>
            <w:gridSpan w:val="2"/>
            <w:shd w:val="clear" w:color="auto" w:fill="CCEEFF"/>
          </w:tcPr>
          <w:p>
            <w:pPr>
              <w:spacing w:after="0"/>
              <w:rPr>
                <w:sz w:val="13"/>
                <w:szCs w:val="13"/>
                <w:color w:val="auto"/>
              </w:rPr>
            </w:pPr>
          </w:p>
        </w:tc>
        <w:tc>
          <w:tcPr>
            <w:tcW w:w="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5"/>
                <w:szCs w:val="5"/>
                <w:color w:val="auto"/>
                <w:w w:val="70"/>
              </w:rPr>
              <w:t>$</w:t>
            </w:r>
          </w:p>
        </w:tc>
        <w:tc>
          <w:tcPr>
            <w:tcW w:w="5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ind w:left="40"/>
              <w:spacing w:after="0" w:line="131" w:lineRule="exact"/>
              <w:rPr>
                <w:sz w:val="20"/>
                <w:szCs w:val="20"/>
                <w:color w:val="auto"/>
              </w:rPr>
            </w:pPr>
            <w:r>
              <w:rPr>
                <w:rFonts w:ascii="Arial" w:cs="Arial" w:eastAsia="Arial" w:hAnsi="Arial"/>
                <w:sz w:val="13"/>
                <w:szCs w:val="13"/>
                <w:color w:val="auto"/>
              </w:rPr>
              <w:t>-</w:t>
            </w:r>
          </w:p>
        </w:tc>
        <w:tc>
          <w:tcPr>
            <w:tcW w:w="300" w:type="dxa"/>
            <w:vAlign w:val="bottom"/>
            <w:tcBorders>
              <w:bottom w:val="single" w:sz="8" w:color="CCEEFF"/>
            </w:tcBorders>
            <w:gridSpan w:val="2"/>
            <w:shd w:val="clear" w:color="auto" w:fill="CCEEFF"/>
          </w:tcPr>
          <w:p>
            <w:pPr>
              <w:jc w:val="right"/>
              <w:ind w:right="176"/>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CCEEFF"/>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3,948</w:t>
            </w:r>
          </w:p>
        </w:tc>
        <w:tc>
          <w:tcPr>
            <w:tcW w:w="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shd w:val="clear" w:color="auto" w:fill="CCEEFF"/>
          </w:tcPr>
          <w:p>
            <w:pPr>
              <w:jc w:val="right"/>
              <w:ind w:right="536"/>
              <w:spacing w:after="0"/>
              <w:rPr>
                <w:sz w:val="20"/>
                <w:szCs w:val="20"/>
                <w:color w:val="auto"/>
              </w:rPr>
            </w:pPr>
            <w:r>
              <w:rPr>
                <w:rFonts w:ascii="Arial" w:cs="Arial" w:eastAsia="Arial" w:hAnsi="Arial"/>
                <w:sz w:val="5"/>
                <w:szCs w:val="5"/>
                <w:color w:val="auto"/>
                <w:w w:val="70"/>
              </w:rPr>
              <w:t>$</w:t>
            </w:r>
          </w:p>
        </w:tc>
        <w:tc>
          <w:tcPr>
            <w:tcW w:w="140" w:type="dxa"/>
            <w:vAlign w:val="bottom"/>
            <w:tcBorders>
              <w:bottom w:val="single" w:sz="8" w:color="CCEEFF"/>
            </w:tcBorders>
            <w:shd w:val="clear" w:color="auto" w:fill="CCEEFF"/>
          </w:tcPr>
          <w:p>
            <w:pPr>
              <w:ind w:left="20"/>
              <w:spacing w:after="0" w:line="131"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CCEEFF"/>
            </w:tcBorders>
            <w:shd w:val="clear" w:color="auto" w:fill="CCEEFF"/>
          </w:tcPr>
          <w:p>
            <w:pPr>
              <w:jc w:val="right"/>
              <w:ind w:right="16"/>
              <w:spacing w:after="0" w:line="131" w:lineRule="exact"/>
              <w:rPr>
                <w:sz w:val="20"/>
                <w:szCs w:val="20"/>
                <w:color w:val="auto"/>
              </w:rPr>
            </w:pPr>
            <w:r>
              <w:rPr>
                <w:rFonts w:ascii="Arial" w:cs="Arial" w:eastAsia="Arial" w:hAnsi="Arial"/>
                <w:sz w:val="13"/>
                <w:szCs w:val="13"/>
                <w:color w:val="auto"/>
              </w:rPr>
              <w:t>1,507,228</w:t>
            </w:r>
          </w:p>
        </w:tc>
        <w:tc>
          <w:tcPr>
            <w:tcW w:w="20" w:type="dxa"/>
            <w:vAlign w:val="bottom"/>
            <w:tcBorders>
              <w:bottom w:val="single" w:sz="8" w:color="CCEEFF"/>
            </w:tcBorders>
            <w:shd w:val="clear" w:color="auto" w:fill="CCEEFF"/>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620"/>
        <w:spacing w:after="0"/>
        <w:rPr>
          <w:sz w:val="20"/>
          <w:szCs w:val="20"/>
          <w:color w:val="auto"/>
        </w:rPr>
      </w:pPr>
      <w:r>
        <w:rPr>
          <w:rFonts w:ascii="Arial" w:cs="Arial" w:eastAsia="Arial" w:hAnsi="Arial"/>
          <w:sz w:val="11"/>
          <w:szCs w:val="11"/>
          <w:color w:val="auto"/>
        </w:rPr>
        <w:t>(1) All outstanding PPP loans were internally graded pass.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29</w:t>
      </w:r>
      <w:r>
        <w:rPr>
          <w:sz w:val="20"/>
          <w:szCs w:val="20"/>
          <w:color w:val="auto"/>
        </w:rPr>
        <w:tab/>
      </w:r>
      <w:r>
        <w:rPr>
          <w:rFonts w:ascii="Arial" w:cs="Arial" w:eastAsia="Arial" w:hAnsi="Arial"/>
          <w:sz w:val="14"/>
          <w:szCs w:val="14"/>
          <w:color w:val="auto"/>
        </w:rPr>
        <w:t>USCB Financial Holdings, Inc.</w:t>
        <w:tab/>
        <w:t>2022 10-K/A</w:t>
      </w:r>
    </w:p>
    <w:p>
      <w:pPr>
        <w:sectPr>
          <w:pgSz w:w="11900" w:h="16838" w:orient="portrait"/>
          <w:cols w:equalWidth="0" w:num="1">
            <w:col w:w="9019"/>
          </w:cols>
          <w:pgMar w:left="1440" w:top="490" w:right="1440" w:bottom="1440" w:gutter="0" w:footer="0" w:header="0"/>
        </w:sectPr>
      </w:pPr>
    </w:p>
    <w:bookmarkStart w:id="29" w:name="page30"/>
    <w:bookmarkEnd w:id="2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87" w:lineRule="exact"/>
        <w:rPr>
          <w:sz w:val="20"/>
          <w:szCs w:val="20"/>
          <w:color w:val="auto"/>
        </w:rPr>
      </w:pPr>
    </w:p>
    <w:tbl>
      <w:tblPr>
        <w:tblLayout w:type="fixed"/>
        <w:tblInd w:w="620" w:type="dxa"/>
        <w:tblCellMar>
          <w:top w:w="0" w:type="dxa"/>
          <w:left w:w="0" w:type="dxa"/>
          <w:bottom w:w="0" w:type="dxa"/>
          <w:right w:w="0" w:type="dxa"/>
        </w:tblCellMar>
      </w:tblPr>
      <w:tr>
        <w:trPr>
          <w:trHeight w:val="153"/>
        </w:trPr>
        <w:tc>
          <w:tcPr>
            <w:tcW w:w="4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7"/>
          </w:tcPr>
          <w:p>
            <w:pPr>
              <w:ind w:left="380"/>
              <w:spacing w:after="0"/>
              <w:rPr>
                <w:sz w:val="20"/>
                <w:szCs w:val="20"/>
                <w:color w:val="auto"/>
              </w:rPr>
            </w:pPr>
            <w:r>
              <w:rPr>
                <w:rFonts w:ascii="Arial" w:cs="Arial" w:eastAsia="Arial" w:hAnsi="Arial"/>
                <w:sz w:val="13"/>
                <w:szCs w:val="13"/>
                <w:b w:val="1"/>
                <w:bCs w:val="1"/>
                <w:color w:val="auto"/>
              </w:rPr>
              <w:t>As of December 31, 2021</w:t>
            </w: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200"/>
        </w:trPr>
        <w:tc>
          <w:tcPr>
            <w:tcW w:w="4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ind w:left="40"/>
              <w:spacing w:after="0"/>
              <w:rPr>
                <w:sz w:val="20"/>
                <w:szCs w:val="20"/>
                <w:color w:val="auto"/>
              </w:rPr>
            </w:pPr>
            <w:r>
              <w:rPr>
                <w:rFonts w:ascii="Arial" w:cs="Arial" w:eastAsia="Arial" w:hAnsi="Arial"/>
                <w:sz w:val="13"/>
                <w:szCs w:val="13"/>
                <w:b w:val="1"/>
                <w:bCs w:val="1"/>
                <w:color w:val="auto"/>
              </w:rPr>
              <w:t>Special</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53"/>
        </w:trPr>
        <w:tc>
          <w:tcPr>
            <w:tcW w:w="40" w:type="dxa"/>
            <w:vAlign w:val="bottom"/>
          </w:tcPr>
          <w:p>
            <w:pPr>
              <w:spacing w:after="0"/>
              <w:rPr>
                <w:sz w:val="13"/>
                <w:szCs w:val="13"/>
                <w:color w:val="auto"/>
              </w:rPr>
            </w:pPr>
          </w:p>
        </w:tc>
        <w:tc>
          <w:tcPr>
            <w:tcW w:w="298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Pass</w:t>
            </w: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Mention</w:t>
            </w:r>
          </w:p>
        </w:tc>
        <w:tc>
          <w:tcPr>
            <w:tcW w:w="2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3"/>
                <w:szCs w:val="13"/>
                <w:b w:val="1"/>
                <w:bCs w:val="1"/>
                <w:color w:val="auto"/>
              </w:rPr>
              <w:t>Substandard</w:t>
            </w: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Doubtful</w:t>
            </w: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w w:val="95"/>
              </w:rPr>
              <w:t>Total Loans</w:t>
            </w:r>
          </w:p>
        </w:tc>
        <w:tc>
          <w:tcPr>
            <w:tcW w:w="20" w:type="dxa"/>
            <w:vAlign w:val="bottom"/>
            <w:tcBorders>
              <w:bottom w:val="single" w:sz="8" w:color="CCEEFF"/>
            </w:tcBorders>
          </w:tcPr>
          <w:p>
            <w:pPr>
              <w:spacing w:after="0"/>
              <w:rPr>
                <w:sz w:val="13"/>
                <w:szCs w:val="13"/>
                <w:color w:val="auto"/>
              </w:rPr>
            </w:pPr>
          </w:p>
        </w:tc>
      </w:tr>
      <w:tr>
        <w:trPr>
          <w:trHeight w:val="151"/>
        </w:trPr>
        <w:tc>
          <w:tcPr>
            <w:tcW w:w="40" w:type="dxa"/>
            <w:vAlign w:val="bottom"/>
          </w:tcPr>
          <w:p>
            <w:pPr>
              <w:spacing w:after="0"/>
              <w:rPr>
                <w:sz w:val="13"/>
                <w:szCs w:val="13"/>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3"/>
                <w:szCs w:val="13"/>
                <w:color w:val="auto"/>
              </w:rPr>
              <w:t>Residential real estate:</w:t>
            </w: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40" w:type="dxa"/>
            <w:vAlign w:val="bottom"/>
          </w:tcPr>
          <w:p>
            <w:pPr>
              <w:spacing w:after="0"/>
              <w:rPr>
                <w:sz w:val="14"/>
                <w:szCs w:val="14"/>
                <w:color w:val="auto"/>
              </w:rPr>
            </w:pPr>
          </w:p>
        </w:tc>
        <w:tc>
          <w:tcPr>
            <w:tcW w:w="2980" w:type="dxa"/>
            <w:vAlign w:val="bottom"/>
          </w:tcPr>
          <w:p>
            <w:pPr>
              <w:ind w:left="60"/>
              <w:spacing w:after="0"/>
              <w:rPr>
                <w:sz w:val="20"/>
                <w:szCs w:val="20"/>
                <w:color w:val="auto"/>
              </w:rPr>
            </w:pPr>
            <w:r>
              <w:rPr>
                <w:rFonts w:ascii="Arial" w:cs="Arial" w:eastAsia="Arial" w:hAnsi="Arial"/>
                <w:sz w:val="13"/>
                <w:szCs w:val="13"/>
                <w:color w:val="auto"/>
              </w:rPr>
              <w:t>Home equity line of credit ("HELOC") and other</w:t>
            </w:r>
          </w:p>
        </w:tc>
        <w:tc>
          <w:tcPr>
            <w:tcW w:w="4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701</w:t>
            </w:r>
          </w:p>
        </w:tc>
        <w:tc>
          <w:tcPr>
            <w:tcW w:w="140" w:type="dxa"/>
            <w:vAlign w:val="bottom"/>
            <w:gridSpan w:val="4"/>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gridSpan w:val="3"/>
          </w:tcPr>
          <w:p>
            <w:pPr>
              <w:ind w:left="580"/>
              <w:spacing w:after="0"/>
              <w:rPr>
                <w:sz w:val="20"/>
                <w:szCs w:val="20"/>
                <w:color w:val="auto"/>
              </w:rPr>
            </w:pPr>
            <w:r>
              <w:rPr>
                <w:rFonts w:ascii="Arial" w:cs="Arial" w:eastAsia="Arial" w:hAnsi="Arial"/>
                <w:sz w:val="13"/>
                <w:szCs w:val="13"/>
                <w:color w:val="auto"/>
              </w:rPr>
              <w:t>- $</w:t>
            </w:r>
          </w:p>
        </w:tc>
        <w:tc>
          <w:tcPr>
            <w:tcW w:w="1300" w:type="dxa"/>
            <w:vAlign w:val="bottom"/>
            <w:gridSpan w:val="4"/>
          </w:tcPr>
          <w:p>
            <w:pPr>
              <w:jc w:val="right"/>
              <w:ind w:right="536"/>
              <w:spacing w:after="0"/>
              <w:rPr>
                <w:sz w:val="20"/>
                <w:szCs w:val="20"/>
                <w:color w:val="auto"/>
              </w:rPr>
            </w:pPr>
            <w:r>
              <w:rPr>
                <w:rFonts w:ascii="Arial" w:cs="Arial" w:eastAsia="Arial" w:hAnsi="Arial"/>
                <w:sz w:val="13"/>
                <w:szCs w:val="13"/>
                <w:color w:val="auto"/>
              </w:rPr>
              <w:t>- $</w:t>
            </w:r>
          </w:p>
        </w:tc>
        <w:tc>
          <w:tcPr>
            <w:tcW w:w="200" w:type="dxa"/>
            <w:vAlign w:val="bottom"/>
            <w:gridSpan w:val="3"/>
          </w:tcPr>
          <w:p>
            <w:pPr>
              <w:ind w:left="20"/>
              <w:spacing w:after="0"/>
              <w:rPr>
                <w:sz w:val="20"/>
                <w:szCs w:val="20"/>
                <w:color w:val="auto"/>
              </w:rPr>
            </w:pPr>
            <w:r>
              <w:rPr>
                <w:rFonts w:ascii="Arial" w:cs="Arial" w:eastAsia="Arial" w:hAnsi="Arial"/>
                <w:sz w:val="13"/>
                <w:szCs w:val="13"/>
                <w:color w:val="auto"/>
              </w:rPr>
              <w:t>- $</w:t>
            </w:r>
          </w:p>
        </w:tc>
        <w:tc>
          <w:tcPr>
            <w:tcW w:w="880" w:type="dxa"/>
            <w:vAlign w:val="bottom"/>
          </w:tcPr>
          <w:p>
            <w:pPr>
              <w:jc w:val="right"/>
              <w:spacing w:after="0"/>
              <w:rPr>
                <w:sz w:val="20"/>
                <w:szCs w:val="20"/>
                <w:color w:val="auto"/>
              </w:rPr>
            </w:pPr>
            <w:r>
              <w:rPr>
                <w:rFonts w:ascii="Arial" w:cs="Arial" w:eastAsia="Arial" w:hAnsi="Arial"/>
                <w:sz w:val="13"/>
                <w:szCs w:val="13"/>
                <w:color w:val="auto"/>
              </w:rPr>
              <w:t>701</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980" w:type="dxa"/>
            <w:vAlign w:val="bottom"/>
            <w:shd w:val="clear" w:color="auto" w:fill="CCEEFF"/>
          </w:tcPr>
          <w:p>
            <w:pPr>
              <w:ind w:left="60"/>
              <w:spacing w:after="0"/>
              <w:rPr>
                <w:sz w:val="20"/>
                <w:szCs w:val="20"/>
                <w:color w:val="auto"/>
              </w:rPr>
            </w:pPr>
            <w:r>
              <w:rPr>
                <w:rFonts w:ascii="Arial" w:cs="Arial" w:eastAsia="Arial" w:hAnsi="Arial"/>
                <w:sz w:val="13"/>
                <w:szCs w:val="13"/>
                <w:color w:val="auto"/>
              </w:rPr>
              <w:t>1-4 family residential</w:t>
            </w: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130,840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4,581</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135,421</w:t>
            </w: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980" w:type="dxa"/>
            <w:vAlign w:val="bottom"/>
            <w:tcBorders>
              <w:bottom w:val="single" w:sz="8" w:color="CCEEFF"/>
            </w:tcBorders>
          </w:tcPr>
          <w:p>
            <w:pPr>
              <w:ind w:left="60"/>
              <w:spacing w:after="0"/>
              <w:rPr>
                <w:sz w:val="20"/>
                <w:szCs w:val="20"/>
                <w:color w:val="auto"/>
              </w:rPr>
            </w:pPr>
            <w:r>
              <w:rPr>
                <w:rFonts w:ascii="Arial" w:cs="Arial" w:eastAsia="Arial" w:hAnsi="Arial"/>
                <w:sz w:val="13"/>
                <w:szCs w:val="13"/>
                <w:color w:val="auto"/>
              </w:rPr>
              <w:t>Condo residential</w:t>
            </w: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65,237</w:t>
            </w:r>
          </w:p>
        </w:tc>
        <w:tc>
          <w:tcPr>
            <w:tcW w:w="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58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65,237</w:t>
            </w:r>
          </w:p>
        </w:tc>
        <w:tc>
          <w:tcPr>
            <w:tcW w:w="20" w:type="dxa"/>
            <w:vAlign w:val="bottom"/>
          </w:tcPr>
          <w:p>
            <w:pPr>
              <w:spacing w:after="0"/>
              <w:rPr>
                <w:sz w:val="14"/>
                <w:szCs w:val="14"/>
                <w:color w:val="auto"/>
              </w:rPr>
            </w:pPr>
          </w:p>
        </w:tc>
      </w:tr>
      <w:tr>
        <w:trPr>
          <w:trHeight w:val="151"/>
        </w:trPr>
        <w:tc>
          <w:tcPr>
            <w:tcW w:w="40" w:type="dxa"/>
            <w:vAlign w:val="bottom"/>
          </w:tcPr>
          <w:p>
            <w:pPr>
              <w:spacing w:after="0"/>
              <w:rPr>
                <w:sz w:val="13"/>
                <w:szCs w:val="13"/>
                <w:color w:val="auto"/>
              </w:rPr>
            </w:pPr>
          </w:p>
        </w:tc>
        <w:tc>
          <w:tcPr>
            <w:tcW w:w="29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196,778</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4,581</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201,359</w:t>
            </w:r>
          </w:p>
        </w:tc>
        <w:tc>
          <w:tcPr>
            <w:tcW w:w="20" w:type="dxa"/>
            <w:vAlign w:val="bottom"/>
            <w:shd w:val="clear" w:color="auto" w:fill="CCEEFF"/>
          </w:tcPr>
          <w:p>
            <w:pPr>
              <w:spacing w:after="0"/>
              <w:rPr>
                <w:sz w:val="13"/>
                <w:szCs w:val="13"/>
                <w:color w:val="auto"/>
              </w:rPr>
            </w:pPr>
          </w:p>
        </w:tc>
      </w:tr>
      <w:tr>
        <w:trPr>
          <w:trHeight w:val="171"/>
        </w:trPr>
        <w:tc>
          <w:tcPr>
            <w:tcW w:w="3020" w:type="dxa"/>
            <w:vAlign w:val="bottom"/>
            <w:gridSpan w:val="2"/>
          </w:tcPr>
          <w:p>
            <w:pPr>
              <w:spacing w:after="0"/>
              <w:rPr>
                <w:sz w:val="20"/>
                <w:szCs w:val="20"/>
                <w:color w:val="auto"/>
              </w:rPr>
            </w:pPr>
            <w:r>
              <w:rPr>
                <w:rFonts w:ascii="Arial" w:cs="Arial" w:eastAsia="Arial" w:hAnsi="Arial"/>
                <w:sz w:val="13"/>
                <w:szCs w:val="13"/>
                <w:color w:val="auto"/>
              </w:rPr>
              <w:t>Commercial real estate:</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9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Land and construction</w:t>
            </w: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24,581</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24,581</w:t>
            </w: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980" w:type="dxa"/>
            <w:vAlign w:val="bottom"/>
          </w:tcPr>
          <w:p>
            <w:pPr>
              <w:ind w:left="60"/>
              <w:spacing w:after="0"/>
              <w:rPr>
                <w:sz w:val="20"/>
                <w:szCs w:val="20"/>
                <w:color w:val="auto"/>
              </w:rPr>
            </w:pPr>
            <w:r>
              <w:rPr>
                <w:rFonts w:ascii="Arial" w:cs="Arial" w:eastAsia="Arial" w:hAnsi="Arial"/>
                <w:sz w:val="13"/>
                <w:szCs w:val="13"/>
                <w:color w:val="auto"/>
              </w:rPr>
              <w:t>Multi family residential</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127,489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ind w:left="5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127,489</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9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Condo commercial</w:t>
            </w: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41,983</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417</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42,400</w:t>
            </w: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980" w:type="dxa"/>
            <w:vAlign w:val="bottom"/>
          </w:tcPr>
          <w:p>
            <w:pPr>
              <w:ind w:left="60"/>
              <w:spacing w:after="0"/>
              <w:rPr>
                <w:sz w:val="20"/>
                <w:szCs w:val="20"/>
                <w:color w:val="auto"/>
              </w:rPr>
            </w:pPr>
            <w:r>
              <w:rPr>
                <w:rFonts w:ascii="Arial" w:cs="Arial" w:eastAsia="Arial" w:hAnsi="Arial"/>
                <w:sz w:val="13"/>
                <w:szCs w:val="13"/>
                <w:color w:val="auto"/>
              </w:rPr>
              <w:t>Commercial property</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509,189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ind w:left="300"/>
              <w:spacing w:after="0"/>
              <w:rPr>
                <w:sz w:val="20"/>
                <w:szCs w:val="20"/>
                <w:color w:val="auto"/>
              </w:rPr>
            </w:pPr>
            <w:r>
              <w:rPr>
                <w:rFonts w:ascii="Arial" w:cs="Arial" w:eastAsia="Arial" w:hAnsi="Arial"/>
                <w:sz w:val="13"/>
                <w:szCs w:val="13"/>
                <w:color w:val="auto"/>
              </w:rPr>
              <w:t>1,222</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510,411</w:t>
            </w:r>
          </w:p>
        </w:tc>
        <w:tc>
          <w:tcPr>
            <w:tcW w:w="20" w:type="dxa"/>
            <w:vAlign w:val="bottom"/>
          </w:tcPr>
          <w:p>
            <w:pPr>
              <w:spacing w:after="0"/>
              <w:rPr>
                <w:sz w:val="14"/>
                <w:szCs w:val="14"/>
                <w:color w:val="auto"/>
              </w:rPr>
            </w:pPr>
          </w:p>
        </w:tc>
      </w:tr>
      <w:tr>
        <w:trPr>
          <w:trHeight w:val="165"/>
        </w:trPr>
        <w:tc>
          <w:tcPr>
            <w:tcW w:w="40" w:type="dxa"/>
            <w:vAlign w:val="bottom"/>
          </w:tcPr>
          <w:p>
            <w:pPr>
              <w:spacing w:after="0"/>
              <w:rPr>
                <w:sz w:val="14"/>
                <w:szCs w:val="14"/>
                <w:color w:val="auto"/>
              </w:rPr>
            </w:pPr>
          </w:p>
        </w:tc>
        <w:tc>
          <w:tcPr>
            <w:tcW w:w="29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Leasehold improvements</w:t>
            </w:r>
          </w:p>
        </w:tc>
        <w:tc>
          <w:tcPr>
            <w:tcW w:w="3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w:t>
            </w:r>
          </w:p>
        </w:tc>
        <w:tc>
          <w:tcPr>
            <w:tcW w:w="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w:t>
            </w:r>
          </w:p>
        </w:tc>
        <w:tc>
          <w:tcPr>
            <w:tcW w:w="20" w:type="dxa"/>
            <w:vAlign w:val="bottom"/>
            <w:shd w:val="clear" w:color="auto" w:fill="CCEEFF"/>
          </w:tcPr>
          <w:p>
            <w:pPr>
              <w:spacing w:after="0"/>
              <w:rPr>
                <w:sz w:val="14"/>
                <w:szCs w:val="14"/>
                <w:color w:val="auto"/>
              </w:rPr>
            </w:pPr>
          </w:p>
        </w:tc>
      </w:tr>
      <w:tr>
        <w:trPr>
          <w:trHeight w:val="156"/>
        </w:trPr>
        <w:tc>
          <w:tcPr>
            <w:tcW w:w="4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703,349</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ind w:left="300"/>
              <w:spacing w:after="0"/>
              <w:rPr>
                <w:sz w:val="20"/>
                <w:szCs w:val="20"/>
                <w:color w:val="auto"/>
              </w:rPr>
            </w:pPr>
            <w:r>
              <w:rPr>
                <w:rFonts w:ascii="Arial" w:cs="Arial" w:eastAsia="Arial" w:hAnsi="Arial"/>
                <w:sz w:val="13"/>
                <w:szCs w:val="13"/>
                <w:color w:val="auto"/>
              </w:rPr>
              <w:t>1,222</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417</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704,988</w:t>
            </w:r>
          </w:p>
        </w:tc>
        <w:tc>
          <w:tcPr>
            <w:tcW w:w="20" w:type="dxa"/>
            <w:vAlign w:val="bottom"/>
          </w:tcPr>
          <w:p>
            <w:pPr>
              <w:spacing w:after="0"/>
              <w:rPr>
                <w:sz w:val="13"/>
                <w:szCs w:val="13"/>
                <w:color w:val="auto"/>
              </w:rPr>
            </w:pPr>
          </w:p>
        </w:tc>
      </w:tr>
      <w:tr>
        <w:trPr>
          <w:trHeight w:val="171"/>
        </w:trPr>
        <w:tc>
          <w:tcPr>
            <w:tcW w:w="40" w:type="dxa"/>
            <w:vAlign w:val="bottom"/>
          </w:tcPr>
          <w:p>
            <w:pPr>
              <w:spacing w:after="0"/>
              <w:rPr>
                <w:sz w:val="14"/>
                <w:szCs w:val="14"/>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r>
              <w:rPr>
                <w:rFonts w:ascii="Arial" w:cs="Arial" w:eastAsia="Arial" w:hAnsi="Arial"/>
                <w:sz w:val="7"/>
                <w:szCs w:val="7"/>
                <w:color w:val="auto"/>
              </w:rPr>
              <w:t>(1)</w:t>
            </w: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980" w:type="dxa"/>
            <w:vAlign w:val="bottom"/>
          </w:tcPr>
          <w:p>
            <w:pPr>
              <w:ind w:left="60"/>
              <w:spacing w:after="0"/>
              <w:rPr>
                <w:sz w:val="20"/>
                <w:szCs w:val="20"/>
                <w:color w:val="auto"/>
              </w:rPr>
            </w:pPr>
            <w:r>
              <w:rPr>
                <w:rFonts w:ascii="Arial" w:cs="Arial" w:eastAsia="Arial" w:hAnsi="Arial"/>
                <w:sz w:val="13"/>
                <w:szCs w:val="13"/>
                <w:color w:val="auto"/>
              </w:rPr>
              <w:t>Secured</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97,605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ind w:left="5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536</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98,141</w:t>
            </w:r>
          </w:p>
        </w:tc>
        <w:tc>
          <w:tcPr>
            <w:tcW w:w="20" w:type="dxa"/>
            <w:vAlign w:val="bottom"/>
          </w:tcPr>
          <w:p>
            <w:pPr>
              <w:spacing w:after="0"/>
              <w:rPr>
                <w:sz w:val="14"/>
                <w:szCs w:val="14"/>
                <w:color w:val="auto"/>
              </w:rPr>
            </w:pPr>
          </w:p>
        </w:tc>
      </w:tr>
      <w:tr>
        <w:trPr>
          <w:trHeight w:val="165"/>
        </w:trPr>
        <w:tc>
          <w:tcPr>
            <w:tcW w:w="40" w:type="dxa"/>
            <w:vAlign w:val="bottom"/>
          </w:tcPr>
          <w:p>
            <w:pPr>
              <w:spacing w:after="0"/>
              <w:rPr>
                <w:sz w:val="14"/>
                <w:szCs w:val="14"/>
                <w:color w:val="auto"/>
              </w:rPr>
            </w:pPr>
          </w:p>
        </w:tc>
        <w:tc>
          <w:tcPr>
            <w:tcW w:w="29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Unsecured</w:t>
            </w:r>
          </w:p>
        </w:tc>
        <w:tc>
          <w:tcPr>
            <w:tcW w:w="3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48,434</w:t>
            </w:r>
          </w:p>
        </w:tc>
        <w:tc>
          <w:tcPr>
            <w:tcW w:w="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17</w:t>
            </w:r>
          </w:p>
        </w:tc>
        <w:tc>
          <w:tcPr>
            <w:tcW w:w="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48,451</w:t>
            </w:r>
          </w:p>
        </w:tc>
        <w:tc>
          <w:tcPr>
            <w:tcW w:w="20" w:type="dxa"/>
            <w:vAlign w:val="bottom"/>
            <w:shd w:val="clear" w:color="auto" w:fill="CCEEFF"/>
          </w:tcPr>
          <w:p>
            <w:pPr>
              <w:spacing w:after="0"/>
              <w:rPr>
                <w:sz w:val="14"/>
                <w:szCs w:val="14"/>
                <w:color w:val="auto"/>
              </w:rPr>
            </w:pPr>
          </w:p>
        </w:tc>
      </w:tr>
      <w:tr>
        <w:trPr>
          <w:trHeight w:val="156"/>
        </w:trPr>
        <w:tc>
          <w:tcPr>
            <w:tcW w:w="4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146,039</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ind w:left="5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553</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146,592</w:t>
            </w:r>
          </w:p>
        </w:tc>
        <w:tc>
          <w:tcPr>
            <w:tcW w:w="20" w:type="dxa"/>
            <w:vAlign w:val="bottom"/>
          </w:tcPr>
          <w:p>
            <w:pPr>
              <w:spacing w:after="0"/>
              <w:rPr>
                <w:sz w:val="13"/>
                <w:szCs w:val="13"/>
                <w:color w:val="auto"/>
              </w:rPr>
            </w:pPr>
          </w:p>
        </w:tc>
      </w:tr>
      <w:tr>
        <w:trPr>
          <w:trHeight w:val="171"/>
        </w:trPr>
        <w:tc>
          <w:tcPr>
            <w:tcW w:w="40" w:type="dxa"/>
            <w:vAlign w:val="bottom"/>
          </w:tcPr>
          <w:p>
            <w:pPr>
              <w:spacing w:after="0"/>
              <w:rPr>
                <w:sz w:val="14"/>
                <w:szCs w:val="14"/>
                <w:color w:val="auto"/>
              </w:rPr>
            </w:pPr>
          </w:p>
        </w:tc>
        <w:tc>
          <w:tcPr>
            <w:tcW w:w="29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3020" w:type="dxa"/>
            <w:vAlign w:val="bottom"/>
            <w:gridSpan w:val="2"/>
          </w:tcPr>
          <w:p>
            <w:pPr>
              <w:spacing w:after="0"/>
              <w:rPr>
                <w:sz w:val="20"/>
                <w:szCs w:val="20"/>
                <w:color w:val="auto"/>
              </w:rPr>
            </w:pPr>
            <w:r>
              <w:rPr>
                <w:rFonts w:ascii="Arial" w:cs="Arial" w:eastAsia="Arial" w:hAnsi="Arial"/>
                <w:sz w:val="13"/>
                <w:szCs w:val="13"/>
                <w:color w:val="auto"/>
              </w:rPr>
              <w:t>Foreign banks</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59,491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ind w:left="5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59,491</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3"/>
                <w:szCs w:val="13"/>
                <w:color w:val="auto"/>
              </w:rPr>
              <w:t>Consumer and other loans</w:t>
            </w: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79,005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79,229</w:t>
            </w: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gridSpan w:val="2"/>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Borders>
              <w:bottom w:val="single" w:sz="8" w:color="auto"/>
            </w:tcBorders>
            <w:gridSpan w:val="2"/>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40" w:type="dxa"/>
            <w:vAlign w:val="bottom"/>
          </w:tcPr>
          <w:p>
            <w:pPr>
              <w:spacing w:after="0"/>
              <w:rPr>
                <w:sz w:val="14"/>
                <w:szCs w:val="14"/>
                <w:color w:val="auto"/>
              </w:rPr>
            </w:pPr>
          </w:p>
        </w:tc>
        <w:tc>
          <w:tcPr>
            <w:tcW w:w="29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Total</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1,184,662</w:t>
            </w:r>
          </w:p>
        </w:tc>
        <w:tc>
          <w:tcPr>
            <w:tcW w:w="60" w:type="dxa"/>
            <w:vAlign w:val="bottom"/>
            <w:gridSpan w:val="2"/>
            <w:shd w:val="clear" w:color="auto" w:fill="CCEEFF"/>
          </w:tcPr>
          <w:p>
            <w:pPr>
              <w:spacing w:after="0"/>
              <w:rPr>
                <w:sz w:val="14"/>
                <w:szCs w:val="14"/>
                <w:color w:val="auto"/>
              </w:rPr>
            </w:pPr>
          </w:p>
        </w:tc>
        <w:tc>
          <w:tcPr>
            <w:tcW w:w="80" w:type="dxa"/>
            <w:vAlign w:val="bottom"/>
            <w:gridSpan w:val="2"/>
            <w:shd w:val="clear" w:color="auto" w:fill="CCEEFF"/>
          </w:tcPr>
          <w:p>
            <w:pPr>
              <w:jc w:val="right"/>
              <w:ind w:right="40"/>
              <w:spacing w:after="0"/>
              <w:rPr>
                <w:sz w:val="20"/>
                <w:szCs w:val="20"/>
                <w:color w:val="auto"/>
              </w:rPr>
            </w:pPr>
            <w:r>
              <w:rPr>
                <w:rFonts w:ascii="Arial" w:cs="Arial" w:eastAsia="Arial" w:hAnsi="Arial"/>
                <w:sz w:val="5"/>
                <w:szCs w:val="5"/>
                <w:color w:val="auto"/>
                <w:w w:val="70"/>
              </w:rPr>
              <w:t>$</w:t>
            </w:r>
          </w:p>
        </w:tc>
        <w:tc>
          <w:tcPr>
            <w:tcW w:w="700" w:type="dxa"/>
            <w:vAlign w:val="bottom"/>
            <w:shd w:val="clear" w:color="auto" w:fill="CCEEFF"/>
          </w:tcPr>
          <w:p>
            <w:pPr>
              <w:ind w:left="300"/>
              <w:spacing w:after="0"/>
              <w:rPr>
                <w:sz w:val="20"/>
                <w:szCs w:val="20"/>
                <w:color w:val="auto"/>
              </w:rPr>
            </w:pPr>
            <w:r>
              <w:rPr>
                <w:rFonts w:ascii="Arial" w:cs="Arial" w:eastAsia="Arial" w:hAnsi="Arial"/>
                <w:sz w:val="13"/>
                <w:szCs w:val="13"/>
                <w:color w:val="auto"/>
              </w:rPr>
              <w:t>1,222</w:t>
            </w:r>
          </w:p>
        </w:tc>
        <w:tc>
          <w:tcPr>
            <w:tcW w:w="300" w:type="dxa"/>
            <w:vAlign w:val="bottom"/>
            <w:gridSpan w:val="2"/>
            <w:shd w:val="clear" w:color="auto" w:fill="CCEEFF"/>
          </w:tcPr>
          <w:p>
            <w:pPr>
              <w:jc w:val="right"/>
              <w:ind w:right="176"/>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5,775</w:t>
            </w:r>
          </w:p>
        </w:tc>
        <w:tc>
          <w:tcPr>
            <w:tcW w:w="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536"/>
              <w:spacing w:after="0"/>
              <w:rPr>
                <w:sz w:val="20"/>
                <w:szCs w:val="20"/>
                <w:color w:val="auto"/>
              </w:rPr>
            </w:pPr>
            <w:r>
              <w:rPr>
                <w:rFonts w:ascii="Arial" w:cs="Arial" w:eastAsia="Arial" w:hAnsi="Arial"/>
                <w:sz w:val="5"/>
                <w:szCs w:val="5"/>
                <w:color w:val="auto"/>
                <w:w w:val="70"/>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1,191,659</w:t>
            </w:r>
          </w:p>
        </w:tc>
        <w:tc>
          <w:tcPr>
            <w:tcW w:w="20" w:type="dxa"/>
            <w:vAlign w:val="bottom"/>
            <w:shd w:val="clear" w:color="auto" w:fill="CCEEFF"/>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ind w:left="620"/>
        <w:spacing w:after="0"/>
        <w:rPr>
          <w:sz w:val="20"/>
          <w:szCs w:val="20"/>
          <w:color w:val="auto"/>
        </w:rPr>
      </w:pPr>
      <w:r>
        <w:rPr>
          <w:rFonts w:ascii="Arial" w:cs="Arial" w:eastAsia="Arial" w:hAnsi="Arial"/>
          <w:sz w:val="11"/>
          <w:szCs w:val="11"/>
          <w:color w:val="auto"/>
        </w:rPr>
        <w:t>(1) All outstanding PPP loans were internally graded pass.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30</w:t>
      </w:r>
      <w:r>
        <w:rPr>
          <w:sz w:val="20"/>
          <w:szCs w:val="20"/>
          <w:color w:val="auto"/>
        </w:rPr>
        <w:tab/>
      </w:r>
      <w:r>
        <w:rPr>
          <w:rFonts w:ascii="Arial" w:cs="Arial" w:eastAsia="Arial" w:hAnsi="Arial"/>
          <w:sz w:val="14"/>
          <w:szCs w:val="14"/>
          <w:color w:val="auto"/>
        </w:rPr>
        <w:t>USCB Financial Holdings, Inc.</w:t>
        <w:tab/>
        <w:t>2022 10-K/A</w:t>
      </w:r>
    </w:p>
    <w:p>
      <w:pPr>
        <w:sectPr>
          <w:pgSz w:w="11900" w:h="16838" w:orient="portrait"/>
          <w:cols w:equalWidth="0" w:num="1">
            <w:col w:w="9019"/>
          </w:cols>
          <w:pgMar w:left="1440" w:top="490" w:right="1440" w:bottom="1440" w:gutter="0" w:footer="0" w:header="0"/>
        </w:sectPr>
      </w:pPr>
    </w:p>
    <w:bookmarkStart w:id="30" w:name="page31"/>
    <w:bookmarkEnd w:id="3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Loan Aging</w:t>
      </w:r>
    </w:p>
    <w:p>
      <w:pPr>
        <w:spacing w:after="0" w:line="188" w:lineRule="exact"/>
        <w:rPr>
          <w:sz w:val="20"/>
          <w:szCs w:val="20"/>
          <w:color w:val="auto"/>
        </w:rPr>
      </w:pPr>
    </w:p>
    <w:p>
      <w:pPr>
        <w:jc w:val="both"/>
        <w:ind w:left="640" w:right="699" w:firstLine="256"/>
        <w:spacing w:after="0" w:line="262" w:lineRule="auto"/>
        <w:rPr>
          <w:sz w:val="20"/>
          <w:szCs w:val="20"/>
          <w:color w:val="auto"/>
        </w:rPr>
      </w:pPr>
      <w:r>
        <w:rPr>
          <w:rFonts w:ascii="Arial" w:cs="Arial" w:eastAsia="Arial" w:hAnsi="Arial"/>
          <w:sz w:val="13"/>
          <w:szCs w:val="13"/>
          <w:color w:val="auto"/>
        </w:rPr>
        <w:t>The Company also considers the performance of loans in grading and in evaluating the credit quality of the loan portfolio. The Company analyzes credit quality and loan grades based on payment performance and the aging status of the loan. The following table include an aging analysis of accruing loans and total non-accruing loans as of December 31, 2022 and</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4"/>
          <w:szCs w:val="14"/>
          <w:color w:val="auto"/>
        </w:rPr>
        <w:t>2021 (in thousands):</w:t>
      </w:r>
    </w:p>
    <w:p>
      <w:pPr>
        <w:spacing w:after="0" w:line="166" w:lineRule="exact"/>
        <w:rPr>
          <w:sz w:val="20"/>
          <w:szCs w:val="20"/>
          <w:color w:val="auto"/>
        </w:rPr>
      </w:pPr>
    </w:p>
    <w:tbl>
      <w:tblPr>
        <w:tblLayout w:type="fixed"/>
        <w:tblInd w:w="620" w:type="dxa"/>
        <w:tblCellMar>
          <w:top w:w="0" w:type="dxa"/>
          <w:left w:w="0" w:type="dxa"/>
          <w:bottom w:w="0" w:type="dxa"/>
          <w:right w:w="0" w:type="dxa"/>
        </w:tblCellMar>
      </w:tblPr>
      <w:tr>
        <w:trPr>
          <w:trHeight w:val="164"/>
        </w:trPr>
        <w:tc>
          <w:tcPr>
            <w:tcW w:w="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436"/>
              <w:spacing w:after="0"/>
              <w:rPr>
                <w:sz w:val="20"/>
                <w:szCs w:val="20"/>
                <w:color w:val="auto"/>
              </w:rPr>
            </w:pPr>
            <w:r>
              <w:rPr>
                <w:rFonts w:ascii="Arial" w:cs="Arial" w:eastAsia="Arial" w:hAnsi="Arial"/>
                <w:sz w:val="13"/>
                <w:szCs w:val="13"/>
                <w:b w:val="1"/>
                <w:bCs w:val="1"/>
                <w:color w:val="auto"/>
              </w:rPr>
              <w:t>Accruing</w:t>
            </w: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15"/>
        </w:trPr>
        <w:tc>
          <w:tcPr>
            <w:tcW w:w="4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jc w:val="center"/>
              <w:spacing w:after="0" w:line="115" w:lineRule="exact"/>
              <w:rPr>
                <w:sz w:val="20"/>
                <w:szCs w:val="20"/>
                <w:color w:val="auto"/>
              </w:rPr>
            </w:pPr>
            <w:r>
              <w:rPr>
                <w:rFonts w:ascii="Arial" w:cs="Arial" w:eastAsia="Arial" w:hAnsi="Arial"/>
                <w:sz w:val="13"/>
                <w:szCs w:val="13"/>
                <w:b w:val="1"/>
                <w:bCs w:val="1"/>
                <w:color w:val="auto"/>
                <w:w w:val="98"/>
              </w:rPr>
              <w:t>Past Due &gt;</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49"/>
        </w:trPr>
        <w:tc>
          <w:tcPr>
            <w:tcW w:w="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3"/>
          </w:tcPr>
          <w:p>
            <w:pPr>
              <w:jc w:val="right"/>
              <w:ind w:right="43"/>
              <w:spacing w:after="0"/>
              <w:rPr>
                <w:sz w:val="20"/>
                <w:szCs w:val="20"/>
                <w:color w:val="auto"/>
              </w:rPr>
            </w:pPr>
            <w:r>
              <w:rPr>
                <w:rFonts w:ascii="Arial" w:cs="Arial" w:eastAsia="Arial" w:hAnsi="Arial"/>
                <w:sz w:val="13"/>
                <w:szCs w:val="13"/>
                <w:b w:val="1"/>
                <w:bCs w:val="1"/>
                <w:color w:val="auto"/>
                <w:w w:val="97"/>
              </w:rPr>
              <w:t>90 Days and</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4"/>
          </w:tcPr>
          <w:p>
            <w:pPr>
              <w:jc w:val="right"/>
              <w:spacing w:after="0"/>
              <w:rPr>
                <w:sz w:val="20"/>
                <w:szCs w:val="20"/>
                <w:color w:val="auto"/>
              </w:rPr>
            </w:pPr>
            <w:r>
              <w:rPr>
                <w:rFonts w:ascii="Arial" w:cs="Arial" w:eastAsia="Arial" w:hAnsi="Arial"/>
                <w:sz w:val="13"/>
                <w:szCs w:val="13"/>
                <w:b w:val="1"/>
                <w:bCs w:val="1"/>
                <w:color w:val="auto"/>
                <w:w w:val="99"/>
              </w:rPr>
              <w:t>Past Due 30-</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2"/>
              </w:rPr>
              <w:t>Still</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ind w:right="256"/>
              <w:spacing w:after="0"/>
              <w:rPr>
                <w:sz w:val="20"/>
                <w:szCs w:val="20"/>
                <w:color w:val="auto"/>
              </w:rPr>
            </w:pPr>
            <w:r>
              <w:rPr>
                <w:rFonts w:ascii="Arial" w:cs="Arial" w:eastAsia="Arial" w:hAnsi="Arial"/>
                <w:sz w:val="13"/>
                <w:szCs w:val="13"/>
                <w:b w:val="1"/>
                <w:bCs w:val="1"/>
                <w:color w:val="auto"/>
              </w:rPr>
              <w:t>Total</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3"/>
        </w:trPr>
        <w:tc>
          <w:tcPr>
            <w:tcW w:w="2260" w:type="dxa"/>
            <w:vAlign w:val="bottom"/>
            <w:gridSpan w:val="2"/>
          </w:tcPr>
          <w:p>
            <w:pPr>
              <w:spacing w:after="0"/>
              <w:rPr>
                <w:sz w:val="20"/>
                <w:szCs w:val="20"/>
                <w:color w:val="auto"/>
              </w:rPr>
            </w:pPr>
            <w:r>
              <w:rPr>
                <w:rFonts w:ascii="Arial" w:cs="Arial" w:eastAsia="Arial" w:hAnsi="Arial"/>
                <w:sz w:val="13"/>
                <w:szCs w:val="13"/>
                <w:b w:val="1"/>
                <w:bCs w:val="1"/>
                <w:color w:val="auto"/>
              </w:rPr>
              <w:t>As of December 31, 2022:</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156"/>
              <w:spacing w:after="0"/>
              <w:rPr>
                <w:sz w:val="20"/>
                <w:szCs w:val="20"/>
                <w:color w:val="auto"/>
              </w:rPr>
            </w:pPr>
            <w:r>
              <w:rPr>
                <w:rFonts w:ascii="Arial" w:cs="Arial" w:eastAsia="Arial" w:hAnsi="Arial"/>
                <w:sz w:val="13"/>
                <w:szCs w:val="13"/>
                <w:b w:val="1"/>
                <w:bCs w:val="1"/>
                <w:color w:val="auto"/>
              </w:rPr>
              <w:t>Current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jc w:val="right"/>
              <w:ind w:right="136"/>
              <w:spacing w:after="0"/>
              <w:rPr>
                <w:sz w:val="20"/>
                <w:szCs w:val="20"/>
                <w:color w:val="auto"/>
              </w:rPr>
            </w:pPr>
            <w:r>
              <w:rPr>
                <w:rFonts w:ascii="Arial" w:cs="Arial" w:eastAsia="Arial" w:hAnsi="Arial"/>
                <w:sz w:val="13"/>
                <w:szCs w:val="13"/>
                <w:b w:val="1"/>
                <w:bCs w:val="1"/>
                <w:color w:val="auto"/>
              </w:rPr>
              <w:t>89 Days</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5"/>
              </w:rPr>
              <w:t>Accruing</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jc w:val="right"/>
              <w:ind w:right="116"/>
              <w:spacing w:after="0"/>
              <w:rPr>
                <w:sz w:val="20"/>
                <w:szCs w:val="20"/>
                <w:color w:val="auto"/>
              </w:rPr>
            </w:pPr>
            <w:r>
              <w:rPr>
                <w:rFonts w:ascii="Arial" w:cs="Arial" w:eastAsia="Arial" w:hAnsi="Arial"/>
                <w:sz w:val="13"/>
                <w:szCs w:val="13"/>
                <w:b w:val="1"/>
                <w:bCs w:val="1"/>
                <w:color w:val="auto"/>
              </w:rPr>
              <w:t>Accruing</w:t>
            </w:r>
          </w:p>
        </w:tc>
        <w:tc>
          <w:tcPr>
            <w:tcW w:w="880" w:type="dxa"/>
            <w:vAlign w:val="bottom"/>
            <w:gridSpan w:val="4"/>
          </w:tcPr>
          <w:p>
            <w:pPr>
              <w:jc w:val="right"/>
              <w:ind w:right="16"/>
              <w:spacing w:after="0"/>
              <w:rPr>
                <w:sz w:val="20"/>
                <w:szCs w:val="20"/>
                <w:color w:val="auto"/>
              </w:rPr>
            </w:pPr>
            <w:r>
              <w:rPr>
                <w:rFonts w:ascii="Arial" w:cs="Arial" w:eastAsia="Arial" w:hAnsi="Arial"/>
                <w:sz w:val="13"/>
                <w:szCs w:val="13"/>
                <w:b w:val="1"/>
                <w:bCs w:val="1"/>
                <w:color w:val="auto"/>
              </w:rPr>
              <w:t>Non-Accrual</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3"/>
          </w:tcPr>
          <w:p>
            <w:pPr>
              <w:ind w:left="20"/>
              <w:spacing w:after="0"/>
              <w:rPr>
                <w:sz w:val="20"/>
                <w:szCs w:val="20"/>
                <w:color w:val="auto"/>
              </w:rPr>
            </w:pPr>
            <w:r>
              <w:rPr>
                <w:rFonts w:ascii="Arial" w:cs="Arial" w:eastAsia="Arial" w:hAnsi="Arial"/>
                <w:sz w:val="13"/>
                <w:szCs w:val="13"/>
                <w:b w:val="1"/>
                <w:bCs w:val="1"/>
                <w:color w:val="auto"/>
              </w:rPr>
              <w:t>Total Loans</w:t>
            </w:r>
          </w:p>
        </w:tc>
      </w:tr>
      <w:tr>
        <w:trPr>
          <w:trHeight w:val="141"/>
        </w:trPr>
        <w:tc>
          <w:tcPr>
            <w:tcW w:w="40" w:type="dxa"/>
            <w:vAlign w:val="bottom"/>
          </w:tcPr>
          <w:p>
            <w:pPr>
              <w:spacing w:after="0"/>
              <w:rPr>
                <w:sz w:val="12"/>
                <w:szCs w:val="12"/>
                <w:color w:val="auto"/>
              </w:rPr>
            </w:pPr>
          </w:p>
        </w:tc>
        <w:tc>
          <w:tcPr>
            <w:tcW w:w="2220" w:type="dxa"/>
            <w:vAlign w:val="bottom"/>
            <w:tcBorders>
              <w:top w:val="single" w:sz="8" w:color="CCEEFF"/>
            </w:tcBorders>
            <w:shd w:val="clear" w:color="auto" w:fill="CCEEFF"/>
          </w:tcPr>
          <w:p>
            <w:pPr>
              <w:spacing w:after="0" w:line="137" w:lineRule="exact"/>
              <w:rPr>
                <w:sz w:val="20"/>
                <w:szCs w:val="20"/>
                <w:color w:val="auto"/>
              </w:rPr>
            </w:pPr>
            <w:r>
              <w:rPr>
                <w:rFonts w:ascii="Arial" w:cs="Arial" w:eastAsia="Arial" w:hAnsi="Arial"/>
                <w:sz w:val="13"/>
                <w:szCs w:val="13"/>
                <w:color w:val="auto"/>
              </w:rPr>
              <w:t>Residential real estate:</w:t>
            </w: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71"/>
        </w:trPr>
        <w:tc>
          <w:tcPr>
            <w:tcW w:w="40" w:type="dxa"/>
            <w:vAlign w:val="bottom"/>
          </w:tcPr>
          <w:p>
            <w:pPr>
              <w:spacing w:after="0"/>
              <w:rPr>
                <w:sz w:val="14"/>
                <w:szCs w:val="14"/>
                <w:color w:val="auto"/>
              </w:rPr>
            </w:pPr>
          </w:p>
        </w:tc>
        <w:tc>
          <w:tcPr>
            <w:tcW w:w="2220" w:type="dxa"/>
            <w:vAlign w:val="bottom"/>
          </w:tcPr>
          <w:p>
            <w:pPr>
              <w:ind w:left="60"/>
              <w:spacing w:after="0"/>
              <w:rPr>
                <w:sz w:val="20"/>
                <w:szCs w:val="20"/>
                <w:color w:val="auto"/>
              </w:rPr>
            </w:pPr>
            <w:r>
              <w:rPr>
                <w:rFonts w:ascii="Arial" w:cs="Arial" w:eastAsia="Arial" w:hAnsi="Arial"/>
                <w:sz w:val="13"/>
                <w:szCs w:val="13"/>
                <w:color w:val="auto"/>
              </w:rPr>
              <w:t>Home equity line of credit and other</w:t>
            </w:r>
          </w:p>
        </w:tc>
        <w:tc>
          <w:tcPr>
            <w:tcW w:w="28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623</w:t>
            </w:r>
          </w:p>
        </w:tc>
        <w:tc>
          <w:tcPr>
            <w:tcW w:w="140" w:type="dxa"/>
            <w:vAlign w:val="bottom"/>
            <w:gridSpan w:val="4"/>
          </w:tcPr>
          <w:p>
            <w:pPr>
              <w:jc w:val="right"/>
              <w:ind w:right="60"/>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760" w:type="dxa"/>
            <w:vAlign w:val="bottom"/>
            <w:gridSpan w:val="3"/>
          </w:tcPr>
          <w:p>
            <w:pPr>
              <w:jc w:val="right"/>
              <w:ind w:right="596"/>
              <w:spacing w:after="0"/>
              <w:rPr>
                <w:sz w:val="20"/>
                <w:szCs w:val="20"/>
                <w:color w:val="auto"/>
              </w:rPr>
            </w:pPr>
            <w:r>
              <w:rPr>
                <w:rFonts w:ascii="Arial" w:cs="Arial" w:eastAsia="Arial" w:hAnsi="Arial"/>
                <w:sz w:val="13"/>
                <w:szCs w:val="13"/>
                <w:color w:val="auto"/>
              </w:rPr>
              <w:t>$</w:t>
            </w:r>
          </w:p>
        </w:tc>
        <w:tc>
          <w:tcPr>
            <w:tcW w:w="120" w:type="dxa"/>
            <w:vAlign w:val="bottom"/>
          </w:tcPr>
          <w:p>
            <w:pPr>
              <w:jc w:val="right"/>
              <w:ind w:right="43"/>
              <w:spacing w:after="0"/>
              <w:rPr>
                <w:sz w:val="20"/>
                <w:szCs w:val="20"/>
                <w:color w:val="auto"/>
              </w:rPr>
            </w:pPr>
            <w:r>
              <w:rPr>
                <w:rFonts w:ascii="Arial" w:cs="Arial" w:eastAsia="Arial" w:hAnsi="Arial"/>
                <w:sz w:val="7"/>
                <w:szCs w:val="7"/>
                <w:color w:val="auto"/>
                <w:w w:val="83"/>
              </w:rPr>
              <w:t>-</w:t>
            </w:r>
          </w:p>
        </w:tc>
        <w:tc>
          <w:tcPr>
            <w:tcW w:w="120" w:type="dxa"/>
            <w:vAlign w:val="bottom"/>
            <w:gridSpan w:val="3"/>
          </w:tcPr>
          <w:p>
            <w:pPr>
              <w:jc w:val="right"/>
              <w:ind w:right="4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623</w:t>
            </w:r>
          </w:p>
        </w:tc>
        <w:tc>
          <w:tcPr>
            <w:tcW w:w="420" w:type="dxa"/>
            <w:vAlign w:val="bottom"/>
            <w:gridSpan w:val="3"/>
          </w:tcPr>
          <w:p>
            <w:pPr>
              <w:jc w:val="right"/>
              <w:ind w:right="320"/>
              <w:spacing w:after="0"/>
              <w:rPr>
                <w:sz w:val="20"/>
                <w:szCs w:val="20"/>
                <w:color w:val="auto"/>
              </w:rPr>
            </w:pPr>
            <w:r>
              <w:rPr>
                <w:rFonts w:ascii="Arial" w:cs="Arial" w:eastAsia="Arial" w:hAnsi="Arial"/>
                <w:sz w:val="13"/>
                <w:szCs w:val="13"/>
                <w:color w:val="auto"/>
              </w:rPr>
              <w:t>$</w:t>
            </w:r>
          </w:p>
        </w:tc>
        <w:tc>
          <w:tcPr>
            <w:tcW w:w="4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3"/>
          </w:tcPr>
          <w:p>
            <w:pPr>
              <w:jc w:val="right"/>
              <w:ind w:right="16"/>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623</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220" w:type="dxa"/>
            <w:vAlign w:val="bottom"/>
            <w:shd w:val="clear" w:color="auto" w:fill="CCEEFF"/>
          </w:tcPr>
          <w:p>
            <w:pPr>
              <w:ind w:left="60"/>
              <w:spacing w:after="0"/>
              <w:rPr>
                <w:sz w:val="20"/>
                <w:szCs w:val="20"/>
                <w:color w:val="auto"/>
              </w:rPr>
            </w:pPr>
            <w:r>
              <w:rPr>
                <w:rFonts w:ascii="Arial" w:cs="Arial" w:eastAsia="Arial" w:hAnsi="Arial"/>
                <w:sz w:val="13"/>
                <w:szCs w:val="13"/>
                <w:color w:val="auto"/>
              </w:rPr>
              <w:t>1-4 family residential</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131,120</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1,058</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43"/>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132,178</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132,178</w:t>
            </w:r>
          </w:p>
        </w:tc>
        <w:tc>
          <w:tcPr>
            <w:tcW w:w="20" w:type="dxa"/>
            <w:vAlign w:val="bottom"/>
            <w:shd w:val="clear" w:color="auto" w:fill="CCEEFF"/>
          </w:tcPr>
          <w:p>
            <w:pPr>
              <w:spacing w:after="0"/>
              <w:rPr>
                <w:sz w:val="14"/>
                <w:szCs w:val="14"/>
                <w:color w:val="auto"/>
              </w:rPr>
            </w:pPr>
          </w:p>
        </w:tc>
      </w:tr>
      <w:tr>
        <w:trPr>
          <w:trHeight w:val="180"/>
        </w:trPr>
        <w:tc>
          <w:tcPr>
            <w:tcW w:w="4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Arial" w:cs="Arial" w:eastAsia="Arial" w:hAnsi="Arial"/>
                <w:sz w:val="13"/>
                <w:szCs w:val="13"/>
                <w:color w:val="auto"/>
              </w:rPr>
              <w:t>Condo residential</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50,310</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2,525</w:t>
            </w: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jc w:val="right"/>
              <w:ind w:right="43"/>
              <w:spacing w:after="0"/>
              <w:rPr>
                <w:sz w:val="20"/>
                <w:szCs w:val="20"/>
                <w:color w:val="auto"/>
              </w:rPr>
            </w:pPr>
            <w:r>
              <w:rPr>
                <w:rFonts w:ascii="Arial" w:cs="Arial" w:eastAsia="Arial" w:hAnsi="Arial"/>
                <w:sz w:val="7"/>
                <w:szCs w:val="7"/>
                <w:color w:val="auto"/>
                <w:w w:val="83"/>
              </w:rPr>
              <w:t>-</w:t>
            </w: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52,835</w:t>
            </w:r>
          </w:p>
        </w:tc>
        <w:tc>
          <w:tcPr>
            <w:tcW w:w="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52,835</w:t>
            </w:r>
          </w:p>
        </w:tc>
        <w:tc>
          <w:tcPr>
            <w:tcW w:w="20" w:type="dxa"/>
            <w:vAlign w:val="bottom"/>
          </w:tcPr>
          <w:p>
            <w:pPr>
              <w:spacing w:after="0"/>
              <w:rPr>
                <w:sz w:val="15"/>
                <w:szCs w:val="15"/>
                <w:color w:val="auto"/>
              </w:rPr>
            </w:pPr>
          </w:p>
        </w:tc>
      </w:tr>
      <w:tr>
        <w:trPr>
          <w:trHeight w:val="141"/>
        </w:trPr>
        <w:tc>
          <w:tcPr>
            <w:tcW w:w="40" w:type="dxa"/>
            <w:vAlign w:val="bottom"/>
          </w:tcPr>
          <w:p>
            <w:pPr>
              <w:spacing w:after="0"/>
              <w:rPr>
                <w:sz w:val="12"/>
                <w:szCs w:val="12"/>
                <w:color w:val="auto"/>
              </w:rPr>
            </w:pPr>
          </w:p>
        </w:tc>
        <w:tc>
          <w:tcPr>
            <w:tcW w:w="2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182,053</w:t>
            </w:r>
          </w:p>
        </w:tc>
        <w:tc>
          <w:tcPr>
            <w:tcW w:w="2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3,583</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43"/>
              <w:spacing w:after="0"/>
              <w:rPr>
                <w:sz w:val="20"/>
                <w:szCs w:val="20"/>
                <w:color w:val="auto"/>
              </w:rPr>
            </w:pPr>
            <w:r>
              <w:rPr>
                <w:rFonts w:ascii="Arial" w:cs="Arial" w:eastAsia="Arial" w:hAnsi="Arial"/>
                <w:sz w:val="7"/>
                <w:szCs w:val="7"/>
                <w:color w:val="auto"/>
                <w:w w:val="83"/>
              </w:rPr>
              <w:t>-</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185,636</w:t>
            </w: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185,636</w:t>
            </w:r>
          </w:p>
        </w:tc>
        <w:tc>
          <w:tcPr>
            <w:tcW w:w="20" w:type="dxa"/>
            <w:vAlign w:val="bottom"/>
            <w:shd w:val="clear" w:color="auto" w:fill="CCEEFF"/>
          </w:tcPr>
          <w:p>
            <w:pPr>
              <w:spacing w:after="0"/>
              <w:rPr>
                <w:sz w:val="12"/>
                <w:szCs w:val="12"/>
                <w:color w:val="auto"/>
              </w:rPr>
            </w:pPr>
          </w:p>
        </w:tc>
      </w:tr>
      <w:tr>
        <w:trPr>
          <w:trHeight w:val="168"/>
        </w:trPr>
        <w:tc>
          <w:tcPr>
            <w:tcW w:w="2260" w:type="dxa"/>
            <w:vAlign w:val="bottom"/>
            <w:gridSpan w:val="2"/>
          </w:tcPr>
          <w:p>
            <w:pPr>
              <w:spacing w:after="0"/>
              <w:rPr>
                <w:sz w:val="20"/>
                <w:szCs w:val="20"/>
                <w:color w:val="auto"/>
              </w:rPr>
            </w:pPr>
            <w:r>
              <w:rPr>
                <w:rFonts w:ascii="Arial" w:cs="Arial" w:eastAsia="Arial" w:hAnsi="Arial"/>
                <w:sz w:val="13"/>
                <w:szCs w:val="13"/>
                <w:color w:val="auto"/>
              </w:rPr>
              <w:t>Commercial real estate: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3"/>
        </w:trPr>
        <w:tc>
          <w:tcPr>
            <w:tcW w:w="40" w:type="dxa"/>
            <w:vAlign w:val="bottom"/>
          </w:tcPr>
          <w:p>
            <w:pPr>
              <w:spacing w:after="0"/>
              <w:rPr>
                <w:sz w:val="15"/>
                <w:szCs w:val="15"/>
                <w:color w:val="auto"/>
              </w:rPr>
            </w:pPr>
          </w:p>
        </w:tc>
        <w:tc>
          <w:tcPr>
            <w:tcW w:w="22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Land and construction</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38,687</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jc w:val="right"/>
              <w:ind w:right="43"/>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38,687</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38,687</w:t>
            </w:r>
          </w:p>
        </w:tc>
        <w:tc>
          <w:tcPr>
            <w:tcW w:w="20" w:type="dxa"/>
            <w:vAlign w:val="bottom"/>
            <w:shd w:val="clear" w:color="auto" w:fill="CCEEFF"/>
          </w:tcPr>
          <w:p>
            <w:pPr>
              <w:spacing w:after="0"/>
              <w:rPr>
                <w:sz w:val="15"/>
                <w:szCs w:val="15"/>
                <w:color w:val="auto"/>
              </w:rPr>
            </w:pPr>
          </w:p>
        </w:tc>
      </w:tr>
      <w:tr>
        <w:trPr>
          <w:trHeight w:val="171"/>
        </w:trPr>
        <w:tc>
          <w:tcPr>
            <w:tcW w:w="40" w:type="dxa"/>
            <w:vAlign w:val="bottom"/>
          </w:tcPr>
          <w:p>
            <w:pPr>
              <w:spacing w:after="0"/>
              <w:rPr>
                <w:sz w:val="14"/>
                <w:szCs w:val="14"/>
                <w:color w:val="auto"/>
              </w:rPr>
            </w:pPr>
          </w:p>
        </w:tc>
        <w:tc>
          <w:tcPr>
            <w:tcW w:w="2220" w:type="dxa"/>
            <w:vAlign w:val="bottom"/>
          </w:tcPr>
          <w:p>
            <w:pPr>
              <w:ind w:left="60"/>
              <w:spacing w:after="0"/>
              <w:rPr>
                <w:sz w:val="20"/>
                <w:szCs w:val="20"/>
                <w:color w:val="auto"/>
              </w:rPr>
            </w:pPr>
            <w:r>
              <w:rPr>
                <w:rFonts w:ascii="Arial" w:cs="Arial" w:eastAsia="Arial" w:hAnsi="Arial"/>
                <w:sz w:val="13"/>
                <w:szCs w:val="13"/>
                <w:color w:val="auto"/>
              </w:rPr>
              <w:t>Multi family residential</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176,820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jc w:val="right"/>
              <w:ind w:right="43"/>
              <w:spacing w:after="0"/>
              <w:rPr>
                <w:sz w:val="20"/>
                <w:szCs w:val="20"/>
                <w:color w:val="auto"/>
              </w:rPr>
            </w:pPr>
            <w:r>
              <w:rPr>
                <w:rFonts w:ascii="Arial" w:cs="Arial" w:eastAsia="Arial" w:hAnsi="Arial"/>
                <w:sz w:val="7"/>
                <w:szCs w:val="7"/>
                <w:color w:val="auto"/>
                <w:w w:val="83"/>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176,820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176,820</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2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Condo commercial</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49,994</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43"/>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49,994</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49,994</w:t>
            </w: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220" w:type="dxa"/>
            <w:vAlign w:val="bottom"/>
          </w:tcPr>
          <w:p>
            <w:pPr>
              <w:ind w:left="60"/>
              <w:spacing w:after="0"/>
              <w:rPr>
                <w:sz w:val="20"/>
                <w:szCs w:val="20"/>
                <w:color w:val="auto"/>
              </w:rPr>
            </w:pPr>
            <w:r>
              <w:rPr>
                <w:rFonts w:ascii="Arial" w:cs="Arial" w:eastAsia="Arial" w:hAnsi="Arial"/>
                <w:sz w:val="13"/>
                <w:szCs w:val="13"/>
                <w:color w:val="auto"/>
              </w:rPr>
              <w:t>Commercial property</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704,884</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25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jc w:val="right"/>
              <w:ind w:right="43"/>
              <w:spacing w:after="0"/>
              <w:rPr>
                <w:sz w:val="20"/>
                <w:szCs w:val="20"/>
                <w:color w:val="auto"/>
              </w:rPr>
            </w:pPr>
            <w:r>
              <w:rPr>
                <w:rFonts w:ascii="Arial" w:cs="Arial" w:eastAsia="Arial" w:hAnsi="Arial"/>
                <w:sz w:val="7"/>
                <w:szCs w:val="7"/>
                <w:color w:val="auto"/>
                <w:w w:val="83"/>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704,909</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704,909</w:t>
            </w:r>
          </w:p>
        </w:tc>
        <w:tc>
          <w:tcPr>
            <w:tcW w:w="20" w:type="dxa"/>
            <w:vAlign w:val="bottom"/>
          </w:tcPr>
          <w:p>
            <w:pPr>
              <w:spacing w:after="0"/>
              <w:rPr>
                <w:sz w:val="14"/>
                <w:szCs w:val="14"/>
                <w:color w:val="auto"/>
              </w:rPr>
            </w:pPr>
          </w:p>
        </w:tc>
      </w:tr>
      <w:tr>
        <w:trPr>
          <w:trHeight w:val="160"/>
        </w:trPr>
        <w:tc>
          <w:tcPr>
            <w:tcW w:w="40" w:type="dxa"/>
            <w:vAlign w:val="bottom"/>
          </w:tcPr>
          <w:p>
            <w:pPr>
              <w:spacing w:after="0"/>
              <w:rPr>
                <w:sz w:val="13"/>
                <w:szCs w:val="13"/>
                <w:color w:val="auto"/>
              </w:rPr>
            </w:pPr>
          </w:p>
        </w:tc>
        <w:tc>
          <w:tcPr>
            <w:tcW w:w="2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Leasehold improvements</w:t>
            </w:r>
          </w:p>
        </w:tc>
        <w:tc>
          <w:tcPr>
            <w:tcW w:w="1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7"/>
                <w:szCs w:val="7"/>
                <w:color w:val="auto"/>
                <w:w w:val="83"/>
              </w:rPr>
              <w:t>-</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61"/>
        </w:trPr>
        <w:tc>
          <w:tcPr>
            <w:tcW w:w="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970,385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25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jc w:val="right"/>
              <w:ind w:right="43"/>
              <w:spacing w:after="0"/>
              <w:rPr>
                <w:sz w:val="20"/>
                <w:szCs w:val="20"/>
                <w:color w:val="auto"/>
              </w:rPr>
            </w:pPr>
            <w:r>
              <w:rPr>
                <w:rFonts w:ascii="Arial" w:cs="Arial" w:eastAsia="Arial" w:hAnsi="Arial"/>
                <w:sz w:val="7"/>
                <w:szCs w:val="7"/>
                <w:color w:val="auto"/>
                <w:w w:val="83"/>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970,410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970,410</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220" w:type="dxa"/>
            <w:vAlign w:val="bottom"/>
          </w:tcPr>
          <w:p>
            <w:pPr>
              <w:ind w:left="60"/>
              <w:spacing w:after="0"/>
              <w:rPr>
                <w:sz w:val="20"/>
                <w:szCs w:val="20"/>
                <w:color w:val="auto"/>
              </w:rPr>
            </w:pPr>
            <w:r>
              <w:rPr>
                <w:rFonts w:ascii="Arial" w:cs="Arial" w:eastAsia="Arial" w:hAnsi="Arial"/>
                <w:sz w:val="13"/>
                <w:szCs w:val="13"/>
                <w:color w:val="auto"/>
              </w:rPr>
              <w:t>Secured</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121,649</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31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jc w:val="right"/>
              <w:ind w:right="43"/>
              <w:spacing w:after="0"/>
              <w:rPr>
                <w:sz w:val="20"/>
                <w:szCs w:val="20"/>
                <w:color w:val="auto"/>
              </w:rPr>
            </w:pPr>
            <w:r>
              <w:rPr>
                <w:rFonts w:ascii="Arial" w:cs="Arial" w:eastAsia="Arial" w:hAnsi="Arial"/>
                <w:sz w:val="7"/>
                <w:szCs w:val="7"/>
                <w:color w:val="auto"/>
                <w:w w:val="83"/>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121,680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121,680</w:t>
            </w:r>
          </w:p>
        </w:tc>
        <w:tc>
          <w:tcPr>
            <w:tcW w:w="20" w:type="dxa"/>
            <w:vAlign w:val="bottom"/>
          </w:tcPr>
          <w:p>
            <w:pPr>
              <w:spacing w:after="0"/>
              <w:rPr>
                <w:sz w:val="14"/>
                <w:szCs w:val="14"/>
                <w:color w:val="auto"/>
              </w:rPr>
            </w:pPr>
          </w:p>
        </w:tc>
      </w:tr>
      <w:tr>
        <w:trPr>
          <w:trHeight w:val="160"/>
        </w:trPr>
        <w:tc>
          <w:tcPr>
            <w:tcW w:w="40" w:type="dxa"/>
            <w:vAlign w:val="bottom"/>
          </w:tcPr>
          <w:p>
            <w:pPr>
              <w:spacing w:after="0"/>
              <w:rPr>
                <w:sz w:val="13"/>
                <w:szCs w:val="13"/>
                <w:color w:val="auto"/>
              </w:rPr>
            </w:pPr>
          </w:p>
        </w:tc>
        <w:tc>
          <w:tcPr>
            <w:tcW w:w="2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Unsecured</w:t>
            </w:r>
          </w:p>
        </w:tc>
        <w:tc>
          <w:tcPr>
            <w:tcW w:w="1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4,332</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972</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7"/>
                <w:szCs w:val="7"/>
                <w:color w:val="auto"/>
                <w:w w:val="83"/>
              </w:rPr>
              <w:t>-</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5,304</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5,304</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61"/>
        </w:trPr>
        <w:tc>
          <w:tcPr>
            <w:tcW w:w="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125,981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1,003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jc w:val="right"/>
              <w:ind w:right="43"/>
              <w:spacing w:after="0"/>
              <w:rPr>
                <w:sz w:val="20"/>
                <w:szCs w:val="20"/>
                <w:color w:val="auto"/>
              </w:rPr>
            </w:pPr>
            <w:r>
              <w:rPr>
                <w:rFonts w:ascii="Arial" w:cs="Arial" w:eastAsia="Arial" w:hAnsi="Arial"/>
                <w:sz w:val="7"/>
                <w:szCs w:val="7"/>
                <w:color w:val="auto"/>
                <w:w w:val="83"/>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126,984</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126,984</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2260" w:type="dxa"/>
            <w:vAlign w:val="bottom"/>
            <w:gridSpan w:val="2"/>
          </w:tcPr>
          <w:p>
            <w:pPr>
              <w:spacing w:after="0"/>
              <w:rPr>
                <w:sz w:val="20"/>
                <w:szCs w:val="20"/>
                <w:color w:val="auto"/>
              </w:rPr>
            </w:pPr>
            <w:r>
              <w:rPr>
                <w:rFonts w:ascii="Arial" w:cs="Arial" w:eastAsia="Arial" w:hAnsi="Arial"/>
                <w:sz w:val="13"/>
                <w:szCs w:val="13"/>
                <w:color w:val="auto"/>
              </w:rPr>
              <w:t>Foreign banks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93,769</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jc w:val="right"/>
              <w:ind w:right="43"/>
              <w:spacing w:after="0"/>
              <w:rPr>
                <w:sz w:val="20"/>
                <w:szCs w:val="20"/>
                <w:color w:val="auto"/>
              </w:rPr>
            </w:pPr>
            <w:r>
              <w:rPr>
                <w:rFonts w:ascii="Arial" w:cs="Arial" w:eastAsia="Arial" w:hAnsi="Arial"/>
                <w:sz w:val="7"/>
                <w:szCs w:val="7"/>
                <w:color w:val="auto"/>
                <w:w w:val="83"/>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93,769</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6"/>
              <w:spacing w:after="0"/>
              <w:rPr>
                <w:sz w:val="20"/>
                <w:szCs w:val="20"/>
                <w:color w:val="auto"/>
              </w:rPr>
            </w:pPr>
            <w:r>
              <w:rPr>
                <w:rFonts w:ascii="Arial" w:cs="Arial" w:eastAsia="Arial" w:hAnsi="Arial"/>
                <w:sz w:val="13"/>
                <w:szCs w:val="13"/>
                <w:color w:val="auto"/>
              </w:rPr>
              <w:t>93,769</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3"/>
                <w:szCs w:val="13"/>
                <w:color w:val="auto"/>
              </w:rPr>
              <w:t>Consumer and other</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130,169</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260</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43"/>
              <w:spacing w:after="0"/>
              <w:rPr>
                <w:sz w:val="20"/>
                <w:szCs w:val="20"/>
                <w:color w:val="auto"/>
              </w:rPr>
            </w:pPr>
            <w:r>
              <w:rPr>
                <w:rFonts w:ascii="Arial" w:cs="Arial" w:eastAsia="Arial" w:hAnsi="Arial"/>
                <w:sz w:val="7"/>
                <w:szCs w:val="7"/>
                <w:color w:val="auto"/>
                <w:w w:val="83"/>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130,429</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130,429</w:t>
            </w:r>
          </w:p>
        </w:tc>
        <w:tc>
          <w:tcPr>
            <w:tcW w:w="20" w:type="dxa"/>
            <w:vAlign w:val="bottom"/>
            <w:shd w:val="clear" w:color="auto" w:fill="CCEEFF"/>
          </w:tcPr>
          <w:p>
            <w:pPr>
              <w:spacing w:after="0"/>
              <w:rPr>
                <w:sz w:val="14"/>
                <w:szCs w:val="14"/>
                <w:color w:val="auto"/>
              </w:rPr>
            </w:pPr>
          </w:p>
        </w:tc>
      </w:tr>
      <w:tr>
        <w:trPr>
          <w:trHeight w:val="160"/>
        </w:trPr>
        <w:tc>
          <w:tcPr>
            <w:tcW w:w="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80" w:type="dxa"/>
            <w:vAlign w:val="bottom"/>
            <w:gridSpan w:val="3"/>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gridSpan w:val="3"/>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gridSpan w:val="3"/>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gridSpan w:val="3"/>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2"/>
        </w:trPr>
        <w:tc>
          <w:tcPr>
            <w:tcW w:w="40" w:type="dxa"/>
            <w:vAlign w:val="bottom"/>
          </w:tcPr>
          <w:p>
            <w:pPr>
              <w:spacing w:after="0"/>
              <w:rPr>
                <w:sz w:val="13"/>
                <w:szCs w:val="13"/>
                <w:color w:val="auto"/>
              </w:rPr>
            </w:pPr>
          </w:p>
        </w:tc>
        <w:tc>
          <w:tcPr>
            <w:tcW w:w="22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Total</w:t>
            </w: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1,502,357</w:t>
            </w:r>
          </w:p>
        </w:tc>
        <w:tc>
          <w:tcPr>
            <w:tcW w:w="20" w:type="dxa"/>
            <w:vAlign w:val="bottom"/>
            <w:shd w:val="clear" w:color="auto" w:fill="CCEEFF"/>
          </w:tcPr>
          <w:p>
            <w:pPr>
              <w:spacing w:after="0"/>
              <w:rPr>
                <w:sz w:val="13"/>
                <w:szCs w:val="13"/>
                <w:color w:val="auto"/>
              </w:rPr>
            </w:pPr>
          </w:p>
        </w:tc>
        <w:tc>
          <w:tcPr>
            <w:tcW w:w="120" w:type="dxa"/>
            <w:vAlign w:val="bottom"/>
            <w:gridSpan w:val="3"/>
            <w:shd w:val="clear" w:color="auto" w:fill="CCEEFF"/>
          </w:tcPr>
          <w:p>
            <w:pPr>
              <w:jc w:val="right"/>
              <w:ind w:right="60"/>
              <w:spacing w:after="0"/>
              <w:rPr>
                <w:sz w:val="20"/>
                <w:szCs w:val="20"/>
                <w:color w:val="auto"/>
              </w:rPr>
            </w:pPr>
            <w:r>
              <w:rPr>
                <w:rFonts w:ascii="Arial" w:cs="Arial" w:eastAsia="Arial" w:hAnsi="Arial"/>
                <w:sz w:val="10"/>
                <w:szCs w:val="10"/>
                <w:color w:val="auto"/>
                <w:w w:val="71"/>
                <w:shd w:val="clear" w:color="auto" w:fill="CCEEFF"/>
              </w:rPr>
              <w:t>$</w:t>
            </w: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4,871</w:t>
            </w:r>
          </w:p>
        </w:tc>
        <w:tc>
          <w:tcPr>
            <w:tcW w:w="760" w:type="dxa"/>
            <w:vAlign w:val="bottom"/>
            <w:gridSpan w:val="3"/>
            <w:shd w:val="clear" w:color="auto" w:fill="CCEEFF"/>
          </w:tcPr>
          <w:p>
            <w:pPr>
              <w:jc w:val="right"/>
              <w:ind w:right="596"/>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ind w:right="43"/>
              <w:spacing w:after="0"/>
              <w:rPr>
                <w:sz w:val="20"/>
                <w:szCs w:val="20"/>
                <w:color w:val="auto"/>
              </w:rPr>
            </w:pPr>
            <w:r>
              <w:rPr>
                <w:rFonts w:ascii="Arial" w:cs="Arial" w:eastAsia="Arial" w:hAnsi="Arial"/>
                <w:sz w:val="7"/>
                <w:szCs w:val="7"/>
                <w:b w:val="1"/>
                <w:bCs w:val="1"/>
                <w:color w:val="auto"/>
                <w:w w:val="83"/>
              </w:rPr>
              <w:t>-</w:t>
            </w:r>
          </w:p>
        </w:tc>
        <w:tc>
          <w:tcPr>
            <w:tcW w:w="1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w w:val="82"/>
                <w:shd w:val="clear" w:color="auto" w:fill="CCEEFF"/>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shd w:val="clear" w:color="auto" w:fill="CCEEFF"/>
              </w:rPr>
              <w:t>1,507,228</w:t>
            </w:r>
          </w:p>
        </w:tc>
        <w:tc>
          <w:tcPr>
            <w:tcW w:w="420" w:type="dxa"/>
            <w:vAlign w:val="bottom"/>
            <w:gridSpan w:val="3"/>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3"/>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1,507,228</w:t>
            </w:r>
          </w:p>
        </w:tc>
        <w:tc>
          <w:tcPr>
            <w:tcW w:w="20" w:type="dxa"/>
            <w:vAlign w:val="bottom"/>
            <w:shd w:val="clear" w:color="auto" w:fill="CCEEFF"/>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31</w:t>
      </w:r>
      <w:r>
        <w:rPr>
          <w:sz w:val="20"/>
          <w:szCs w:val="20"/>
          <w:color w:val="auto"/>
        </w:rPr>
        <w:tab/>
      </w:r>
      <w:r>
        <w:rPr>
          <w:rFonts w:ascii="Arial" w:cs="Arial" w:eastAsia="Arial" w:hAnsi="Arial"/>
          <w:sz w:val="14"/>
          <w:szCs w:val="14"/>
          <w:color w:val="auto"/>
        </w:rPr>
        <w:t>USCB Financial Holdings, Inc.</w:t>
        <w:tab/>
        <w:t>2022 10-K/A</w:t>
      </w:r>
    </w:p>
    <w:p>
      <w:pPr>
        <w:sectPr>
          <w:pgSz w:w="11900" w:h="16838" w:orient="portrait"/>
          <w:cols w:equalWidth="0" w:num="1">
            <w:col w:w="9019"/>
          </w:cols>
          <w:pgMar w:left="1440" w:top="490" w:right="1440" w:bottom="1440" w:gutter="0" w:footer="0" w:header="0"/>
        </w:sectPr>
      </w:pPr>
    </w:p>
    <w:bookmarkStart w:id="31" w:name="page32"/>
    <w:bookmarkEnd w:id="3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229" w:lineRule="exact"/>
        <w:rPr>
          <w:sz w:val="20"/>
          <w:szCs w:val="20"/>
          <w:color w:val="auto"/>
        </w:rPr>
      </w:pPr>
    </w:p>
    <w:tbl>
      <w:tblPr>
        <w:tblLayout w:type="fixed"/>
        <w:tblInd w:w="64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4"/>
          </w:tcPr>
          <w:p>
            <w:pPr>
              <w:ind w:left="440"/>
              <w:spacing w:after="0"/>
              <w:rPr>
                <w:sz w:val="20"/>
                <w:szCs w:val="20"/>
                <w:color w:val="auto"/>
              </w:rPr>
            </w:pPr>
            <w:r>
              <w:rPr>
                <w:rFonts w:ascii="Arial" w:cs="Arial" w:eastAsia="Arial" w:hAnsi="Arial"/>
                <w:sz w:val="13"/>
                <w:szCs w:val="13"/>
                <w:b w:val="1"/>
                <w:bCs w:val="1"/>
                <w:color w:val="auto"/>
              </w:rPr>
              <w:t>Accruing</w:t>
            </w:r>
          </w:p>
        </w:tc>
        <w:tc>
          <w:tcPr>
            <w:tcW w:w="1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71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73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26"/>
        </w:trPr>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gridSpan w:val="3"/>
          </w:tcPr>
          <w:p>
            <w:pPr>
              <w:jc w:val="center"/>
              <w:ind w:right="36"/>
              <w:spacing w:after="0" w:line="126" w:lineRule="exact"/>
              <w:rPr>
                <w:sz w:val="20"/>
                <w:szCs w:val="20"/>
                <w:color w:val="auto"/>
              </w:rPr>
            </w:pPr>
            <w:r>
              <w:rPr>
                <w:rFonts w:ascii="Arial" w:cs="Arial" w:eastAsia="Arial" w:hAnsi="Arial"/>
                <w:sz w:val="13"/>
                <w:szCs w:val="13"/>
                <w:b w:val="1"/>
                <w:bCs w:val="1"/>
                <w:color w:val="auto"/>
                <w:w w:val="98"/>
              </w:rPr>
              <w:t>Past Due &gt;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 w:type="dxa"/>
            <w:vAlign w:val="bottom"/>
          </w:tcPr>
          <w:p>
            <w:pPr>
              <w:spacing w:after="0"/>
              <w:rPr>
                <w:sz w:val="10"/>
                <w:szCs w:val="10"/>
                <w:color w:val="auto"/>
              </w:rPr>
            </w:pPr>
          </w:p>
        </w:tc>
        <w:tc>
          <w:tcPr>
            <w:tcW w:w="71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0" w:type="dxa"/>
            <w:vAlign w:val="bottom"/>
          </w:tcPr>
          <w:p>
            <w:pPr>
              <w:spacing w:after="0"/>
              <w:rPr>
                <w:sz w:val="10"/>
                <w:szCs w:val="10"/>
                <w:color w:val="auto"/>
              </w:rPr>
            </w:pPr>
          </w:p>
        </w:tc>
        <w:tc>
          <w:tcPr>
            <w:tcW w:w="73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80" w:type="dxa"/>
            <w:vAlign w:val="bottom"/>
            <w:gridSpan w:val="4"/>
          </w:tcPr>
          <w:p>
            <w:pPr>
              <w:jc w:val="center"/>
              <w:spacing w:after="0"/>
              <w:rPr>
                <w:sz w:val="20"/>
                <w:szCs w:val="20"/>
                <w:color w:val="auto"/>
              </w:rPr>
            </w:pPr>
            <w:r>
              <w:rPr>
                <w:rFonts w:ascii="Arial" w:cs="Arial" w:eastAsia="Arial" w:hAnsi="Arial"/>
                <w:sz w:val="13"/>
                <w:szCs w:val="13"/>
                <w:b w:val="1"/>
                <w:bCs w:val="1"/>
                <w:color w:val="auto"/>
              </w:rPr>
              <w:t>90 Days and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71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73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ind w:right="116"/>
              <w:spacing w:after="0"/>
              <w:rPr>
                <w:sz w:val="20"/>
                <w:szCs w:val="20"/>
                <w:color w:val="auto"/>
              </w:rPr>
            </w:pPr>
            <w:r>
              <w:rPr>
                <w:rFonts w:ascii="Arial" w:cs="Arial" w:eastAsia="Arial" w:hAnsi="Arial"/>
                <w:sz w:val="13"/>
                <w:szCs w:val="13"/>
                <w:b w:val="1"/>
                <w:bCs w:val="1"/>
                <w:color w:val="auto"/>
                <w:w w:val="96"/>
              </w:rPr>
              <w:t>Past Due</w:t>
            </w:r>
          </w:p>
        </w:tc>
        <w:tc>
          <w:tcPr>
            <w:tcW w:w="40" w:type="dxa"/>
            <w:vAlign w:val="bottom"/>
          </w:tcPr>
          <w:p>
            <w:pPr>
              <w:spacing w:after="0"/>
              <w:rPr>
                <w:sz w:val="12"/>
                <w:szCs w:val="12"/>
                <w:color w:val="auto"/>
              </w:rPr>
            </w:pPr>
          </w:p>
        </w:tc>
        <w:tc>
          <w:tcPr>
            <w:tcW w:w="145" w:type="dxa"/>
            <w:vAlign w:val="bottom"/>
          </w:tcPr>
          <w:p>
            <w:pPr>
              <w:spacing w:after="0"/>
              <w:rPr>
                <w:sz w:val="12"/>
                <w:szCs w:val="12"/>
                <w:color w:val="auto"/>
              </w:rPr>
            </w:pPr>
          </w:p>
        </w:tc>
        <w:tc>
          <w:tcPr>
            <w:tcW w:w="515" w:type="dxa"/>
            <w:vAlign w:val="bottom"/>
          </w:tcPr>
          <w:p>
            <w:pPr>
              <w:jc w:val="center"/>
              <w:spacing w:after="0"/>
              <w:rPr>
                <w:sz w:val="20"/>
                <w:szCs w:val="20"/>
                <w:color w:val="auto"/>
              </w:rPr>
            </w:pPr>
            <w:r>
              <w:rPr>
                <w:rFonts w:ascii="Arial" w:cs="Arial" w:eastAsia="Arial" w:hAnsi="Arial"/>
                <w:sz w:val="13"/>
                <w:szCs w:val="13"/>
                <w:b w:val="1"/>
                <w:bCs w:val="1"/>
                <w:color w:val="auto"/>
              </w:rPr>
              <w:t>Still</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256"/>
              <w:spacing w:after="0"/>
              <w:rPr>
                <w:sz w:val="20"/>
                <w:szCs w:val="20"/>
                <w:color w:val="auto"/>
              </w:rPr>
            </w:pPr>
            <w:r>
              <w:rPr>
                <w:rFonts w:ascii="Arial" w:cs="Arial" w:eastAsia="Arial" w:hAnsi="Arial"/>
                <w:sz w:val="13"/>
                <w:szCs w:val="13"/>
                <w:b w:val="1"/>
                <w:bCs w:val="1"/>
                <w:color w:val="auto"/>
              </w:rPr>
              <w:t>Total</w:t>
            </w:r>
          </w:p>
        </w:tc>
        <w:tc>
          <w:tcPr>
            <w:tcW w:w="6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71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0" w:type="dxa"/>
            <w:vAlign w:val="bottom"/>
          </w:tcPr>
          <w:p>
            <w:pPr>
              <w:spacing w:after="0"/>
              <w:rPr>
                <w:sz w:val="12"/>
                <w:szCs w:val="12"/>
                <w:color w:val="auto"/>
              </w:rPr>
            </w:pPr>
          </w:p>
        </w:tc>
        <w:tc>
          <w:tcPr>
            <w:tcW w:w="73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2380" w:type="dxa"/>
            <w:vAlign w:val="bottom"/>
            <w:gridSpan w:val="3"/>
          </w:tcPr>
          <w:p>
            <w:pPr>
              <w:spacing w:after="0"/>
              <w:rPr>
                <w:sz w:val="20"/>
                <w:szCs w:val="20"/>
                <w:color w:val="auto"/>
              </w:rPr>
            </w:pPr>
            <w:r>
              <w:rPr>
                <w:rFonts w:ascii="Arial" w:cs="Arial" w:eastAsia="Arial" w:hAnsi="Arial"/>
                <w:sz w:val="13"/>
                <w:szCs w:val="13"/>
                <w:b w:val="1"/>
                <w:bCs w:val="1"/>
                <w:color w:val="auto"/>
              </w:rPr>
              <w:t>As of December 31, 2021:</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176"/>
              <w:spacing w:after="0"/>
              <w:rPr>
                <w:sz w:val="20"/>
                <w:szCs w:val="20"/>
                <w:color w:val="auto"/>
              </w:rPr>
            </w:pPr>
            <w:r>
              <w:rPr>
                <w:rFonts w:ascii="Arial" w:cs="Arial" w:eastAsia="Arial" w:hAnsi="Arial"/>
                <w:sz w:val="13"/>
                <w:szCs w:val="13"/>
                <w:b w:val="1"/>
                <w:bCs w:val="1"/>
                <w:color w:val="auto"/>
              </w:rPr>
              <w:t>Current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gridSpan w:val="2"/>
          </w:tcPr>
          <w:p>
            <w:pPr>
              <w:jc w:val="right"/>
              <w:ind w:right="56"/>
              <w:spacing w:after="0"/>
              <w:rPr>
                <w:sz w:val="20"/>
                <w:szCs w:val="20"/>
                <w:color w:val="auto"/>
              </w:rPr>
            </w:pPr>
            <w:r>
              <w:rPr>
                <w:rFonts w:ascii="Arial" w:cs="Arial" w:eastAsia="Arial" w:hAnsi="Arial"/>
                <w:sz w:val="13"/>
                <w:szCs w:val="13"/>
                <w:b w:val="1"/>
                <w:bCs w:val="1"/>
                <w:color w:val="auto"/>
              </w:rPr>
              <w:t>30-89 Days</w:t>
            </w:r>
          </w:p>
        </w:tc>
        <w:tc>
          <w:tcPr>
            <w:tcW w:w="40" w:type="dxa"/>
            <w:vAlign w:val="bottom"/>
          </w:tcPr>
          <w:p>
            <w:pPr>
              <w:spacing w:after="0"/>
              <w:rPr>
                <w:sz w:val="13"/>
                <w:szCs w:val="13"/>
                <w:color w:val="auto"/>
              </w:rPr>
            </w:pPr>
          </w:p>
        </w:tc>
        <w:tc>
          <w:tcPr>
            <w:tcW w:w="660" w:type="dxa"/>
            <w:vAlign w:val="bottom"/>
            <w:gridSpan w:val="2"/>
          </w:tcPr>
          <w:p>
            <w:pPr>
              <w:jc w:val="center"/>
              <w:ind w:left="36"/>
              <w:spacing w:after="0"/>
              <w:rPr>
                <w:sz w:val="20"/>
                <w:szCs w:val="20"/>
                <w:color w:val="auto"/>
              </w:rPr>
            </w:pPr>
            <w:r>
              <w:rPr>
                <w:rFonts w:ascii="Arial" w:cs="Arial" w:eastAsia="Arial" w:hAnsi="Arial"/>
                <w:sz w:val="13"/>
                <w:szCs w:val="13"/>
                <w:b w:val="1"/>
                <w:bCs w:val="1"/>
                <w:color w:val="auto"/>
                <w:w w:val="99"/>
              </w:rPr>
              <w:t>Accruing</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116"/>
              <w:spacing w:after="0"/>
              <w:rPr>
                <w:sz w:val="20"/>
                <w:szCs w:val="20"/>
                <w:color w:val="auto"/>
              </w:rPr>
            </w:pPr>
            <w:r>
              <w:rPr>
                <w:rFonts w:ascii="Arial" w:cs="Arial" w:eastAsia="Arial" w:hAnsi="Arial"/>
                <w:sz w:val="13"/>
                <w:szCs w:val="13"/>
                <w:b w:val="1"/>
                <w:bCs w:val="1"/>
                <w:color w:val="auto"/>
                <w:w w:val="95"/>
              </w:rPr>
              <w:t>Accruing</w:t>
            </w:r>
          </w:p>
        </w:tc>
        <w:tc>
          <w:tcPr>
            <w:tcW w:w="880" w:type="dxa"/>
            <w:vAlign w:val="bottom"/>
            <w:gridSpan w:val="3"/>
          </w:tcPr>
          <w:p>
            <w:pPr>
              <w:ind w:left="40"/>
              <w:spacing w:after="0"/>
              <w:rPr>
                <w:sz w:val="20"/>
                <w:szCs w:val="20"/>
                <w:color w:val="auto"/>
              </w:rPr>
            </w:pPr>
            <w:r>
              <w:rPr>
                <w:rFonts w:ascii="Arial" w:cs="Arial" w:eastAsia="Arial" w:hAnsi="Arial"/>
                <w:sz w:val="13"/>
                <w:szCs w:val="13"/>
                <w:b w:val="1"/>
                <w:bCs w:val="1"/>
                <w:color w:val="auto"/>
              </w:rPr>
              <w:t>Non-Accrual</w:t>
            </w:r>
          </w:p>
        </w:tc>
        <w:tc>
          <w:tcPr>
            <w:tcW w:w="40" w:type="dxa"/>
            <w:vAlign w:val="bottom"/>
          </w:tcPr>
          <w:p>
            <w:pPr>
              <w:spacing w:after="0"/>
              <w:rPr>
                <w:sz w:val="13"/>
                <w:szCs w:val="13"/>
                <w:color w:val="auto"/>
              </w:rPr>
            </w:pPr>
          </w:p>
        </w:tc>
        <w:tc>
          <w:tcPr>
            <w:tcW w:w="880" w:type="dxa"/>
            <w:vAlign w:val="bottom"/>
            <w:gridSpan w:val="3"/>
          </w:tcPr>
          <w:p>
            <w:pPr>
              <w:ind w:left="40"/>
              <w:spacing w:after="0"/>
              <w:rPr>
                <w:sz w:val="20"/>
                <w:szCs w:val="20"/>
                <w:color w:val="auto"/>
              </w:rPr>
            </w:pPr>
            <w:r>
              <w:rPr>
                <w:rFonts w:ascii="Arial" w:cs="Arial" w:eastAsia="Arial" w:hAnsi="Arial"/>
                <w:sz w:val="13"/>
                <w:szCs w:val="13"/>
                <w:b w:val="1"/>
                <w:bCs w:val="1"/>
                <w:color w:val="auto"/>
              </w:rPr>
              <w:t>Total Loans</w:t>
            </w:r>
          </w:p>
        </w:tc>
      </w:tr>
      <w:tr>
        <w:trPr>
          <w:trHeight w:val="151"/>
        </w:trPr>
        <w:tc>
          <w:tcPr>
            <w:tcW w:w="20" w:type="dxa"/>
            <w:vAlign w:val="bottom"/>
          </w:tcPr>
          <w:p>
            <w:pPr>
              <w:spacing w:after="0"/>
              <w:rPr>
                <w:sz w:val="13"/>
                <w:szCs w:val="13"/>
                <w:color w:val="auto"/>
              </w:rPr>
            </w:pPr>
          </w:p>
        </w:tc>
        <w:tc>
          <w:tcPr>
            <w:tcW w:w="23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Residential real estate:</w:t>
            </w: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45" w:type="dxa"/>
            <w:vAlign w:val="bottom"/>
            <w:tcBorders>
              <w:top w:val="single" w:sz="8" w:color="auto"/>
            </w:tcBorders>
            <w:shd w:val="clear" w:color="auto" w:fill="CCEEFF"/>
          </w:tcPr>
          <w:p>
            <w:pPr>
              <w:spacing w:after="0"/>
              <w:rPr>
                <w:sz w:val="13"/>
                <w:szCs w:val="13"/>
                <w:color w:val="auto"/>
              </w:rPr>
            </w:pPr>
          </w:p>
        </w:tc>
        <w:tc>
          <w:tcPr>
            <w:tcW w:w="515"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10" w:type="dxa"/>
            <w:vAlign w:val="bottom"/>
            <w:tcBorders>
              <w:top w:val="single" w:sz="8" w:color="auto"/>
            </w:tcBorders>
            <w:shd w:val="clear" w:color="auto" w:fill="CCEEFF"/>
          </w:tcPr>
          <w:p>
            <w:pPr>
              <w:spacing w:after="0"/>
              <w:rPr>
                <w:sz w:val="13"/>
                <w:szCs w:val="13"/>
                <w:color w:val="auto"/>
              </w:rPr>
            </w:pPr>
          </w:p>
        </w:tc>
        <w:tc>
          <w:tcPr>
            <w:tcW w:w="71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30" w:type="dxa"/>
            <w:vAlign w:val="bottom"/>
            <w:tcBorders>
              <w:top w:val="single" w:sz="8" w:color="auto"/>
            </w:tcBorders>
            <w:shd w:val="clear" w:color="auto" w:fill="CCEEFF"/>
          </w:tcPr>
          <w:p>
            <w:pPr>
              <w:spacing w:after="0"/>
              <w:rPr>
                <w:sz w:val="13"/>
                <w:szCs w:val="13"/>
                <w:color w:val="auto"/>
              </w:rPr>
            </w:pPr>
          </w:p>
        </w:tc>
        <w:tc>
          <w:tcPr>
            <w:tcW w:w="73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71"/>
        </w:trPr>
        <w:tc>
          <w:tcPr>
            <w:tcW w:w="20" w:type="dxa"/>
            <w:vAlign w:val="bottom"/>
          </w:tcPr>
          <w:p>
            <w:pPr>
              <w:spacing w:after="0"/>
              <w:rPr>
                <w:sz w:val="14"/>
                <w:szCs w:val="14"/>
                <w:color w:val="auto"/>
              </w:rPr>
            </w:pPr>
          </w:p>
        </w:tc>
        <w:tc>
          <w:tcPr>
            <w:tcW w:w="2360" w:type="dxa"/>
            <w:vAlign w:val="bottom"/>
            <w:gridSpan w:val="2"/>
          </w:tcPr>
          <w:p>
            <w:pPr>
              <w:ind w:left="80"/>
              <w:spacing w:after="0"/>
              <w:rPr>
                <w:sz w:val="20"/>
                <w:szCs w:val="20"/>
                <w:color w:val="auto"/>
              </w:rPr>
            </w:pPr>
            <w:r>
              <w:rPr>
                <w:rFonts w:ascii="Arial" w:cs="Arial" w:eastAsia="Arial" w:hAnsi="Arial"/>
                <w:sz w:val="13"/>
                <w:szCs w:val="13"/>
                <w:color w:val="auto"/>
              </w:rPr>
              <w:t>Home equity line of credit and other</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701</w:t>
            </w:r>
          </w:p>
        </w:tc>
        <w:tc>
          <w:tcPr>
            <w:tcW w:w="1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85" w:type="dxa"/>
            <w:vAlign w:val="bottom"/>
            <w:gridSpan w:val="2"/>
          </w:tcPr>
          <w:p>
            <w:pPr>
              <w:jc w:val="right"/>
              <w:ind w:right="21"/>
              <w:spacing w:after="0"/>
              <w:rPr>
                <w:sz w:val="20"/>
                <w:szCs w:val="20"/>
                <w:color w:val="auto"/>
              </w:rPr>
            </w:pPr>
            <w:r>
              <w:rPr>
                <w:rFonts w:ascii="Arial" w:cs="Arial" w:eastAsia="Arial" w:hAnsi="Arial"/>
                <w:sz w:val="13"/>
                <w:szCs w:val="13"/>
                <w:color w:val="auto"/>
              </w:rPr>
              <w:t>$</w:t>
            </w:r>
          </w:p>
        </w:tc>
        <w:tc>
          <w:tcPr>
            <w:tcW w:w="515" w:type="dxa"/>
            <w:vAlign w:val="bottom"/>
          </w:tcPr>
          <w:p>
            <w:pPr>
              <w:spacing w:after="0"/>
              <w:rPr>
                <w:sz w:val="14"/>
                <w:szCs w:val="14"/>
                <w:color w:val="auto"/>
              </w:rPr>
            </w:pPr>
          </w:p>
        </w:tc>
        <w:tc>
          <w:tcPr>
            <w:tcW w:w="180" w:type="dxa"/>
            <w:vAlign w:val="bottom"/>
          </w:tcPr>
          <w:p>
            <w:pPr>
              <w:jc w:val="right"/>
              <w:ind w:right="56"/>
              <w:spacing w:after="0"/>
              <w:rPr>
                <w:sz w:val="20"/>
                <w:szCs w:val="20"/>
                <w:color w:val="auto"/>
              </w:rPr>
            </w:pPr>
            <w:r>
              <w:rPr>
                <w:rFonts w:ascii="Arial" w:cs="Arial" w:eastAsia="Arial" w:hAnsi="Arial"/>
                <w:sz w:val="13"/>
                <w:szCs w:val="13"/>
                <w:color w:val="auto"/>
                <w:w w:val="91"/>
              </w:rPr>
              <w:t>-</w:t>
            </w:r>
          </w:p>
        </w:tc>
        <w:tc>
          <w:tcPr>
            <w:tcW w:w="1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701</w:t>
            </w:r>
          </w:p>
        </w:tc>
        <w:tc>
          <w:tcPr>
            <w:tcW w:w="17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1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17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30" w:type="dxa"/>
            <w:vAlign w:val="bottom"/>
          </w:tcPr>
          <w:p>
            <w:pPr>
              <w:jc w:val="right"/>
              <w:ind w:right="56"/>
              <w:spacing w:after="0"/>
              <w:rPr>
                <w:sz w:val="20"/>
                <w:szCs w:val="20"/>
                <w:color w:val="auto"/>
              </w:rPr>
            </w:pPr>
            <w:r>
              <w:rPr>
                <w:rFonts w:ascii="Arial" w:cs="Arial" w:eastAsia="Arial" w:hAnsi="Arial"/>
                <w:sz w:val="13"/>
                <w:szCs w:val="13"/>
                <w:color w:val="auto"/>
              </w:rPr>
              <w:t>701</w:t>
            </w:r>
          </w:p>
        </w:tc>
        <w:tc>
          <w:tcPr>
            <w:tcW w:w="2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236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1-4 family residential</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133,942</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289</w:t>
            </w:r>
          </w:p>
        </w:tc>
        <w:tc>
          <w:tcPr>
            <w:tcW w:w="40" w:type="dxa"/>
            <w:vAlign w:val="bottom"/>
            <w:shd w:val="clear" w:color="auto" w:fill="CCEEFF"/>
          </w:tcPr>
          <w:p>
            <w:pPr>
              <w:spacing w:after="0"/>
              <w:rPr>
                <w:sz w:val="14"/>
                <w:szCs w:val="14"/>
                <w:color w:val="auto"/>
              </w:rPr>
            </w:pPr>
          </w:p>
        </w:tc>
        <w:tc>
          <w:tcPr>
            <w:tcW w:w="145" w:type="dxa"/>
            <w:vAlign w:val="bottom"/>
            <w:shd w:val="clear" w:color="auto" w:fill="CCEEFF"/>
          </w:tcPr>
          <w:p>
            <w:pPr>
              <w:spacing w:after="0"/>
              <w:rPr>
                <w:sz w:val="14"/>
                <w:szCs w:val="14"/>
                <w:color w:val="auto"/>
              </w:rPr>
            </w:pPr>
          </w:p>
        </w:tc>
        <w:tc>
          <w:tcPr>
            <w:tcW w:w="515"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134,231</w:t>
            </w:r>
          </w:p>
        </w:tc>
        <w:tc>
          <w:tcPr>
            <w:tcW w:w="6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71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1,190</w:t>
            </w:r>
          </w:p>
        </w:tc>
        <w:tc>
          <w:tcPr>
            <w:tcW w:w="4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73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135,421</w:t>
            </w:r>
          </w:p>
        </w:tc>
        <w:tc>
          <w:tcPr>
            <w:tcW w:w="20" w:type="dxa"/>
            <w:vAlign w:val="bottom"/>
            <w:shd w:val="clear" w:color="auto" w:fill="CCEEFF"/>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2360" w:type="dxa"/>
            <w:vAlign w:val="bottom"/>
            <w:tcBorders>
              <w:bottom w:val="single" w:sz="8" w:color="CCEEFF"/>
            </w:tcBorders>
            <w:gridSpan w:val="2"/>
          </w:tcPr>
          <w:p>
            <w:pPr>
              <w:ind w:left="80"/>
              <w:spacing w:after="0"/>
              <w:rPr>
                <w:sz w:val="20"/>
                <w:szCs w:val="20"/>
                <w:color w:val="auto"/>
              </w:rPr>
            </w:pPr>
            <w:r>
              <w:rPr>
                <w:rFonts w:ascii="Arial" w:cs="Arial" w:eastAsia="Arial" w:hAnsi="Arial"/>
                <w:sz w:val="13"/>
                <w:szCs w:val="13"/>
                <w:color w:val="auto"/>
              </w:rPr>
              <w:t>Condo residential</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64,243</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994</w:t>
            </w:r>
          </w:p>
        </w:tc>
        <w:tc>
          <w:tcPr>
            <w:tcW w:w="40" w:type="dxa"/>
            <w:vAlign w:val="bottom"/>
          </w:tcPr>
          <w:p>
            <w:pPr>
              <w:spacing w:after="0"/>
              <w:rPr>
                <w:sz w:val="14"/>
                <w:szCs w:val="14"/>
                <w:color w:val="auto"/>
              </w:rPr>
            </w:pPr>
          </w:p>
        </w:tc>
        <w:tc>
          <w:tcPr>
            <w:tcW w:w="145" w:type="dxa"/>
            <w:vAlign w:val="bottom"/>
            <w:tcBorders>
              <w:bottom w:val="single" w:sz="8" w:color="auto"/>
            </w:tcBorders>
          </w:tcPr>
          <w:p>
            <w:pPr>
              <w:spacing w:after="0"/>
              <w:rPr>
                <w:sz w:val="14"/>
                <w:szCs w:val="14"/>
                <w:color w:val="auto"/>
              </w:rPr>
            </w:pPr>
          </w:p>
        </w:tc>
        <w:tc>
          <w:tcPr>
            <w:tcW w:w="515"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65,237</w:t>
            </w:r>
          </w:p>
        </w:tc>
        <w:tc>
          <w:tcPr>
            <w:tcW w:w="60" w:type="dxa"/>
            <w:vAlign w:val="bottom"/>
          </w:tcPr>
          <w:p>
            <w:pPr>
              <w:spacing w:after="0"/>
              <w:rPr>
                <w:sz w:val="14"/>
                <w:szCs w:val="14"/>
                <w:color w:val="auto"/>
              </w:rPr>
            </w:pPr>
          </w:p>
        </w:tc>
        <w:tc>
          <w:tcPr>
            <w:tcW w:w="110" w:type="dxa"/>
            <w:vAlign w:val="bottom"/>
            <w:tcBorders>
              <w:bottom w:val="single" w:sz="8" w:color="auto"/>
            </w:tcBorders>
          </w:tcPr>
          <w:p>
            <w:pPr>
              <w:spacing w:after="0"/>
              <w:rPr>
                <w:sz w:val="14"/>
                <w:szCs w:val="14"/>
                <w:color w:val="auto"/>
              </w:rPr>
            </w:pPr>
          </w:p>
        </w:tc>
        <w:tc>
          <w:tcPr>
            <w:tcW w:w="71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30" w:type="dxa"/>
            <w:vAlign w:val="bottom"/>
            <w:tcBorders>
              <w:bottom w:val="single" w:sz="8" w:color="auto"/>
            </w:tcBorders>
          </w:tcPr>
          <w:p>
            <w:pPr>
              <w:spacing w:after="0"/>
              <w:rPr>
                <w:sz w:val="14"/>
                <w:szCs w:val="14"/>
                <w:color w:val="auto"/>
              </w:rPr>
            </w:pPr>
          </w:p>
        </w:tc>
        <w:tc>
          <w:tcPr>
            <w:tcW w:w="73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65,237</w:t>
            </w:r>
          </w:p>
        </w:tc>
        <w:tc>
          <w:tcPr>
            <w:tcW w:w="20" w:type="dxa"/>
            <w:vAlign w:val="bottom"/>
          </w:tcPr>
          <w:p>
            <w:pPr>
              <w:spacing w:after="0"/>
              <w:rPr>
                <w:sz w:val="14"/>
                <w:szCs w:val="14"/>
                <w:color w:val="auto"/>
              </w:rPr>
            </w:pPr>
          </w:p>
        </w:tc>
      </w:tr>
      <w:tr>
        <w:trPr>
          <w:trHeight w:val="151"/>
        </w:trPr>
        <w:tc>
          <w:tcPr>
            <w:tcW w:w="2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198,886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1,283</w:t>
            </w:r>
          </w:p>
        </w:tc>
        <w:tc>
          <w:tcPr>
            <w:tcW w:w="40" w:type="dxa"/>
            <w:vAlign w:val="bottom"/>
            <w:shd w:val="clear" w:color="auto" w:fill="CCEEFF"/>
          </w:tcPr>
          <w:p>
            <w:pPr>
              <w:spacing w:after="0"/>
              <w:rPr>
                <w:sz w:val="13"/>
                <w:szCs w:val="13"/>
                <w:color w:val="auto"/>
              </w:rPr>
            </w:pPr>
          </w:p>
        </w:tc>
        <w:tc>
          <w:tcPr>
            <w:tcW w:w="145" w:type="dxa"/>
            <w:vAlign w:val="bottom"/>
            <w:shd w:val="clear" w:color="auto" w:fill="CCEEFF"/>
          </w:tcPr>
          <w:p>
            <w:pPr>
              <w:spacing w:after="0"/>
              <w:rPr>
                <w:sz w:val="13"/>
                <w:szCs w:val="13"/>
                <w:color w:val="auto"/>
              </w:rPr>
            </w:pPr>
          </w:p>
        </w:tc>
        <w:tc>
          <w:tcPr>
            <w:tcW w:w="515"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200,169</w:t>
            </w:r>
          </w:p>
        </w:tc>
        <w:tc>
          <w:tcPr>
            <w:tcW w:w="6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71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1,190</w:t>
            </w:r>
          </w:p>
        </w:tc>
        <w:tc>
          <w:tcPr>
            <w:tcW w:w="40" w:type="dxa"/>
            <w:vAlign w:val="bottom"/>
            <w:shd w:val="clear" w:color="auto" w:fill="CCEEFF"/>
          </w:tcPr>
          <w:p>
            <w:pPr>
              <w:spacing w:after="0"/>
              <w:rPr>
                <w:sz w:val="13"/>
                <w:szCs w:val="13"/>
                <w:color w:val="auto"/>
              </w:rPr>
            </w:pPr>
          </w:p>
        </w:tc>
        <w:tc>
          <w:tcPr>
            <w:tcW w:w="130" w:type="dxa"/>
            <w:vAlign w:val="bottom"/>
            <w:shd w:val="clear" w:color="auto" w:fill="CCEEFF"/>
          </w:tcPr>
          <w:p>
            <w:pPr>
              <w:spacing w:after="0"/>
              <w:rPr>
                <w:sz w:val="13"/>
                <w:szCs w:val="13"/>
                <w:color w:val="auto"/>
              </w:rPr>
            </w:pPr>
          </w:p>
        </w:tc>
        <w:tc>
          <w:tcPr>
            <w:tcW w:w="73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201,359</w:t>
            </w:r>
          </w:p>
        </w:tc>
        <w:tc>
          <w:tcPr>
            <w:tcW w:w="20" w:type="dxa"/>
            <w:vAlign w:val="bottom"/>
            <w:shd w:val="clear" w:color="auto" w:fill="CCEEFF"/>
          </w:tcPr>
          <w:p>
            <w:pPr>
              <w:spacing w:after="0"/>
              <w:rPr>
                <w:sz w:val="13"/>
                <w:szCs w:val="13"/>
                <w:color w:val="auto"/>
              </w:rPr>
            </w:pPr>
          </w:p>
        </w:tc>
      </w:tr>
      <w:tr>
        <w:trPr>
          <w:trHeight w:val="171"/>
        </w:trPr>
        <w:tc>
          <w:tcPr>
            <w:tcW w:w="2380" w:type="dxa"/>
            <w:vAlign w:val="bottom"/>
            <w:gridSpan w:val="3"/>
          </w:tcPr>
          <w:p>
            <w:pPr>
              <w:spacing w:after="0"/>
              <w:rPr>
                <w:sz w:val="20"/>
                <w:szCs w:val="20"/>
                <w:color w:val="auto"/>
              </w:rPr>
            </w:pPr>
            <w:r>
              <w:rPr>
                <w:rFonts w:ascii="Arial" w:cs="Arial" w:eastAsia="Arial" w:hAnsi="Arial"/>
                <w:sz w:val="13"/>
                <w:szCs w:val="13"/>
                <w:color w:val="auto"/>
              </w:rPr>
              <w:t>Commercial real estate: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5" w:type="dxa"/>
            <w:vAlign w:val="bottom"/>
          </w:tcPr>
          <w:p>
            <w:pPr>
              <w:spacing w:after="0"/>
              <w:rPr>
                <w:sz w:val="14"/>
                <w:szCs w:val="14"/>
                <w:color w:val="auto"/>
              </w:rPr>
            </w:pPr>
          </w:p>
        </w:tc>
        <w:tc>
          <w:tcPr>
            <w:tcW w:w="515"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71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3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3"/>
                <w:szCs w:val="13"/>
                <w:color w:val="auto"/>
              </w:rPr>
              <w:t>Land and construction</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24,581</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45" w:type="dxa"/>
            <w:vAlign w:val="bottom"/>
            <w:shd w:val="clear" w:color="auto" w:fill="CCEEFF"/>
          </w:tcPr>
          <w:p>
            <w:pPr>
              <w:spacing w:after="0"/>
              <w:rPr>
                <w:sz w:val="14"/>
                <w:szCs w:val="14"/>
                <w:color w:val="auto"/>
              </w:rPr>
            </w:pPr>
          </w:p>
        </w:tc>
        <w:tc>
          <w:tcPr>
            <w:tcW w:w="515"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24,581</w:t>
            </w:r>
          </w:p>
        </w:tc>
        <w:tc>
          <w:tcPr>
            <w:tcW w:w="6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71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73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24,581</w:t>
            </w:r>
          </w:p>
        </w:tc>
        <w:tc>
          <w:tcPr>
            <w:tcW w:w="20" w:type="dxa"/>
            <w:vAlign w:val="bottom"/>
            <w:shd w:val="clear" w:color="auto" w:fill="CCEEFF"/>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2360" w:type="dxa"/>
            <w:vAlign w:val="bottom"/>
            <w:gridSpan w:val="2"/>
          </w:tcPr>
          <w:p>
            <w:pPr>
              <w:ind w:left="80"/>
              <w:spacing w:after="0"/>
              <w:rPr>
                <w:sz w:val="20"/>
                <w:szCs w:val="20"/>
                <w:color w:val="auto"/>
              </w:rPr>
            </w:pPr>
            <w:r>
              <w:rPr>
                <w:rFonts w:ascii="Arial" w:cs="Arial" w:eastAsia="Arial" w:hAnsi="Arial"/>
                <w:sz w:val="13"/>
                <w:szCs w:val="13"/>
                <w:color w:val="auto"/>
              </w:rPr>
              <w:t>Multi family residential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127,053</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436</w:t>
            </w:r>
          </w:p>
        </w:tc>
        <w:tc>
          <w:tcPr>
            <w:tcW w:w="40" w:type="dxa"/>
            <w:vAlign w:val="bottom"/>
          </w:tcPr>
          <w:p>
            <w:pPr>
              <w:spacing w:after="0"/>
              <w:rPr>
                <w:sz w:val="14"/>
                <w:szCs w:val="14"/>
                <w:color w:val="auto"/>
              </w:rPr>
            </w:pPr>
          </w:p>
        </w:tc>
        <w:tc>
          <w:tcPr>
            <w:tcW w:w="145" w:type="dxa"/>
            <w:vAlign w:val="bottom"/>
          </w:tcPr>
          <w:p>
            <w:pPr>
              <w:spacing w:after="0"/>
              <w:rPr>
                <w:sz w:val="14"/>
                <w:szCs w:val="14"/>
                <w:color w:val="auto"/>
              </w:rPr>
            </w:pPr>
          </w:p>
        </w:tc>
        <w:tc>
          <w:tcPr>
            <w:tcW w:w="515" w:type="dxa"/>
            <w:vAlign w:val="bottom"/>
          </w:tcPr>
          <w:p>
            <w:pPr>
              <w:spacing w:after="0"/>
              <w:rPr>
                <w:sz w:val="14"/>
                <w:szCs w:val="14"/>
                <w:color w:val="auto"/>
              </w:rPr>
            </w:pPr>
          </w:p>
        </w:tc>
        <w:tc>
          <w:tcPr>
            <w:tcW w:w="180" w:type="dxa"/>
            <w:vAlign w:val="bottom"/>
          </w:tcPr>
          <w:p>
            <w:pPr>
              <w:jc w:val="right"/>
              <w:ind w:right="56"/>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127,489</w:t>
            </w:r>
          </w:p>
        </w:tc>
        <w:tc>
          <w:tcPr>
            <w:tcW w:w="6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71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30" w:type="dxa"/>
            <w:vAlign w:val="bottom"/>
          </w:tcPr>
          <w:p>
            <w:pPr>
              <w:jc w:val="right"/>
              <w:ind w:right="36"/>
              <w:spacing w:after="0"/>
              <w:rPr>
                <w:sz w:val="20"/>
                <w:szCs w:val="20"/>
                <w:color w:val="auto"/>
              </w:rPr>
            </w:pPr>
            <w:r>
              <w:rPr>
                <w:rFonts w:ascii="Arial" w:cs="Arial" w:eastAsia="Arial" w:hAnsi="Arial"/>
                <w:sz w:val="13"/>
                <w:szCs w:val="13"/>
                <w:color w:val="auto"/>
              </w:rPr>
              <w:t>127,489</w:t>
            </w:r>
          </w:p>
        </w:tc>
        <w:tc>
          <w:tcPr>
            <w:tcW w:w="2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3"/>
                <w:szCs w:val="13"/>
                <w:color w:val="auto"/>
              </w:rPr>
              <w:t>Condo commercial</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42,400</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45" w:type="dxa"/>
            <w:vAlign w:val="bottom"/>
            <w:shd w:val="clear" w:color="auto" w:fill="CCEEFF"/>
          </w:tcPr>
          <w:p>
            <w:pPr>
              <w:spacing w:after="0"/>
              <w:rPr>
                <w:sz w:val="14"/>
                <w:szCs w:val="14"/>
                <w:color w:val="auto"/>
              </w:rPr>
            </w:pPr>
          </w:p>
        </w:tc>
        <w:tc>
          <w:tcPr>
            <w:tcW w:w="515"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42,400</w:t>
            </w:r>
          </w:p>
        </w:tc>
        <w:tc>
          <w:tcPr>
            <w:tcW w:w="6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71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73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42,400</w:t>
            </w:r>
          </w:p>
        </w:tc>
        <w:tc>
          <w:tcPr>
            <w:tcW w:w="20" w:type="dxa"/>
            <w:vAlign w:val="bottom"/>
            <w:shd w:val="clear" w:color="auto" w:fill="CCEEFF"/>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2360" w:type="dxa"/>
            <w:vAlign w:val="bottom"/>
            <w:gridSpan w:val="2"/>
          </w:tcPr>
          <w:p>
            <w:pPr>
              <w:ind w:left="80"/>
              <w:spacing w:after="0"/>
              <w:rPr>
                <w:sz w:val="20"/>
                <w:szCs w:val="20"/>
                <w:color w:val="auto"/>
              </w:rPr>
            </w:pPr>
            <w:r>
              <w:rPr>
                <w:rFonts w:ascii="Arial" w:cs="Arial" w:eastAsia="Arial" w:hAnsi="Arial"/>
                <w:sz w:val="13"/>
                <w:szCs w:val="13"/>
                <w:color w:val="auto"/>
              </w:rPr>
              <w:t>Commercial property</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510,411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45" w:type="dxa"/>
            <w:vAlign w:val="bottom"/>
          </w:tcPr>
          <w:p>
            <w:pPr>
              <w:spacing w:after="0"/>
              <w:rPr>
                <w:sz w:val="14"/>
                <w:szCs w:val="14"/>
                <w:color w:val="auto"/>
              </w:rPr>
            </w:pPr>
          </w:p>
        </w:tc>
        <w:tc>
          <w:tcPr>
            <w:tcW w:w="515" w:type="dxa"/>
            <w:vAlign w:val="bottom"/>
          </w:tcPr>
          <w:p>
            <w:pPr>
              <w:spacing w:after="0"/>
              <w:rPr>
                <w:sz w:val="14"/>
                <w:szCs w:val="14"/>
                <w:color w:val="auto"/>
              </w:rPr>
            </w:pPr>
          </w:p>
        </w:tc>
        <w:tc>
          <w:tcPr>
            <w:tcW w:w="180" w:type="dxa"/>
            <w:vAlign w:val="bottom"/>
          </w:tcPr>
          <w:p>
            <w:pPr>
              <w:jc w:val="right"/>
              <w:ind w:right="56"/>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510,411</w:t>
            </w:r>
          </w:p>
        </w:tc>
        <w:tc>
          <w:tcPr>
            <w:tcW w:w="6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71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30" w:type="dxa"/>
            <w:vAlign w:val="bottom"/>
          </w:tcPr>
          <w:p>
            <w:pPr>
              <w:jc w:val="right"/>
              <w:ind w:right="36"/>
              <w:spacing w:after="0"/>
              <w:rPr>
                <w:sz w:val="20"/>
                <w:szCs w:val="20"/>
                <w:color w:val="auto"/>
              </w:rPr>
            </w:pPr>
            <w:r>
              <w:rPr>
                <w:rFonts w:ascii="Arial" w:cs="Arial" w:eastAsia="Arial" w:hAnsi="Arial"/>
                <w:sz w:val="13"/>
                <w:szCs w:val="13"/>
                <w:color w:val="auto"/>
              </w:rPr>
              <w:t>510,411</w:t>
            </w:r>
          </w:p>
        </w:tc>
        <w:tc>
          <w:tcPr>
            <w:tcW w:w="2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3"/>
                <w:szCs w:val="13"/>
                <w:color w:val="auto"/>
              </w:rPr>
              <w:t>Leasehold improvements</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107</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45" w:type="dxa"/>
            <w:vAlign w:val="bottom"/>
            <w:tcBorders>
              <w:bottom w:val="single" w:sz="8" w:color="auto"/>
            </w:tcBorders>
            <w:shd w:val="clear" w:color="auto" w:fill="CCEEFF"/>
          </w:tcPr>
          <w:p>
            <w:pPr>
              <w:spacing w:after="0"/>
              <w:rPr>
                <w:sz w:val="14"/>
                <w:szCs w:val="14"/>
                <w:color w:val="auto"/>
              </w:rPr>
            </w:pPr>
          </w:p>
        </w:tc>
        <w:tc>
          <w:tcPr>
            <w:tcW w:w="515"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107</w:t>
            </w:r>
          </w:p>
        </w:tc>
        <w:tc>
          <w:tcPr>
            <w:tcW w:w="60" w:type="dxa"/>
            <w:vAlign w:val="bottom"/>
            <w:shd w:val="clear" w:color="auto" w:fill="CCEEFF"/>
          </w:tcPr>
          <w:p>
            <w:pPr>
              <w:spacing w:after="0"/>
              <w:rPr>
                <w:sz w:val="14"/>
                <w:szCs w:val="14"/>
                <w:color w:val="auto"/>
              </w:rPr>
            </w:pPr>
          </w:p>
        </w:tc>
        <w:tc>
          <w:tcPr>
            <w:tcW w:w="110" w:type="dxa"/>
            <w:vAlign w:val="bottom"/>
            <w:tcBorders>
              <w:bottom w:val="single" w:sz="8" w:color="auto"/>
            </w:tcBorders>
            <w:shd w:val="clear" w:color="auto" w:fill="CCEEFF"/>
          </w:tcPr>
          <w:p>
            <w:pPr>
              <w:spacing w:after="0"/>
              <w:rPr>
                <w:sz w:val="14"/>
                <w:szCs w:val="14"/>
                <w:color w:val="auto"/>
              </w:rPr>
            </w:pPr>
          </w:p>
        </w:tc>
        <w:tc>
          <w:tcPr>
            <w:tcW w:w="71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30" w:type="dxa"/>
            <w:vAlign w:val="bottom"/>
            <w:tcBorders>
              <w:bottom w:val="single" w:sz="8" w:color="auto"/>
            </w:tcBorders>
            <w:shd w:val="clear" w:color="auto" w:fill="CCEEFF"/>
          </w:tcPr>
          <w:p>
            <w:pPr>
              <w:spacing w:after="0"/>
              <w:rPr>
                <w:sz w:val="14"/>
                <w:szCs w:val="14"/>
                <w:color w:val="auto"/>
              </w:rPr>
            </w:pPr>
          </w:p>
        </w:tc>
        <w:tc>
          <w:tcPr>
            <w:tcW w:w="73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107</w:t>
            </w:r>
          </w:p>
        </w:tc>
        <w:tc>
          <w:tcPr>
            <w:tcW w:w="20" w:type="dxa"/>
            <w:vAlign w:val="bottom"/>
            <w:shd w:val="clear" w:color="auto" w:fill="CCEEFF"/>
          </w:tcPr>
          <w:p>
            <w:pPr>
              <w:spacing w:after="0"/>
              <w:rPr>
                <w:sz w:val="14"/>
                <w:szCs w:val="14"/>
                <w:color w:val="auto"/>
              </w:rPr>
            </w:pPr>
          </w:p>
        </w:tc>
      </w:tr>
      <w:tr>
        <w:trPr>
          <w:trHeight w:val="151"/>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704,552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436</w:t>
            </w:r>
          </w:p>
        </w:tc>
        <w:tc>
          <w:tcPr>
            <w:tcW w:w="40" w:type="dxa"/>
            <w:vAlign w:val="bottom"/>
          </w:tcPr>
          <w:p>
            <w:pPr>
              <w:spacing w:after="0"/>
              <w:rPr>
                <w:sz w:val="13"/>
                <w:szCs w:val="13"/>
                <w:color w:val="auto"/>
              </w:rPr>
            </w:pPr>
          </w:p>
        </w:tc>
        <w:tc>
          <w:tcPr>
            <w:tcW w:w="145" w:type="dxa"/>
            <w:vAlign w:val="bottom"/>
          </w:tcPr>
          <w:p>
            <w:pPr>
              <w:spacing w:after="0"/>
              <w:rPr>
                <w:sz w:val="13"/>
                <w:szCs w:val="13"/>
                <w:color w:val="auto"/>
              </w:rPr>
            </w:pPr>
          </w:p>
        </w:tc>
        <w:tc>
          <w:tcPr>
            <w:tcW w:w="515" w:type="dxa"/>
            <w:vAlign w:val="bottom"/>
          </w:tcPr>
          <w:p>
            <w:pPr>
              <w:spacing w:after="0"/>
              <w:rPr>
                <w:sz w:val="13"/>
                <w:szCs w:val="13"/>
                <w:color w:val="auto"/>
              </w:rPr>
            </w:pPr>
          </w:p>
        </w:tc>
        <w:tc>
          <w:tcPr>
            <w:tcW w:w="180" w:type="dxa"/>
            <w:vAlign w:val="bottom"/>
          </w:tcPr>
          <w:p>
            <w:pPr>
              <w:jc w:val="right"/>
              <w:ind w:right="56"/>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704,988</w:t>
            </w:r>
          </w:p>
        </w:tc>
        <w:tc>
          <w:tcPr>
            <w:tcW w:w="6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71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730" w:type="dxa"/>
            <w:vAlign w:val="bottom"/>
          </w:tcPr>
          <w:p>
            <w:pPr>
              <w:jc w:val="right"/>
              <w:ind w:right="36"/>
              <w:spacing w:after="0"/>
              <w:rPr>
                <w:sz w:val="20"/>
                <w:szCs w:val="20"/>
                <w:color w:val="auto"/>
              </w:rPr>
            </w:pPr>
            <w:r>
              <w:rPr>
                <w:rFonts w:ascii="Arial" w:cs="Arial" w:eastAsia="Arial" w:hAnsi="Arial"/>
                <w:sz w:val="13"/>
                <w:szCs w:val="13"/>
                <w:color w:val="auto"/>
              </w:rPr>
              <w:t>704,988</w:t>
            </w:r>
          </w:p>
        </w:tc>
        <w:tc>
          <w:tcPr>
            <w:tcW w:w="20" w:type="dxa"/>
            <w:vAlign w:val="bottom"/>
          </w:tcPr>
          <w:p>
            <w:pPr>
              <w:spacing w:after="0"/>
              <w:rPr>
                <w:sz w:val="13"/>
                <w:szCs w:val="13"/>
                <w:color w:val="auto"/>
              </w:rPr>
            </w:pPr>
          </w:p>
        </w:tc>
      </w:tr>
      <w:tr>
        <w:trPr>
          <w:trHeight w:val="171"/>
        </w:trPr>
        <w:tc>
          <w:tcPr>
            <w:tcW w:w="20" w:type="dxa"/>
            <w:vAlign w:val="bottom"/>
          </w:tcPr>
          <w:p>
            <w:pPr>
              <w:spacing w:after="0"/>
              <w:rPr>
                <w:sz w:val="14"/>
                <w:szCs w:val="14"/>
                <w:color w:val="auto"/>
              </w:rPr>
            </w:pPr>
          </w:p>
        </w:tc>
        <w:tc>
          <w:tcPr>
            <w:tcW w:w="23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Commercial and industrial:</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5" w:type="dxa"/>
            <w:vAlign w:val="bottom"/>
            <w:shd w:val="clear" w:color="auto" w:fill="CCEEFF"/>
          </w:tcPr>
          <w:p>
            <w:pPr>
              <w:spacing w:after="0"/>
              <w:rPr>
                <w:sz w:val="14"/>
                <w:szCs w:val="14"/>
                <w:color w:val="auto"/>
              </w:rPr>
            </w:pPr>
          </w:p>
        </w:tc>
        <w:tc>
          <w:tcPr>
            <w:tcW w:w="515"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71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73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2360" w:type="dxa"/>
            <w:vAlign w:val="bottom"/>
            <w:gridSpan w:val="2"/>
          </w:tcPr>
          <w:p>
            <w:pPr>
              <w:ind w:left="80"/>
              <w:spacing w:after="0"/>
              <w:rPr>
                <w:sz w:val="20"/>
                <w:szCs w:val="20"/>
                <w:color w:val="auto"/>
              </w:rPr>
            </w:pPr>
            <w:r>
              <w:rPr>
                <w:rFonts w:ascii="Arial" w:cs="Arial" w:eastAsia="Arial" w:hAnsi="Arial"/>
                <w:sz w:val="13"/>
                <w:szCs w:val="13"/>
                <w:color w:val="auto"/>
              </w:rPr>
              <w:t>Secured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98,141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45" w:type="dxa"/>
            <w:vAlign w:val="bottom"/>
          </w:tcPr>
          <w:p>
            <w:pPr>
              <w:spacing w:after="0"/>
              <w:rPr>
                <w:sz w:val="14"/>
                <w:szCs w:val="14"/>
                <w:color w:val="auto"/>
              </w:rPr>
            </w:pPr>
          </w:p>
        </w:tc>
        <w:tc>
          <w:tcPr>
            <w:tcW w:w="515" w:type="dxa"/>
            <w:vAlign w:val="bottom"/>
          </w:tcPr>
          <w:p>
            <w:pPr>
              <w:spacing w:after="0"/>
              <w:rPr>
                <w:sz w:val="14"/>
                <w:szCs w:val="14"/>
                <w:color w:val="auto"/>
              </w:rPr>
            </w:pPr>
          </w:p>
        </w:tc>
        <w:tc>
          <w:tcPr>
            <w:tcW w:w="180" w:type="dxa"/>
            <w:vAlign w:val="bottom"/>
          </w:tcPr>
          <w:p>
            <w:pPr>
              <w:jc w:val="right"/>
              <w:ind w:right="56"/>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98,141</w:t>
            </w:r>
          </w:p>
        </w:tc>
        <w:tc>
          <w:tcPr>
            <w:tcW w:w="6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71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30" w:type="dxa"/>
            <w:vAlign w:val="bottom"/>
          </w:tcPr>
          <w:p>
            <w:pPr>
              <w:jc w:val="right"/>
              <w:ind w:right="36"/>
              <w:spacing w:after="0"/>
              <w:rPr>
                <w:sz w:val="20"/>
                <w:szCs w:val="20"/>
                <w:color w:val="auto"/>
              </w:rPr>
            </w:pPr>
            <w:r>
              <w:rPr>
                <w:rFonts w:ascii="Arial" w:cs="Arial" w:eastAsia="Arial" w:hAnsi="Arial"/>
                <w:sz w:val="13"/>
                <w:szCs w:val="13"/>
                <w:color w:val="auto"/>
              </w:rPr>
              <w:t>98,141</w:t>
            </w:r>
          </w:p>
        </w:tc>
        <w:tc>
          <w:tcPr>
            <w:tcW w:w="2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3"/>
                <w:szCs w:val="13"/>
                <w:color w:val="auto"/>
              </w:rPr>
              <w:t>Unsecured</w:t>
            </w: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48,041</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410</w:t>
            </w:r>
          </w:p>
        </w:tc>
        <w:tc>
          <w:tcPr>
            <w:tcW w:w="40" w:type="dxa"/>
            <w:vAlign w:val="bottom"/>
            <w:shd w:val="clear" w:color="auto" w:fill="CCEEFF"/>
          </w:tcPr>
          <w:p>
            <w:pPr>
              <w:spacing w:after="0"/>
              <w:rPr>
                <w:sz w:val="14"/>
                <w:szCs w:val="14"/>
                <w:color w:val="auto"/>
              </w:rPr>
            </w:pPr>
          </w:p>
        </w:tc>
        <w:tc>
          <w:tcPr>
            <w:tcW w:w="145" w:type="dxa"/>
            <w:vAlign w:val="bottom"/>
            <w:tcBorders>
              <w:bottom w:val="single" w:sz="8" w:color="auto"/>
            </w:tcBorders>
            <w:shd w:val="clear" w:color="auto" w:fill="CCEEFF"/>
          </w:tcPr>
          <w:p>
            <w:pPr>
              <w:spacing w:after="0"/>
              <w:rPr>
                <w:sz w:val="14"/>
                <w:szCs w:val="14"/>
                <w:color w:val="auto"/>
              </w:rPr>
            </w:pPr>
          </w:p>
        </w:tc>
        <w:tc>
          <w:tcPr>
            <w:tcW w:w="515"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48,451</w:t>
            </w:r>
          </w:p>
        </w:tc>
        <w:tc>
          <w:tcPr>
            <w:tcW w:w="60" w:type="dxa"/>
            <w:vAlign w:val="bottom"/>
            <w:shd w:val="clear" w:color="auto" w:fill="CCEEFF"/>
          </w:tcPr>
          <w:p>
            <w:pPr>
              <w:spacing w:after="0"/>
              <w:rPr>
                <w:sz w:val="14"/>
                <w:szCs w:val="14"/>
                <w:color w:val="auto"/>
              </w:rPr>
            </w:pPr>
          </w:p>
        </w:tc>
        <w:tc>
          <w:tcPr>
            <w:tcW w:w="110" w:type="dxa"/>
            <w:vAlign w:val="bottom"/>
            <w:tcBorders>
              <w:bottom w:val="single" w:sz="8" w:color="auto"/>
            </w:tcBorders>
            <w:shd w:val="clear" w:color="auto" w:fill="CCEEFF"/>
          </w:tcPr>
          <w:p>
            <w:pPr>
              <w:spacing w:after="0"/>
              <w:rPr>
                <w:sz w:val="14"/>
                <w:szCs w:val="14"/>
                <w:color w:val="auto"/>
              </w:rPr>
            </w:pPr>
          </w:p>
        </w:tc>
        <w:tc>
          <w:tcPr>
            <w:tcW w:w="71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30" w:type="dxa"/>
            <w:vAlign w:val="bottom"/>
            <w:tcBorders>
              <w:bottom w:val="single" w:sz="8" w:color="auto"/>
            </w:tcBorders>
            <w:shd w:val="clear" w:color="auto" w:fill="CCEEFF"/>
          </w:tcPr>
          <w:p>
            <w:pPr>
              <w:spacing w:after="0"/>
              <w:rPr>
                <w:sz w:val="14"/>
                <w:szCs w:val="14"/>
                <w:color w:val="auto"/>
              </w:rPr>
            </w:pPr>
          </w:p>
        </w:tc>
        <w:tc>
          <w:tcPr>
            <w:tcW w:w="73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48,451</w:t>
            </w:r>
          </w:p>
        </w:tc>
        <w:tc>
          <w:tcPr>
            <w:tcW w:w="20" w:type="dxa"/>
            <w:vAlign w:val="bottom"/>
            <w:shd w:val="clear" w:color="auto" w:fill="CCEEFF"/>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146,182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410</w:t>
            </w:r>
          </w:p>
        </w:tc>
        <w:tc>
          <w:tcPr>
            <w:tcW w:w="40" w:type="dxa"/>
            <w:vAlign w:val="bottom"/>
          </w:tcPr>
          <w:p>
            <w:pPr>
              <w:spacing w:after="0"/>
              <w:rPr>
                <w:sz w:val="13"/>
                <w:szCs w:val="13"/>
                <w:color w:val="auto"/>
              </w:rPr>
            </w:pPr>
          </w:p>
        </w:tc>
        <w:tc>
          <w:tcPr>
            <w:tcW w:w="145" w:type="dxa"/>
            <w:vAlign w:val="bottom"/>
          </w:tcPr>
          <w:p>
            <w:pPr>
              <w:spacing w:after="0"/>
              <w:rPr>
                <w:sz w:val="13"/>
                <w:szCs w:val="13"/>
                <w:color w:val="auto"/>
              </w:rPr>
            </w:pPr>
          </w:p>
        </w:tc>
        <w:tc>
          <w:tcPr>
            <w:tcW w:w="515" w:type="dxa"/>
            <w:vAlign w:val="bottom"/>
          </w:tcPr>
          <w:p>
            <w:pPr>
              <w:spacing w:after="0"/>
              <w:rPr>
                <w:sz w:val="13"/>
                <w:szCs w:val="13"/>
                <w:color w:val="auto"/>
              </w:rPr>
            </w:pPr>
          </w:p>
        </w:tc>
        <w:tc>
          <w:tcPr>
            <w:tcW w:w="180" w:type="dxa"/>
            <w:vAlign w:val="bottom"/>
          </w:tcPr>
          <w:p>
            <w:pPr>
              <w:jc w:val="right"/>
              <w:ind w:right="56"/>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146,592</w:t>
            </w:r>
          </w:p>
        </w:tc>
        <w:tc>
          <w:tcPr>
            <w:tcW w:w="6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71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730" w:type="dxa"/>
            <w:vAlign w:val="bottom"/>
          </w:tcPr>
          <w:p>
            <w:pPr>
              <w:jc w:val="right"/>
              <w:ind w:right="36"/>
              <w:spacing w:after="0"/>
              <w:rPr>
                <w:sz w:val="20"/>
                <w:szCs w:val="20"/>
                <w:color w:val="auto"/>
              </w:rPr>
            </w:pPr>
            <w:r>
              <w:rPr>
                <w:rFonts w:ascii="Arial" w:cs="Arial" w:eastAsia="Arial" w:hAnsi="Arial"/>
                <w:sz w:val="13"/>
                <w:szCs w:val="13"/>
                <w:color w:val="auto"/>
              </w:rPr>
              <w:t>146,592</w:t>
            </w:r>
          </w:p>
        </w:tc>
        <w:tc>
          <w:tcPr>
            <w:tcW w:w="20" w:type="dxa"/>
            <w:vAlign w:val="bottom"/>
          </w:tcPr>
          <w:p>
            <w:pPr>
              <w:spacing w:after="0"/>
              <w:rPr>
                <w:sz w:val="13"/>
                <w:szCs w:val="13"/>
                <w:color w:val="auto"/>
              </w:rPr>
            </w:pPr>
          </w:p>
        </w:tc>
      </w:tr>
      <w:tr>
        <w:trPr>
          <w:trHeight w:val="171"/>
        </w:trPr>
        <w:tc>
          <w:tcPr>
            <w:tcW w:w="2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5" w:type="dxa"/>
            <w:vAlign w:val="bottom"/>
            <w:shd w:val="clear" w:color="auto" w:fill="CCEEFF"/>
          </w:tcPr>
          <w:p>
            <w:pPr>
              <w:spacing w:after="0"/>
              <w:rPr>
                <w:sz w:val="14"/>
                <w:szCs w:val="14"/>
                <w:color w:val="auto"/>
              </w:rPr>
            </w:pPr>
          </w:p>
        </w:tc>
        <w:tc>
          <w:tcPr>
            <w:tcW w:w="515"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71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73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2380" w:type="dxa"/>
            <w:vAlign w:val="bottom"/>
            <w:gridSpan w:val="3"/>
          </w:tcPr>
          <w:p>
            <w:pPr>
              <w:spacing w:after="0"/>
              <w:rPr>
                <w:sz w:val="20"/>
                <w:szCs w:val="20"/>
                <w:color w:val="auto"/>
              </w:rPr>
            </w:pPr>
            <w:r>
              <w:rPr>
                <w:rFonts w:ascii="Arial" w:cs="Arial" w:eastAsia="Arial" w:hAnsi="Arial"/>
                <w:sz w:val="13"/>
                <w:szCs w:val="13"/>
                <w:color w:val="auto"/>
              </w:rPr>
              <w:t>Foreign banks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59,491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45" w:type="dxa"/>
            <w:vAlign w:val="bottom"/>
          </w:tcPr>
          <w:p>
            <w:pPr>
              <w:spacing w:after="0"/>
              <w:rPr>
                <w:sz w:val="14"/>
                <w:szCs w:val="14"/>
                <w:color w:val="auto"/>
              </w:rPr>
            </w:pPr>
          </w:p>
        </w:tc>
        <w:tc>
          <w:tcPr>
            <w:tcW w:w="515" w:type="dxa"/>
            <w:vAlign w:val="bottom"/>
          </w:tcPr>
          <w:p>
            <w:pPr>
              <w:spacing w:after="0"/>
              <w:rPr>
                <w:sz w:val="14"/>
                <w:szCs w:val="14"/>
                <w:color w:val="auto"/>
              </w:rPr>
            </w:pPr>
          </w:p>
        </w:tc>
        <w:tc>
          <w:tcPr>
            <w:tcW w:w="180" w:type="dxa"/>
            <w:vAlign w:val="bottom"/>
          </w:tcPr>
          <w:p>
            <w:pPr>
              <w:jc w:val="right"/>
              <w:ind w:right="56"/>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36"/>
              <w:spacing w:after="0"/>
              <w:rPr>
                <w:sz w:val="20"/>
                <w:szCs w:val="20"/>
                <w:color w:val="auto"/>
              </w:rPr>
            </w:pPr>
            <w:r>
              <w:rPr>
                <w:rFonts w:ascii="Arial" w:cs="Arial" w:eastAsia="Arial" w:hAnsi="Arial"/>
                <w:sz w:val="13"/>
                <w:szCs w:val="13"/>
                <w:color w:val="auto"/>
              </w:rPr>
              <w:t>59,491</w:t>
            </w:r>
          </w:p>
        </w:tc>
        <w:tc>
          <w:tcPr>
            <w:tcW w:w="6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71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30" w:type="dxa"/>
            <w:vAlign w:val="bottom"/>
          </w:tcPr>
          <w:p>
            <w:pPr>
              <w:jc w:val="right"/>
              <w:ind w:right="36"/>
              <w:spacing w:after="0"/>
              <w:rPr>
                <w:sz w:val="20"/>
                <w:szCs w:val="20"/>
                <w:color w:val="auto"/>
              </w:rPr>
            </w:pPr>
            <w:r>
              <w:rPr>
                <w:rFonts w:ascii="Arial" w:cs="Arial" w:eastAsia="Arial" w:hAnsi="Arial"/>
                <w:sz w:val="13"/>
                <w:szCs w:val="13"/>
                <w:color w:val="auto"/>
              </w:rPr>
              <w:t>59,491</w:t>
            </w:r>
          </w:p>
        </w:tc>
        <w:tc>
          <w:tcPr>
            <w:tcW w:w="2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23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Consumer and other</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78,969</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260</w:t>
            </w:r>
          </w:p>
        </w:tc>
        <w:tc>
          <w:tcPr>
            <w:tcW w:w="40" w:type="dxa"/>
            <w:vAlign w:val="bottom"/>
            <w:shd w:val="clear" w:color="auto" w:fill="CCEEFF"/>
          </w:tcPr>
          <w:p>
            <w:pPr>
              <w:spacing w:after="0"/>
              <w:rPr>
                <w:sz w:val="14"/>
                <w:szCs w:val="14"/>
                <w:color w:val="auto"/>
              </w:rPr>
            </w:pPr>
          </w:p>
        </w:tc>
        <w:tc>
          <w:tcPr>
            <w:tcW w:w="145" w:type="dxa"/>
            <w:vAlign w:val="bottom"/>
            <w:shd w:val="clear" w:color="auto" w:fill="CCEEFF"/>
          </w:tcPr>
          <w:p>
            <w:pPr>
              <w:spacing w:after="0"/>
              <w:rPr>
                <w:sz w:val="14"/>
                <w:szCs w:val="14"/>
                <w:color w:val="auto"/>
              </w:rPr>
            </w:pPr>
          </w:p>
        </w:tc>
        <w:tc>
          <w:tcPr>
            <w:tcW w:w="515"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79,229</w:t>
            </w:r>
          </w:p>
        </w:tc>
        <w:tc>
          <w:tcPr>
            <w:tcW w:w="6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71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73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79,229</w:t>
            </w:r>
          </w:p>
        </w:tc>
        <w:tc>
          <w:tcPr>
            <w:tcW w:w="20" w:type="dxa"/>
            <w:vAlign w:val="bottom"/>
            <w:shd w:val="clear" w:color="auto" w:fill="CCEEFF"/>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2360" w:type="dxa"/>
            <w:vAlign w:val="bottom"/>
            <w:tcBorders>
              <w:bottom w:val="single" w:sz="8" w:color="CCEEFF"/>
            </w:tcBorders>
            <w:gridSpan w:val="2"/>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gridSpan w:val="2"/>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45" w:type="dxa"/>
            <w:vAlign w:val="bottom"/>
            <w:tcBorders>
              <w:bottom w:val="single" w:sz="8" w:color="auto"/>
            </w:tcBorders>
          </w:tcPr>
          <w:p>
            <w:pPr>
              <w:spacing w:after="0"/>
              <w:rPr>
                <w:sz w:val="14"/>
                <w:szCs w:val="14"/>
                <w:color w:val="auto"/>
              </w:rPr>
            </w:pPr>
          </w:p>
        </w:tc>
        <w:tc>
          <w:tcPr>
            <w:tcW w:w="515"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10" w:type="dxa"/>
            <w:vAlign w:val="bottom"/>
            <w:tcBorders>
              <w:bottom w:val="single" w:sz="8" w:color="auto"/>
            </w:tcBorders>
          </w:tcPr>
          <w:p>
            <w:pPr>
              <w:spacing w:after="0"/>
              <w:rPr>
                <w:sz w:val="14"/>
                <w:szCs w:val="14"/>
                <w:color w:val="auto"/>
              </w:rPr>
            </w:pPr>
          </w:p>
        </w:tc>
        <w:tc>
          <w:tcPr>
            <w:tcW w:w="71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30" w:type="dxa"/>
            <w:vAlign w:val="bottom"/>
            <w:tcBorders>
              <w:bottom w:val="single" w:sz="8" w:color="auto"/>
            </w:tcBorders>
          </w:tcPr>
          <w:p>
            <w:pPr>
              <w:spacing w:after="0"/>
              <w:rPr>
                <w:sz w:val="14"/>
                <w:szCs w:val="14"/>
                <w:color w:val="auto"/>
              </w:rPr>
            </w:pPr>
          </w:p>
        </w:tc>
        <w:tc>
          <w:tcPr>
            <w:tcW w:w="73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shd w:val="clear" w:color="auto" w:fill="CCEEFF"/>
              </w:rPr>
              <w:t>1,188,080</w:t>
            </w:r>
          </w:p>
        </w:tc>
        <w:tc>
          <w:tcPr>
            <w:tcW w:w="1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2,389</w:t>
            </w:r>
          </w:p>
        </w:tc>
        <w:tc>
          <w:tcPr>
            <w:tcW w:w="185" w:type="dxa"/>
            <w:vAlign w:val="bottom"/>
            <w:gridSpan w:val="2"/>
            <w:shd w:val="clear" w:color="auto" w:fill="CCEEFF"/>
          </w:tcPr>
          <w:p>
            <w:pPr>
              <w:jc w:val="right"/>
              <w:ind w:right="21"/>
              <w:spacing w:after="0"/>
              <w:rPr>
                <w:sz w:val="20"/>
                <w:szCs w:val="20"/>
                <w:color w:val="auto"/>
              </w:rPr>
            </w:pPr>
            <w:r>
              <w:rPr>
                <w:rFonts w:ascii="Arial" w:cs="Arial" w:eastAsia="Arial" w:hAnsi="Arial"/>
                <w:sz w:val="13"/>
                <w:szCs w:val="13"/>
                <w:color w:val="auto"/>
              </w:rPr>
              <w:t>$</w:t>
            </w:r>
          </w:p>
        </w:tc>
        <w:tc>
          <w:tcPr>
            <w:tcW w:w="515"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91"/>
              </w:rPr>
              <w:t>-</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shd w:val="clear" w:color="auto" w:fill="CCEEFF"/>
              </w:rPr>
              <w:t>1,190,469</w:t>
            </w:r>
          </w:p>
        </w:tc>
        <w:tc>
          <w:tcPr>
            <w:tcW w:w="17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1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1,190</w:t>
            </w:r>
          </w:p>
        </w:tc>
        <w:tc>
          <w:tcPr>
            <w:tcW w:w="17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3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shd w:val="clear" w:color="auto" w:fill="CCEEFF"/>
              </w:rPr>
              <w:t>1,191,659</w:t>
            </w:r>
          </w:p>
        </w:tc>
        <w:tc>
          <w:tcPr>
            <w:tcW w:w="20" w:type="dxa"/>
            <w:vAlign w:val="bottom"/>
            <w:shd w:val="clear" w:color="auto" w:fill="CCEEFF"/>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5" w:type="dxa"/>
            <w:vAlign w:val="bottom"/>
            <w:tcBorders>
              <w:bottom w:val="single" w:sz="8" w:color="auto"/>
            </w:tcBorders>
          </w:tcPr>
          <w:p>
            <w:pPr>
              <w:spacing w:after="0" w:line="20" w:lineRule="exact"/>
              <w:rPr>
                <w:sz w:val="1"/>
                <w:szCs w:val="1"/>
                <w:color w:val="auto"/>
              </w:rPr>
            </w:pPr>
          </w:p>
        </w:tc>
        <w:tc>
          <w:tcPr>
            <w:tcW w:w="515"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71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 w:type="dxa"/>
            <w:vAlign w:val="bottom"/>
            <w:tcBorders>
              <w:bottom w:val="single" w:sz="8" w:color="auto"/>
            </w:tcBorders>
          </w:tcPr>
          <w:p>
            <w:pPr>
              <w:spacing w:after="0" w:line="20" w:lineRule="exact"/>
              <w:rPr>
                <w:sz w:val="1"/>
                <w:szCs w:val="1"/>
                <w:color w:val="auto"/>
              </w:rPr>
            </w:pPr>
          </w:p>
        </w:tc>
        <w:tc>
          <w:tcPr>
            <w:tcW w:w="73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left="640" w:right="659" w:firstLine="256"/>
        <w:spacing w:after="0" w:line="253" w:lineRule="auto"/>
        <w:rPr>
          <w:sz w:val="20"/>
          <w:szCs w:val="20"/>
          <w:color w:val="auto"/>
        </w:rPr>
      </w:pPr>
      <w:r>
        <w:rPr>
          <w:rFonts w:ascii="Arial" w:cs="Arial" w:eastAsia="Arial" w:hAnsi="Arial"/>
          <w:sz w:val="14"/>
          <w:szCs w:val="14"/>
          <w:color w:val="auto"/>
        </w:rPr>
        <w:t>There was no interest income recognized attributable to nonaccrual loans outstanding at December 31, 2022 and 2021. Interest income on these loans for the years ended December 31, 2022 and 2021, would have been approximately $0 thousand and $5 thousand, respectively, had these loans performed in accordance with their original terms.</w:t>
      </w:r>
    </w:p>
    <w:p>
      <w:pPr>
        <w:spacing w:after="0" w:line="142" w:lineRule="exact"/>
        <w:rPr>
          <w:sz w:val="20"/>
          <w:szCs w:val="20"/>
          <w:color w:val="auto"/>
        </w:rPr>
      </w:pPr>
    </w:p>
    <w:p>
      <w:pPr>
        <w:ind w:left="900"/>
        <w:spacing w:after="0"/>
        <w:rPr>
          <w:sz w:val="20"/>
          <w:szCs w:val="20"/>
          <w:color w:val="auto"/>
        </w:rPr>
      </w:pPr>
      <w:r>
        <w:rPr>
          <w:rFonts w:ascii="Arial" w:cs="Arial" w:eastAsia="Arial" w:hAnsi="Arial"/>
          <w:sz w:val="14"/>
          <w:szCs w:val="14"/>
          <w:color w:val="auto"/>
        </w:rPr>
        <w:t>There were no loans over 90 days past due and accruing as of December 31, 2022 and 2021.</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Impaired Loans</w:t>
      </w:r>
    </w:p>
    <w:p>
      <w:pPr>
        <w:spacing w:after="0" w:line="188" w:lineRule="exact"/>
        <w:rPr>
          <w:sz w:val="20"/>
          <w:szCs w:val="20"/>
          <w:color w:val="auto"/>
        </w:rPr>
      </w:pPr>
    </w:p>
    <w:p>
      <w:pPr>
        <w:ind w:left="640" w:right="719" w:firstLine="256"/>
        <w:spacing w:after="0" w:line="252" w:lineRule="auto"/>
        <w:rPr>
          <w:sz w:val="20"/>
          <w:szCs w:val="20"/>
          <w:color w:val="auto"/>
        </w:rPr>
      </w:pPr>
      <w:r>
        <w:rPr>
          <w:rFonts w:ascii="Arial" w:cs="Arial" w:eastAsia="Arial" w:hAnsi="Arial"/>
          <w:sz w:val="14"/>
          <w:szCs w:val="14"/>
          <w:color w:val="auto"/>
        </w:rPr>
        <w:t>The following table includes the unpaid principal balances for impaired loans with the associated allowance amount, if applicable, on the basis of impairment methodology for the dates indicated (in thousands):</w:t>
      </w:r>
    </w:p>
    <w:p>
      <w:pPr>
        <w:spacing w:after="0" w:line="202" w:lineRule="exact"/>
        <w:rPr>
          <w:sz w:val="20"/>
          <w:szCs w:val="20"/>
          <w:color w:val="auto"/>
        </w:rPr>
      </w:pPr>
    </w:p>
    <w:tbl>
      <w:tblPr>
        <w:tblLayout w:type="fixed"/>
        <w:tblInd w:w="620" w:type="dxa"/>
        <w:tblCellMar>
          <w:top w:w="0" w:type="dxa"/>
          <w:left w:w="0" w:type="dxa"/>
          <w:bottom w:w="0" w:type="dxa"/>
          <w:right w:w="0" w:type="dxa"/>
        </w:tblCellMar>
      </w:tblPr>
      <w:tr>
        <w:trPr>
          <w:trHeight w:val="153"/>
        </w:trPr>
        <w:tc>
          <w:tcPr>
            <w:tcW w:w="4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8"/>
          </w:tcPr>
          <w:p>
            <w:pPr>
              <w:jc w:val="center"/>
              <w:ind w:right="56"/>
              <w:spacing w:after="0"/>
              <w:rPr>
                <w:sz w:val="20"/>
                <w:szCs w:val="20"/>
                <w:color w:val="auto"/>
              </w:rPr>
            </w:pPr>
            <w:r>
              <w:rPr>
                <w:rFonts w:ascii="Arial" w:cs="Arial" w:eastAsia="Arial" w:hAnsi="Arial"/>
                <w:sz w:val="13"/>
                <w:szCs w:val="13"/>
                <w:b w:val="1"/>
                <w:bCs w:val="1"/>
                <w:color w:val="auto"/>
                <w:w w:val="97"/>
              </w:rPr>
              <w:t>December 31, 2022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9"/>
          </w:tcPr>
          <w:p>
            <w:pPr>
              <w:jc w:val="center"/>
              <w:ind w:right="56"/>
              <w:spacing w:after="0"/>
              <w:rPr>
                <w:sz w:val="20"/>
                <w:szCs w:val="20"/>
                <w:color w:val="auto"/>
              </w:rPr>
            </w:pPr>
            <w:r>
              <w:rPr>
                <w:rFonts w:ascii="Arial" w:cs="Arial" w:eastAsia="Arial" w:hAnsi="Arial"/>
                <w:sz w:val="13"/>
                <w:szCs w:val="13"/>
                <w:b w:val="1"/>
                <w:bCs w:val="1"/>
                <w:color w:val="auto"/>
                <w:w w:val="97"/>
              </w:rPr>
              <w:t>December 31, 2021</w:t>
            </w:r>
          </w:p>
        </w:tc>
        <w:tc>
          <w:tcPr>
            <w:tcW w:w="20" w:type="dxa"/>
            <w:vAlign w:val="bottom"/>
          </w:tcPr>
          <w:p>
            <w:pPr>
              <w:spacing w:after="0"/>
              <w:rPr>
                <w:sz w:val="13"/>
                <w:szCs w:val="13"/>
                <w:color w:val="auto"/>
              </w:rPr>
            </w:pPr>
          </w:p>
        </w:tc>
      </w:tr>
      <w:tr>
        <w:trPr>
          <w:trHeight w:val="243"/>
        </w:trPr>
        <w:tc>
          <w:tcPr>
            <w:tcW w:w="4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jc w:val="center"/>
              <w:ind w:right="56"/>
              <w:spacing w:after="0"/>
              <w:rPr>
                <w:sz w:val="20"/>
                <w:szCs w:val="20"/>
                <w:color w:val="auto"/>
              </w:rPr>
            </w:pPr>
            <w:r>
              <w:rPr>
                <w:rFonts w:ascii="Arial" w:cs="Arial" w:eastAsia="Arial" w:hAnsi="Arial"/>
                <w:sz w:val="13"/>
                <w:szCs w:val="13"/>
                <w:b w:val="1"/>
                <w:bCs w:val="1"/>
                <w:color w:val="auto"/>
                <w:w w:val="95"/>
              </w:rPr>
              <w:t>Unpaid</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jc w:val="center"/>
              <w:ind w:right="56"/>
              <w:spacing w:after="0"/>
              <w:rPr>
                <w:sz w:val="20"/>
                <w:szCs w:val="20"/>
                <w:color w:val="auto"/>
              </w:rPr>
            </w:pPr>
            <w:r>
              <w:rPr>
                <w:rFonts w:ascii="Arial" w:cs="Arial" w:eastAsia="Arial" w:hAnsi="Arial"/>
                <w:sz w:val="13"/>
                <w:szCs w:val="13"/>
                <w:b w:val="1"/>
                <w:bCs w:val="1"/>
                <w:color w:val="auto"/>
                <w:w w:val="95"/>
              </w:rPr>
              <w:t>Net</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jc w:val="center"/>
              <w:ind w:right="56"/>
              <w:spacing w:after="0"/>
              <w:rPr>
                <w:sz w:val="20"/>
                <w:szCs w:val="20"/>
                <w:color w:val="auto"/>
              </w:rPr>
            </w:pPr>
            <w:r>
              <w:rPr>
                <w:rFonts w:ascii="Arial" w:cs="Arial" w:eastAsia="Arial" w:hAnsi="Arial"/>
                <w:sz w:val="13"/>
                <w:szCs w:val="13"/>
                <w:b w:val="1"/>
                <w:bCs w:val="1"/>
                <w:color w:val="auto"/>
                <w:w w:val="95"/>
              </w:rPr>
              <w:t>Unpaid</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jc w:val="center"/>
              <w:ind w:right="56"/>
              <w:spacing w:after="0"/>
              <w:rPr>
                <w:sz w:val="20"/>
                <w:szCs w:val="20"/>
                <w:color w:val="auto"/>
              </w:rPr>
            </w:pPr>
            <w:r>
              <w:rPr>
                <w:rFonts w:ascii="Arial" w:cs="Arial" w:eastAsia="Arial" w:hAnsi="Arial"/>
                <w:sz w:val="13"/>
                <w:szCs w:val="13"/>
                <w:b w:val="1"/>
                <w:bCs w:val="1"/>
                <w:color w:val="auto"/>
                <w:w w:val="95"/>
              </w:rPr>
              <w:t>Net</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49"/>
        </w:trPr>
        <w:tc>
          <w:tcPr>
            <w:tcW w:w="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center"/>
              <w:ind w:right="56"/>
              <w:spacing w:after="0"/>
              <w:rPr>
                <w:sz w:val="20"/>
                <w:szCs w:val="20"/>
                <w:color w:val="auto"/>
              </w:rPr>
            </w:pPr>
            <w:r>
              <w:rPr>
                <w:rFonts w:ascii="Arial" w:cs="Arial" w:eastAsia="Arial" w:hAnsi="Arial"/>
                <w:sz w:val="13"/>
                <w:szCs w:val="13"/>
                <w:b w:val="1"/>
                <w:bCs w:val="1"/>
                <w:color w:val="auto"/>
                <w:w w:val="98"/>
              </w:rPr>
              <w:t>Principal</w:t>
            </w:r>
          </w:p>
        </w:tc>
        <w:tc>
          <w:tcPr>
            <w:tcW w:w="60" w:type="dxa"/>
            <w:vAlign w:val="bottom"/>
          </w:tcPr>
          <w:p>
            <w:pPr>
              <w:spacing w:after="0"/>
              <w:rPr>
                <w:sz w:val="12"/>
                <w:szCs w:val="12"/>
                <w:color w:val="auto"/>
              </w:rPr>
            </w:pPr>
          </w:p>
        </w:tc>
        <w:tc>
          <w:tcPr>
            <w:tcW w:w="7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Investment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right"/>
              <w:ind w:right="76"/>
              <w:spacing w:after="0"/>
              <w:rPr>
                <w:sz w:val="20"/>
                <w:szCs w:val="20"/>
                <w:color w:val="auto"/>
              </w:rPr>
            </w:pPr>
            <w:r>
              <w:rPr>
                <w:rFonts w:ascii="Arial" w:cs="Arial" w:eastAsia="Arial" w:hAnsi="Arial"/>
                <w:sz w:val="13"/>
                <w:szCs w:val="13"/>
                <w:b w:val="1"/>
                <w:bCs w:val="1"/>
                <w:color w:val="auto"/>
                <w:w w:val="92"/>
              </w:rPr>
              <w:t>Valuation</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center"/>
              <w:ind w:right="56"/>
              <w:spacing w:after="0"/>
              <w:rPr>
                <w:sz w:val="20"/>
                <w:szCs w:val="20"/>
                <w:color w:val="auto"/>
              </w:rPr>
            </w:pPr>
            <w:r>
              <w:rPr>
                <w:rFonts w:ascii="Arial" w:cs="Arial" w:eastAsia="Arial" w:hAnsi="Arial"/>
                <w:sz w:val="13"/>
                <w:szCs w:val="13"/>
                <w:b w:val="1"/>
                <w:bCs w:val="1"/>
                <w:color w:val="auto"/>
                <w:w w:val="98"/>
              </w:rPr>
              <w:t>Principal</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Investment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right"/>
              <w:ind w:right="56"/>
              <w:spacing w:after="0"/>
              <w:rPr>
                <w:sz w:val="20"/>
                <w:szCs w:val="20"/>
                <w:color w:val="auto"/>
              </w:rPr>
            </w:pPr>
            <w:r>
              <w:rPr>
                <w:rFonts w:ascii="Arial" w:cs="Arial" w:eastAsia="Arial" w:hAnsi="Arial"/>
                <w:sz w:val="13"/>
                <w:szCs w:val="13"/>
                <w:b w:val="1"/>
                <w:bCs w:val="1"/>
                <w:color w:val="auto"/>
                <w:w w:val="95"/>
              </w:rPr>
              <w:t>Valuation</w:t>
            </w:r>
          </w:p>
        </w:tc>
        <w:tc>
          <w:tcPr>
            <w:tcW w:w="20" w:type="dxa"/>
            <w:vAlign w:val="bottom"/>
          </w:tcPr>
          <w:p>
            <w:pPr>
              <w:spacing w:after="0"/>
              <w:rPr>
                <w:sz w:val="12"/>
                <w:szCs w:val="12"/>
                <w:color w:val="auto"/>
              </w:rPr>
            </w:pPr>
          </w:p>
        </w:tc>
      </w:tr>
      <w:tr>
        <w:trPr>
          <w:trHeight w:val="153"/>
        </w:trPr>
        <w:tc>
          <w:tcPr>
            <w:tcW w:w="40" w:type="dxa"/>
            <w:vAlign w:val="bottom"/>
          </w:tcPr>
          <w:p>
            <w:pPr>
              <w:spacing w:after="0"/>
              <w:rPr>
                <w:sz w:val="13"/>
                <w:szCs w:val="13"/>
                <w:color w:val="auto"/>
              </w:rPr>
            </w:pPr>
          </w:p>
        </w:tc>
        <w:tc>
          <w:tcPr>
            <w:tcW w:w="278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36"/>
              <w:spacing w:after="0"/>
              <w:rPr>
                <w:sz w:val="20"/>
                <w:szCs w:val="20"/>
                <w:color w:val="auto"/>
              </w:rPr>
            </w:pPr>
            <w:r>
              <w:rPr>
                <w:rFonts w:ascii="Arial" w:cs="Arial" w:eastAsia="Arial" w:hAnsi="Arial"/>
                <w:sz w:val="13"/>
                <w:szCs w:val="13"/>
                <w:b w:val="1"/>
                <w:bCs w:val="1"/>
                <w:color w:val="auto"/>
                <w:w w:val="96"/>
              </w:rPr>
              <w:t>Balance</w:t>
            </w:r>
          </w:p>
        </w:tc>
        <w:tc>
          <w:tcPr>
            <w:tcW w:w="6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96"/>
              </w:rPr>
              <w:t>Balance</w:t>
            </w:r>
          </w:p>
        </w:tc>
        <w:tc>
          <w:tcPr>
            <w:tcW w:w="2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3"/>
                <w:szCs w:val="13"/>
                <w:b w:val="1"/>
                <w:bCs w:val="1"/>
                <w:color w:val="auto"/>
                <w:w w:val="99"/>
              </w:rPr>
              <w:t>Allowance</w:t>
            </w:r>
          </w:p>
        </w:tc>
        <w:tc>
          <w:tcPr>
            <w:tcW w:w="2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36"/>
              <w:spacing w:after="0"/>
              <w:rPr>
                <w:sz w:val="20"/>
                <w:szCs w:val="20"/>
                <w:color w:val="auto"/>
              </w:rPr>
            </w:pPr>
            <w:r>
              <w:rPr>
                <w:rFonts w:ascii="Arial" w:cs="Arial" w:eastAsia="Arial" w:hAnsi="Arial"/>
                <w:sz w:val="13"/>
                <w:szCs w:val="13"/>
                <w:b w:val="1"/>
                <w:bCs w:val="1"/>
                <w:color w:val="auto"/>
                <w:w w:val="96"/>
              </w:rPr>
              <w:t>Balance</w:t>
            </w:r>
          </w:p>
        </w:tc>
        <w:tc>
          <w:tcPr>
            <w:tcW w:w="2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96"/>
              </w:rPr>
              <w:t>Balance</w:t>
            </w:r>
          </w:p>
        </w:tc>
        <w:tc>
          <w:tcPr>
            <w:tcW w:w="2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3"/>
                <w:szCs w:val="13"/>
                <w:b w:val="1"/>
                <w:bCs w:val="1"/>
                <w:color w:val="auto"/>
                <w:w w:val="99"/>
              </w:rPr>
              <w:t>Allowance</w:t>
            </w:r>
          </w:p>
        </w:tc>
        <w:tc>
          <w:tcPr>
            <w:tcW w:w="20" w:type="dxa"/>
            <w:vAlign w:val="bottom"/>
            <w:tcBorders>
              <w:bottom w:val="single" w:sz="8" w:color="CCEEFF"/>
            </w:tcBorders>
          </w:tcPr>
          <w:p>
            <w:pPr>
              <w:spacing w:after="0"/>
              <w:rPr>
                <w:sz w:val="13"/>
                <w:szCs w:val="13"/>
                <w:color w:val="auto"/>
              </w:rPr>
            </w:pPr>
          </w:p>
        </w:tc>
      </w:tr>
      <w:tr>
        <w:trPr>
          <w:trHeight w:val="151"/>
        </w:trPr>
        <w:tc>
          <w:tcPr>
            <w:tcW w:w="40" w:type="dxa"/>
            <w:vAlign w:val="bottom"/>
          </w:tcPr>
          <w:p>
            <w:pPr>
              <w:spacing w:after="0"/>
              <w:rPr>
                <w:sz w:val="13"/>
                <w:szCs w:val="13"/>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Impaired Loans with No Specific Allowance:</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40" w:type="dxa"/>
            <w:vAlign w:val="bottom"/>
          </w:tcPr>
          <w:p>
            <w:pPr>
              <w:spacing w:after="0"/>
              <w:rPr>
                <w:sz w:val="14"/>
                <w:szCs w:val="14"/>
                <w:color w:val="auto"/>
              </w:rPr>
            </w:pPr>
          </w:p>
        </w:tc>
        <w:tc>
          <w:tcPr>
            <w:tcW w:w="2780" w:type="dxa"/>
            <w:vAlign w:val="bottom"/>
          </w:tcPr>
          <w:p>
            <w:pPr>
              <w:ind w:left="60"/>
              <w:spacing w:after="0"/>
              <w:rPr>
                <w:sz w:val="20"/>
                <w:szCs w:val="20"/>
                <w:color w:val="auto"/>
              </w:rPr>
            </w:pPr>
            <w:r>
              <w:rPr>
                <w:rFonts w:ascii="Arial" w:cs="Arial" w:eastAsia="Arial" w:hAnsi="Arial"/>
                <w:sz w:val="13"/>
                <w:szCs w:val="13"/>
                <w:color w:val="auto"/>
              </w:rPr>
              <w:t>Residential real estate</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3,551</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3,544</w:t>
            </w:r>
          </w:p>
        </w:tc>
        <w:tc>
          <w:tcPr>
            <w:tcW w:w="100" w:type="dxa"/>
            <w:vAlign w:val="bottom"/>
            <w:gridSpan w:val="3"/>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5,021</w:t>
            </w: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5,035</w:t>
            </w:r>
          </w:p>
        </w:tc>
        <w:tc>
          <w:tcPr>
            <w:tcW w:w="1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65"/>
        </w:trPr>
        <w:tc>
          <w:tcPr>
            <w:tcW w:w="40" w:type="dxa"/>
            <w:vAlign w:val="bottom"/>
          </w:tcPr>
          <w:p>
            <w:pPr>
              <w:spacing w:after="0"/>
              <w:rPr>
                <w:sz w:val="14"/>
                <w:szCs w:val="14"/>
                <w:color w:val="auto"/>
              </w:rPr>
            </w:pPr>
          </w:p>
        </w:tc>
        <w:tc>
          <w:tcPr>
            <w:tcW w:w="27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Commercial real estate</w:t>
            </w:r>
          </w:p>
        </w:tc>
        <w:tc>
          <w:tcPr>
            <w:tcW w:w="16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393</w:t>
            </w:r>
          </w:p>
        </w:tc>
        <w:tc>
          <w:tcPr>
            <w:tcW w:w="6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393</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696</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695</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r>
      <w:tr>
        <w:trPr>
          <w:trHeight w:val="156"/>
        </w:trPr>
        <w:tc>
          <w:tcPr>
            <w:tcW w:w="4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3,944</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3,937</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5,717</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5,730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r>
      <w:tr>
        <w:trPr>
          <w:trHeight w:val="171"/>
        </w:trPr>
        <w:tc>
          <w:tcPr>
            <w:tcW w:w="40" w:type="dxa"/>
            <w:vAlign w:val="bottom"/>
          </w:tcPr>
          <w:p>
            <w:pPr>
              <w:spacing w:after="0"/>
              <w:rPr>
                <w:sz w:val="14"/>
                <w:szCs w:val="14"/>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Impaired Loans with Specific Allowance:</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780" w:type="dxa"/>
            <w:vAlign w:val="bottom"/>
          </w:tcPr>
          <w:p>
            <w:pPr>
              <w:ind w:left="60"/>
              <w:spacing w:after="0"/>
              <w:rPr>
                <w:sz w:val="20"/>
                <w:szCs w:val="20"/>
                <w:color w:val="auto"/>
              </w:rPr>
            </w:pPr>
            <w:r>
              <w:rPr>
                <w:rFonts w:ascii="Arial" w:cs="Arial" w:eastAsia="Arial" w:hAnsi="Arial"/>
                <w:sz w:val="13"/>
                <w:szCs w:val="13"/>
                <w:color w:val="auto"/>
              </w:rPr>
              <w:t>Residential real estate</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3,655</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3,626</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155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3,985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3,950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178</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7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Commercial and industrial</w:t>
            </w: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82</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82</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41</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71</w:t>
            </w: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780" w:type="dxa"/>
            <w:vAlign w:val="bottom"/>
            <w:tcBorders>
              <w:bottom w:val="single" w:sz="8" w:color="CCEEFF"/>
            </w:tcBorders>
          </w:tcPr>
          <w:p>
            <w:pPr>
              <w:ind w:left="60"/>
              <w:spacing w:after="0"/>
              <w:rPr>
                <w:sz w:val="20"/>
                <w:szCs w:val="20"/>
                <w:color w:val="auto"/>
              </w:rPr>
            </w:pPr>
            <w:r>
              <w:rPr>
                <w:rFonts w:ascii="Arial" w:cs="Arial" w:eastAsia="Arial" w:hAnsi="Arial"/>
                <w:sz w:val="13"/>
                <w:szCs w:val="13"/>
                <w:color w:val="auto"/>
              </w:rPr>
              <w:t>Consumer and other</w:t>
            </w:r>
          </w:p>
        </w:tc>
        <w:tc>
          <w:tcPr>
            <w:tcW w:w="16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196</w:t>
            </w: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196</w:t>
            </w: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98</w:t>
            </w: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224</w:t>
            </w: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224</w:t>
            </w:r>
          </w:p>
        </w:tc>
        <w:tc>
          <w:tcPr>
            <w:tcW w:w="20" w:type="dxa"/>
            <w:vAlign w:val="bottom"/>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111</w:t>
            </w:r>
          </w:p>
        </w:tc>
        <w:tc>
          <w:tcPr>
            <w:tcW w:w="20" w:type="dxa"/>
            <w:vAlign w:val="bottom"/>
          </w:tcPr>
          <w:p>
            <w:pPr>
              <w:spacing w:after="0"/>
              <w:rPr>
                <w:sz w:val="14"/>
                <w:szCs w:val="14"/>
                <w:color w:val="auto"/>
              </w:rPr>
            </w:pPr>
          </w:p>
        </w:tc>
      </w:tr>
      <w:tr>
        <w:trPr>
          <w:trHeight w:val="151"/>
        </w:trPr>
        <w:tc>
          <w:tcPr>
            <w:tcW w:w="40" w:type="dxa"/>
            <w:vAlign w:val="bottom"/>
          </w:tcPr>
          <w:p>
            <w:pPr>
              <w:spacing w:after="0"/>
              <w:rPr>
                <w:sz w:val="13"/>
                <w:szCs w:val="13"/>
                <w:color w:val="auto"/>
              </w:rPr>
            </w:pPr>
          </w:p>
        </w:tc>
        <w:tc>
          <w:tcPr>
            <w:tcW w:w="2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3,933</w:t>
            </w:r>
          </w:p>
        </w:tc>
        <w:tc>
          <w:tcPr>
            <w:tcW w:w="6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3,904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294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4,350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4,315</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360</w:t>
            </w:r>
          </w:p>
        </w:tc>
        <w:tc>
          <w:tcPr>
            <w:tcW w:w="20" w:type="dxa"/>
            <w:vAlign w:val="bottom"/>
            <w:shd w:val="clear" w:color="auto" w:fill="CCEEFF"/>
          </w:tcPr>
          <w:p>
            <w:pPr>
              <w:spacing w:after="0"/>
              <w:rPr>
                <w:sz w:val="13"/>
                <w:szCs w:val="13"/>
                <w:color w:val="auto"/>
              </w:rPr>
            </w:pPr>
          </w:p>
        </w:tc>
      </w:tr>
      <w:tr>
        <w:trPr>
          <w:trHeight w:val="161"/>
        </w:trPr>
        <w:tc>
          <w:tcPr>
            <w:tcW w:w="40" w:type="dxa"/>
            <w:vAlign w:val="bottom"/>
          </w:tcPr>
          <w:p>
            <w:pPr>
              <w:spacing w:after="0"/>
              <w:rPr>
                <w:sz w:val="14"/>
                <w:szCs w:val="14"/>
                <w:color w:val="auto"/>
              </w:rPr>
            </w:pPr>
          </w:p>
        </w:tc>
        <w:tc>
          <w:tcPr>
            <w:tcW w:w="2780" w:type="dxa"/>
            <w:vAlign w:val="bottom"/>
          </w:tcPr>
          <w:p>
            <w:pPr>
              <w:ind w:left="60"/>
              <w:spacing w:after="0"/>
              <w:rPr>
                <w:sz w:val="20"/>
                <w:szCs w:val="20"/>
                <w:color w:val="auto"/>
              </w:rPr>
            </w:pPr>
            <w:r>
              <w:rPr>
                <w:rFonts w:ascii="Arial" w:cs="Arial" w:eastAsia="Arial" w:hAnsi="Arial"/>
                <w:sz w:val="13"/>
                <w:szCs w:val="13"/>
                <w:color w:val="auto"/>
              </w:rPr>
              <w:t>Total</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7,877</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7,841</w:t>
            </w:r>
          </w:p>
        </w:tc>
        <w:tc>
          <w:tcPr>
            <w:tcW w:w="100" w:type="dxa"/>
            <w:vAlign w:val="bottom"/>
            <w:gridSpan w:val="3"/>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294</w:t>
            </w:r>
          </w:p>
        </w:tc>
        <w:tc>
          <w:tcPr>
            <w:tcW w:w="1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16"/>
              <w:spacing w:after="0"/>
              <w:rPr>
                <w:sz w:val="20"/>
                <w:szCs w:val="20"/>
                <w:color w:val="auto"/>
              </w:rPr>
            </w:pPr>
            <w:r>
              <w:rPr>
                <w:rFonts w:ascii="Arial" w:cs="Arial" w:eastAsia="Arial" w:hAnsi="Arial"/>
                <w:sz w:val="13"/>
                <w:szCs w:val="13"/>
                <w:color w:val="auto"/>
              </w:rPr>
              <w:t>10,067</w:t>
            </w: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6"/>
              <w:spacing w:after="0"/>
              <w:rPr>
                <w:sz w:val="20"/>
                <w:szCs w:val="20"/>
                <w:color w:val="auto"/>
              </w:rPr>
            </w:pPr>
            <w:r>
              <w:rPr>
                <w:rFonts w:ascii="Arial" w:cs="Arial" w:eastAsia="Arial" w:hAnsi="Arial"/>
                <w:sz w:val="13"/>
                <w:szCs w:val="13"/>
                <w:color w:val="auto"/>
              </w:rPr>
              <w:t>10,045</w:t>
            </w:r>
          </w:p>
        </w:tc>
        <w:tc>
          <w:tcPr>
            <w:tcW w:w="1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360</w:t>
            </w:r>
          </w:p>
        </w:tc>
        <w:tc>
          <w:tcPr>
            <w:tcW w:w="20" w:type="dxa"/>
            <w:vAlign w:val="bottom"/>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Net investment balance is the unpaid principal balance of the loan adjusted for the remaining net deferred loan fees.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32</w:t>
      </w:r>
      <w:r>
        <w:rPr>
          <w:sz w:val="20"/>
          <w:szCs w:val="20"/>
          <w:color w:val="auto"/>
        </w:rPr>
        <w:tab/>
      </w:r>
      <w:r>
        <w:rPr>
          <w:rFonts w:ascii="Arial" w:cs="Arial" w:eastAsia="Arial" w:hAnsi="Arial"/>
          <w:sz w:val="14"/>
          <w:szCs w:val="14"/>
          <w:color w:val="auto"/>
        </w:rPr>
        <w:t>USCB Financial Holdings, Inc.</w:t>
        <w:tab/>
        <w:t>2022 10-K/A</w:t>
      </w:r>
    </w:p>
    <w:p>
      <w:pPr>
        <w:sectPr>
          <w:pgSz w:w="11900" w:h="16838" w:orient="portrait"/>
          <w:cols w:equalWidth="0" w:num="1">
            <w:col w:w="9019"/>
          </w:cols>
          <w:pgMar w:left="1440" w:top="490" w:right="1440" w:bottom="1440" w:gutter="0" w:footer="0" w:header="0"/>
        </w:sectPr>
      </w:pPr>
    </w:p>
    <w:bookmarkStart w:id="32" w:name="page33"/>
    <w:bookmarkEnd w:id="3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80" w:lineRule="exact"/>
        <w:rPr>
          <w:sz w:val="20"/>
          <w:szCs w:val="20"/>
          <w:color w:val="auto"/>
        </w:rPr>
      </w:pPr>
    </w:p>
    <w:p>
      <w:pPr>
        <w:ind w:left="640" w:right="699" w:firstLine="256"/>
        <w:spacing w:after="0" w:line="252" w:lineRule="auto"/>
        <w:rPr>
          <w:sz w:val="20"/>
          <w:szCs w:val="20"/>
          <w:color w:val="auto"/>
        </w:rPr>
      </w:pPr>
      <w:r>
        <w:rPr>
          <w:rFonts w:ascii="Arial" w:cs="Arial" w:eastAsia="Arial" w:hAnsi="Arial"/>
          <w:sz w:val="14"/>
          <w:szCs w:val="14"/>
          <w:color w:val="auto"/>
        </w:rPr>
        <w:t>The following table presents the average recorded investment balance on impaired loans as of December 31, 2022 and 2021 (in thousands):</w:t>
      </w:r>
    </w:p>
    <w:p>
      <w:pPr>
        <w:spacing w:after="0" w:line="160" w:lineRule="exact"/>
        <w:rPr>
          <w:sz w:val="20"/>
          <w:szCs w:val="20"/>
          <w:color w:val="auto"/>
        </w:rPr>
      </w:pPr>
    </w:p>
    <w:tbl>
      <w:tblPr>
        <w:tblLayout w:type="fixed"/>
        <w:tblInd w:w="620" w:type="dxa"/>
        <w:tblCellMar>
          <w:top w:w="0" w:type="dxa"/>
          <w:left w:w="0" w:type="dxa"/>
          <w:bottom w:w="0" w:type="dxa"/>
          <w:right w:w="0" w:type="dxa"/>
        </w:tblCellMar>
      </w:tblPr>
      <w:tr>
        <w:trPr>
          <w:trHeight w:val="153"/>
        </w:trPr>
        <w:tc>
          <w:tcPr>
            <w:tcW w:w="4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26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2022</w:t>
            </w: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ind w:right="416"/>
              <w:spacing w:after="0"/>
              <w:rPr>
                <w:sz w:val="20"/>
                <w:szCs w:val="20"/>
                <w:color w:val="auto"/>
              </w:rPr>
            </w:pPr>
            <w:r>
              <w:rPr>
                <w:rFonts w:ascii="Arial" w:cs="Arial" w:eastAsia="Arial" w:hAnsi="Arial"/>
                <w:sz w:val="13"/>
                <w:szCs w:val="13"/>
                <w:b w:val="1"/>
                <w:bCs w:val="1"/>
                <w:color w:val="auto"/>
              </w:rPr>
              <w:t>2021</w:t>
            </w:r>
          </w:p>
        </w:tc>
        <w:tc>
          <w:tcPr>
            <w:tcW w:w="20" w:type="dxa"/>
            <w:vAlign w:val="bottom"/>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1"/>
        </w:trPr>
        <w:tc>
          <w:tcPr>
            <w:tcW w:w="40" w:type="dxa"/>
            <w:vAlign w:val="bottom"/>
          </w:tcPr>
          <w:p>
            <w:pPr>
              <w:spacing w:after="0"/>
              <w:rPr>
                <w:sz w:val="12"/>
                <w:szCs w:val="12"/>
                <w:color w:val="auto"/>
              </w:rPr>
            </w:pPr>
          </w:p>
        </w:tc>
        <w:tc>
          <w:tcPr>
            <w:tcW w:w="332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Residential real estate</w:t>
            </w:r>
          </w:p>
        </w:tc>
        <w:tc>
          <w:tcPr>
            <w:tcW w:w="2680" w:type="dxa"/>
            <w:vAlign w:val="bottom"/>
            <w:gridSpan w:val="2"/>
            <w:shd w:val="clear" w:color="auto" w:fill="CCEEFF"/>
          </w:tcPr>
          <w:p>
            <w:pPr>
              <w:jc w:val="right"/>
              <w:ind w:right="720"/>
              <w:spacing w:after="0" w:line="141" w:lineRule="exact"/>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7,626</w:t>
            </w:r>
          </w:p>
        </w:tc>
        <w:tc>
          <w:tcPr>
            <w:tcW w:w="28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8,791</w:t>
            </w:r>
          </w:p>
        </w:tc>
        <w:tc>
          <w:tcPr>
            <w:tcW w:w="20" w:type="dxa"/>
            <w:vAlign w:val="bottom"/>
            <w:shd w:val="clear" w:color="auto" w:fill="CCEEFF"/>
          </w:tcPr>
          <w:p>
            <w:pPr>
              <w:spacing w:after="0"/>
              <w:rPr>
                <w:sz w:val="12"/>
                <w:szCs w:val="12"/>
                <w:color w:val="auto"/>
              </w:rPr>
            </w:pPr>
          </w:p>
        </w:tc>
      </w:tr>
      <w:tr>
        <w:trPr>
          <w:trHeight w:val="171"/>
        </w:trPr>
        <w:tc>
          <w:tcPr>
            <w:tcW w:w="3360" w:type="dxa"/>
            <w:vAlign w:val="bottom"/>
            <w:gridSpan w:val="2"/>
          </w:tcPr>
          <w:p>
            <w:pPr>
              <w:spacing w:after="0"/>
              <w:rPr>
                <w:sz w:val="20"/>
                <w:szCs w:val="20"/>
                <w:color w:val="auto"/>
              </w:rPr>
            </w:pPr>
            <w:r>
              <w:rPr>
                <w:rFonts w:ascii="Arial" w:cs="Arial" w:eastAsia="Arial" w:hAnsi="Arial"/>
                <w:sz w:val="13"/>
                <w:szCs w:val="13"/>
                <w:color w:val="auto"/>
              </w:rPr>
              <w:t>Commercial real estate</w:t>
            </w:r>
          </w:p>
        </w:tc>
        <w:tc>
          <w:tcPr>
            <w:tcW w:w="1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jc w:val="right"/>
              <w:ind w:right="16"/>
              <w:spacing w:after="0"/>
              <w:rPr>
                <w:sz w:val="20"/>
                <w:szCs w:val="20"/>
                <w:color w:val="auto"/>
              </w:rPr>
            </w:pPr>
            <w:r>
              <w:rPr>
                <w:rFonts w:ascii="Arial" w:cs="Arial" w:eastAsia="Arial" w:hAnsi="Arial"/>
                <w:sz w:val="13"/>
                <w:szCs w:val="13"/>
                <w:color w:val="auto"/>
              </w:rPr>
              <w:t>575</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714</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19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109</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w:t>
            </w:r>
          </w:p>
        </w:tc>
        <w:tc>
          <w:tcPr>
            <w:tcW w:w="20" w:type="dxa"/>
            <w:vAlign w:val="bottom"/>
            <w:shd w:val="clear" w:color="auto" w:fill="CCEEFF"/>
          </w:tcPr>
          <w:p>
            <w:pPr>
              <w:spacing w:after="0"/>
              <w:rPr>
                <w:sz w:val="14"/>
                <w:szCs w:val="14"/>
                <w:color w:val="auto"/>
              </w:rPr>
            </w:pPr>
          </w:p>
        </w:tc>
      </w:tr>
      <w:tr>
        <w:trPr>
          <w:trHeight w:val="160"/>
        </w:trPr>
        <w:tc>
          <w:tcPr>
            <w:tcW w:w="3360" w:type="dxa"/>
            <w:vAlign w:val="bottom"/>
            <w:gridSpan w:val="2"/>
          </w:tcPr>
          <w:p>
            <w:pPr>
              <w:spacing w:after="0"/>
              <w:rPr>
                <w:sz w:val="20"/>
                <w:szCs w:val="20"/>
                <w:color w:val="auto"/>
              </w:rPr>
            </w:pPr>
            <w:r>
              <w:rPr>
                <w:rFonts w:ascii="Arial" w:cs="Arial" w:eastAsia="Arial" w:hAnsi="Arial"/>
                <w:sz w:val="13"/>
                <w:szCs w:val="13"/>
                <w:color w:val="auto"/>
              </w:rPr>
              <w:t>Consumer and other</w:t>
            </w:r>
          </w:p>
        </w:tc>
        <w:tc>
          <w:tcPr>
            <w:tcW w:w="192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210</w:t>
            </w:r>
          </w:p>
        </w:tc>
        <w:tc>
          <w:tcPr>
            <w:tcW w:w="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254</w:t>
            </w:r>
          </w:p>
        </w:tc>
        <w:tc>
          <w:tcPr>
            <w:tcW w:w="20" w:type="dxa"/>
            <w:vAlign w:val="bottom"/>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2"/>
        </w:trPr>
        <w:tc>
          <w:tcPr>
            <w:tcW w:w="40" w:type="dxa"/>
            <w:vAlign w:val="bottom"/>
          </w:tcPr>
          <w:p>
            <w:pPr>
              <w:spacing w:after="0"/>
              <w:rPr>
                <w:sz w:val="13"/>
                <w:szCs w:val="13"/>
                <w:color w:val="auto"/>
              </w:rPr>
            </w:pPr>
          </w:p>
        </w:tc>
        <w:tc>
          <w:tcPr>
            <w:tcW w:w="3320" w:type="dxa"/>
            <w:vAlign w:val="bottom"/>
            <w:tcBorders>
              <w:bottom w:val="single" w:sz="8" w:color="CCEEFF"/>
            </w:tcBorders>
            <w:shd w:val="clear" w:color="auto" w:fill="CCEEFF"/>
          </w:tcPr>
          <w:p>
            <w:pPr>
              <w:ind w:left="100"/>
              <w:spacing w:after="0" w:line="131" w:lineRule="exact"/>
              <w:rPr>
                <w:sz w:val="20"/>
                <w:szCs w:val="20"/>
                <w:color w:val="auto"/>
              </w:rPr>
            </w:pPr>
            <w:r>
              <w:rPr>
                <w:rFonts w:ascii="Arial" w:cs="Arial" w:eastAsia="Arial" w:hAnsi="Arial"/>
                <w:sz w:val="13"/>
                <w:szCs w:val="13"/>
                <w:color w:val="auto"/>
              </w:rPr>
              <w:t>Total</w:t>
            </w:r>
          </w:p>
        </w:tc>
        <w:tc>
          <w:tcPr>
            <w:tcW w:w="2680" w:type="dxa"/>
            <w:vAlign w:val="bottom"/>
            <w:tcBorders>
              <w:bottom w:val="single" w:sz="8" w:color="CCEEFF"/>
            </w:tcBorders>
            <w:gridSpan w:val="2"/>
            <w:shd w:val="clear" w:color="auto" w:fill="CCEEFF"/>
          </w:tcPr>
          <w:p>
            <w:pPr>
              <w:jc w:val="right"/>
              <w:ind w:right="720"/>
              <w:spacing w:after="0" w:line="131" w:lineRule="exact"/>
              <w:rPr>
                <w:sz w:val="20"/>
                <w:szCs w:val="20"/>
                <w:color w:val="auto"/>
              </w:rPr>
            </w:pPr>
            <w:r>
              <w:rPr>
                <w:rFonts w:ascii="Arial" w:cs="Arial" w:eastAsia="Arial" w:hAnsi="Arial"/>
                <w:sz w:val="13"/>
                <w:szCs w:val="13"/>
                <w:color w:val="auto"/>
              </w:rPr>
              <w:t>$</w:t>
            </w:r>
          </w:p>
        </w:tc>
        <w:tc>
          <w:tcPr>
            <w:tcW w:w="440" w:type="dxa"/>
            <w:vAlign w:val="bottom"/>
            <w:tcBorders>
              <w:bottom w:val="single" w:sz="8" w:color="CCEEFF"/>
            </w:tcBorders>
            <w:shd w:val="clear" w:color="auto" w:fill="CCEEFF"/>
          </w:tcPr>
          <w:p>
            <w:pPr>
              <w:jc w:val="right"/>
              <w:ind w:right="16"/>
              <w:spacing w:after="0" w:line="131" w:lineRule="exact"/>
              <w:rPr>
                <w:sz w:val="20"/>
                <w:szCs w:val="20"/>
                <w:color w:val="auto"/>
              </w:rPr>
            </w:pPr>
            <w:r>
              <w:rPr>
                <w:rFonts w:ascii="Arial" w:cs="Arial" w:eastAsia="Arial" w:hAnsi="Arial"/>
                <w:sz w:val="13"/>
                <w:szCs w:val="13"/>
                <w:color w:val="auto"/>
              </w:rPr>
              <w:t>8,520</w:t>
            </w:r>
          </w:p>
        </w:tc>
        <w:tc>
          <w:tcPr>
            <w:tcW w:w="280" w:type="dxa"/>
            <w:vAlign w:val="bottom"/>
            <w:tcBorders>
              <w:bottom w:val="single" w:sz="8" w:color="CCEEFF"/>
            </w:tcBorders>
            <w:gridSpan w:val="2"/>
            <w:shd w:val="clear" w:color="auto" w:fill="CCEEFF"/>
          </w:tcPr>
          <w:p>
            <w:pPr>
              <w:jc w:val="right"/>
              <w:ind w:right="200"/>
              <w:spacing w:after="0" w:line="131" w:lineRule="exact"/>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CCEEFF"/>
            </w:tcBorders>
            <w:shd w:val="clear" w:color="auto" w:fill="CCEEFF"/>
          </w:tcPr>
          <w:p>
            <w:pPr>
              <w:jc w:val="right"/>
              <w:ind w:right="16"/>
              <w:spacing w:after="0" w:line="131" w:lineRule="exact"/>
              <w:rPr>
                <w:sz w:val="20"/>
                <w:szCs w:val="20"/>
                <w:color w:val="auto"/>
              </w:rPr>
            </w:pPr>
            <w:r>
              <w:rPr>
                <w:rFonts w:ascii="Arial" w:cs="Arial" w:eastAsia="Arial" w:hAnsi="Arial"/>
                <w:sz w:val="13"/>
                <w:szCs w:val="13"/>
                <w:color w:val="auto"/>
              </w:rPr>
              <w:t>9,937</w:t>
            </w:r>
          </w:p>
        </w:tc>
        <w:tc>
          <w:tcPr>
            <w:tcW w:w="20" w:type="dxa"/>
            <w:vAlign w:val="bottom"/>
            <w:tcBorders>
              <w:bottom w:val="single" w:sz="8" w:color="CCEEFF"/>
            </w:tcBorders>
            <w:shd w:val="clear" w:color="auto" w:fill="CCEEFF"/>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jc w:val="both"/>
        <w:ind w:left="640" w:right="699" w:firstLine="256"/>
        <w:spacing w:after="0" w:line="252" w:lineRule="auto"/>
        <w:rPr>
          <w:sz w:val="20"/>
          <w:szCs w:val="20"/>
          <w:color w:val="auto"/>
        </w:rPr>
      </w:pPr>
      <w:r>
        <w:rPr>
          <w:rFonts w:ascii="Arial" w:cs="Arial" w:eastAsia="Arial" w:hAnsi="Arial"/>
          <w:sz w:val="14"/>
          <w:szCs w:val="14"/>
          <w:color w:val="auto"/>
        </w:rPr>
        <w:t>Interest income recognized on impaired loans for the years ended December 31, 2022 and 2021 was $ 351 thousand and $415 thousand, respectively.</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Troubled Debt Restructuring</w:t>
      </w:r>
    </w:p>
    <w:p>
      <w:pPr>
        <w:spacing w:after="0" w:line="188" w:lineRule="exact"/>
        <w:rPr>
          <w:sz w:val="20"/>
          <w:szCs w:val="20"/>
          <w:color w:val="auto"/>
        </w:rPr>
      </w:pPr>
    </w:p>
    <w:p>
      <w:pPr>
        <w:jc w:val="both"/>
        <w:ind w:left="640" w:right="719" w:firstLine="256"/>
        <w:spacing w:after="0" w:line="252" w:lineRule="auto"/>
        <w:rPr>
          <w:sz w:val="20"/>
          <w:szCs w:val="20"/>
          <w:color w:val="auto"/>
        </w:rPr>
      </w:pPr>
      <w:r>
        <w:rPr>
          <w:rFonts w:ascii="Arial" w:cs="Arial" w:eastAsia="Arial" w:hAnsi="Arial"/>
          <w:sz w:val="14"/>
          <w:szCs w:val="14"/>
          <w:color w:val="auto"/>
        </w:rPr>
        <w:t>A troubled debt restructuring (“TDR”) occurs when the Company has agreed to a loan modification in the form of a concession for a borrower who is experiencing financial difficulty.</w:t>
      </w:r>
    </w:p>
    <w:p>
      <w:pPr>
        <w:spacing w:after="0" w:line="153" w:lineRule="exact"/>
        <w:rPr>
          <w:sz w:val="20"/>
          <w:szCs w:val="20"/>
          <w:color w:val="auto"/>
        </w:rPr>
      </w:pPr>
    </w:p>
    <w:p>
      <w:pPr>
        <w:ind w:left="900"/>
        <w:spacing w:after="0"/>
        <w:rPr>
          <w:sz w:val="20"/>
          <w:szCs w:val="20"/>
          <w:color w:val="auto"/>
        </w:rPr>
      </w:pPr>
      <w:r>
        <w:rPr>
          <w:rFonts w:ascii="Arial" w:cs="Arial" w:eastAsia="Arial" w:hAnsi="Arial"/>
          <w:sz w:val="14"/>
          <w:szCs w:val="14"/>
          <w:color w:val="auto"/>
        </w:rPr>
        <w:t>The following table presents performing and non-performing TDRs for the dates indicated (in thousands):</w:t>
      </w:r>
    </w:p>
    <w:p>
      <w:pPr>
        <w:spacing w:after="0" w:line="177" w:lineRule="exact"/>
        <w:rPr>
          <w:sz w:val="20"/>
          <w:szCs w:val="20"/>
          <w:color w:val="auto"/>
        </w:rPr>
      </w:pPr>
    </w:p>
    <w:tbl>
      <w:tblPr>
        <w:tblLayout w:type="fixed"/>
        <w:tblInd w:w="620" w:type="dxa"/>
        <w:tblCellMar>
          <w:top w:w="0" w:type="dxa"/>
          <w:left w:w="0" w:type="dxa"/>
          <w:bottom w:w="0" w:type="dxa"/>
          <w:right w:w="0" w:type="dxa"/>
        </w:tblCellMar>
      </w:tblPr>
      <w:tr>
        <w:trPr>
          <w:trHeight w:val="153"/>
        </w:trPr>
        <w:tc>
          <w:tcPr>
            <w:tcW w:w="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December 31, 2022</w:t>
            </w:r>
          </w:p>
        </w:tc>
        <w:tc>
          <w:tcPr>
            <w:tcW w:w="8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4"/>
          </w:tcPr>
          <w:p>
            <w:pPr>
              <w:jc w:val="center"/>
              <w:ind w:left="456"/>
              <w:spacing w:after="0"/>
              <w:rPr>
                <w:sz w:val="20"/>
                <w:szCs w:val="20"/>
                <w:color w:val="auto"/>
              </w:rPr>
            </w:pPr>
            <w:r>
              <w:rPr>
                <w:rFonts w:ascii="Arial" w:cs="Arial" w:eastAsia="Arial" w:hAnsi="Arial"/>
                <w:sz w:val="13"/>
                <w:szCs w:val="13"/>
                <w:b w:val="1"/>
                <w:bCs w:val="1"/>
                <w:color w:val="auto"/>
                <w:w w:val="99"/>
              </w:rPr>
              <w:t>December 31, 2021</w:t>
            </w:r>
          </w:p>
        </w:tc>
        <w:tc>
          <w:tcPr>
            <w:tcW w:w="8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79"/>
        </w:trPr>
        <w:tc>
          <w:tcPr>
            <w:tcW w:w="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ind w:right="56"/>
              <w:spacing w:after="0"/>
              <w:rPr>
                <w:sz w:val="20"/>
                <w:szCs w:val="20"/>
                <w:color w:val="auto"/>
              </w:rPr>
            </w:pPr>
            <w:r>
              <w:rPr>
                <w:rFonts w:ascii="Arial" w:cs="Arial" w:eastAsia="Arial" w:hAnsi="Arial"/>
                <w:sz w:val="13"/>
                <w:szCs w:val="13"/>
                <w:b w:val="1"/>
                <w:bCs w:val="1"/>
                <w:color w:val="auto"/>
                <w:w w:val="98"/>
              </w:rPr>
              <w:t>Non-Accrual</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ind w:right="56"/>
              <w:spacing w:after="0"/>
              <w:rPr>
                <w:sz w:val="20"/>
                <w:szCs w:val="20"/>
                <w:color w:val="auto"/>
              </w:rPr>
            </w:pPr>
            <w:r>
              <w:rPr>
                <w:rFonts w:ascii="Arial" w:cs="Arial" w:eastAsia="Arial" w:hAnsi="Arial"/>
                <w:sz w:val="13"/>
                <w:szCs w:val="13"/>
                <w:b w:val="1"/>
                <w:bCs w:val="1"/>
                <w:color w:val="auto"/>
                <w:w w:val="98"/>
              </w:rPr>
              <w:t>Non-Accrual</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53"/>
        </w:trPr>
        <w:tc>
          <w:tcPr>
            <w:tcW w:w="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160" w:type="dxa"/>
            <w:vAlign w:val="bottom"/>
            <w:gridSpan w:val="3"/>
          </w:tcPr>
          <w:p>
            <w:pPr>
              <w:jc w:val="right"/>
              <w:spacing w:after="0"/>
              <w:rPr>
                <w:sz w:val="20"/>
                <w:szCs w:val="20"/>
                <w:color w:val="auto"/>
              </w:rPr>
            </w:pPr>
            <w:r>
              <w:rPr>
                <w:rFonts w:ascii="Arial" w:cs="Arial" w:eastAsia="Arial" w:hAnsi="Arial"/>
                <w:sz w:val="13"/>
                <w:szCs w:val="13"/>
                <w:b w:val="1"/>
                <w:bCs w:val="1"/>
                <w:color w:val="auto"/>
              </w:rPr>
              <w:t>Accrual Status</w:t>
            </w:r>
          </w:p>
        </w:tc>
        <w:tc>
          <w:tcPr>
            <w:tcW w:w="80" w:type="dxa"/>
            <w:vAlign w:val="bottom"/>
          </w:tcPr>
          <w:p>
            <w:pPr>
              <w:spacing w:after="0"/>
              <w:rPr>
                <w:sz w:val="13"/>
                <w:szCs w:val="13"/>
                <w:color w:val="auto"/>
              </w:rPr>
            </w:pPr>
          </w:p>
        </w:tc>
        <w:tc>
          <w:tcPr>
            <w:tcW w:w="900" w:type="dxa"/>
            <w:vAlign w:val="bottom"/>
          </w:tcPr>
          <w:p>
            <w:pPr>
              <w:jc w:val="right"/>
              <w:ind w:right="236"/>
              <w:spacing w:after="0"/>
              <w:rPr>
                <w:sz w:val="20"/>
                <w:szCs w:val="20"/>
                <w:color w:val="auto"/>
              </w:rPr>
            </w:pPr>
            <w:r>
              <w:rPr>
                <w:rFonts w:ascii="Arial" w:cs="Arial" w:eastAsia="Arial" w:hAnsi="Arial"/>
                <w:sz w:val="13"/>
                <w:szCs w:val="13"/>
                <w:b w:val="1"/>
                <w:bCs w:val="1"/>
                <w:color w:val="auto"/>
              </w:rPr>
              <w:t>Status</w:t>
            </w:r>
          </w:p>
        </w:tc>
        <w:tc>
          <w:tcPr>
            <w:tcW w:w="100" w:type="dxa"/>
            <w:vAlign w:val="bottom"/>
          </w:tcPr>
          <w:p>
            <w:pPr>
              <w:spacing w:after="0"/>
              <w:rPr>
                <w:sz w:val="13"/>
                <w:szCs w:val="13"/>
                <w:color w:val="auto"/>
              </w:rPr>
            </w:pPr>
          </w:p>
        </w:tc>
        <w:tc>
          <w:tcPr>
            <w:tcW w:w="880" w:type="dxa"/>
            <w:vAlign w:val="bottom"/>
          </w:tcPr>
          <w:p>
            <w:pPr>
              <w:jc w:val="right"/>
              <w:ind w:right="116"/>
              <w:spacing w:after="0"/>
              <w:rPr>
                <w:sz w:val="20"/>
                <w:szCs w:val="20"/>
                <w:color w:val="auto"/>
              </w:rPr>
            </w:pPr>
            <w:r>
              <w:rPr>
                <w:rFonts w:ascii="Arial" w:cs="Arial" w:eastAsia="Arial" w:hAnsi="Arial"/>
                <w:sz w:val="13"/>
                <w:szCs w:val="13"/>
                <w:b w:val="1"/>
                <w:bCs w:val="1"/>
                <w:color w:val="auto"/>
                <w:w w:val="99"/>
              </w:rPr>
              <w:t>Total TDRs</w:t>
            </w:r>
          </w:p>
        </w:tc>
        <w:tc>
          <w:tcPr>
            <w:tcW w:w="980" w:type="dxa"/>
            <w:vAlign w:val="bottom"/>
            <w:gridSpan w:val="3"/>
          </w:tcPr>
          <w:p>
            <w:pPr>
              <w:jc w:val="right"/>
              <w:spacing w:after="0"/>
              <w:rPr>
                <w:sz w:val="20"/>
                <w:szCs w:val="20"/>
                <w:color w:val="auto"/>
              </w:rPr>
            </w:pPr>
            <w:r>
              <w:rPr>
                <w:rFonts w:ascii="Arial" w:cs="Arial" w:eastAsia="Arial" w:hAnsi="Arial"/>
                <w:sz w:val="13"/>
                <w:szCs w:val="13"/>
                <w:b w:val="1"/>
                <w:bCs w:val="1"/>
                <w:color w:val="auto"/>
                <w:w w:val="98"/>
              </w:rPr>
              <w:t>Accrual Status</w:t>
            </w:r>
          </w:p>
        </w:tc>
        <w:tc>
          <w:tcPr>
            <w:tcW w:w="100" w:type="dxa"/>
            <w:vAlign w:val="bottom"/>
          </w:tcPr>
          <w:p>
            <w:pPr>
              <w:spacing w:after="0"/>
              <w:rPr>
                <w:sz w:val="13"/>
                <w:szCs w:val="13"/>
                <w:color w:val="auto"/>
              </w:rPr>
            </w:pPr>
          </w:p>
        </w:tc>
        <w:tc>
          <w:tcPr>
            <w:tcW w:w="880" w:type="dxa"/>
            <w:vAlign w:val="bottom"/>
          </w:tcPr>
          <w:p>
            <w:pPr>
              <w:jc w:val="center"/>
              <w:ind w:right="56"/>
              <w:spacing w:after="0"/>
              <w:rPr>
                <w:sz w:val="20"/>
                <w:szCs w:val="20"/>
                <w:color w:val="auto"/>
              </w:rPr>
            </w:pPr>
            <w:r>
              <w:rPr>
                <w:rFonts w:ascii="Arial" w:cs="Arial" w:eastAsia="Arial" w:hAnsi="Arial"/>
                <w:sz w:val="13"/>
                <w:szCs w:val="13"/>
                <w:b w:val="1"/>
                <w:bCs w:val="1"/>
                <w:color w:val="auto"/>
              </w:rPr>
              <w:t>Status</w:t>
            </w:r>
          </w:p>
        </w:tc>
        <w:tc>
          <w:tcPr>
            <w:tcW w:w="120" w:type="dxa"/>
            <w:vAlign w:val="bottom"/>
          </w:tcPr>
          <w:p>
            <w:pPr>
              <w:spacing w:after="0"/>
              <w:rPr>
                <w:sz w:val="13"/>
                <w:szCs w:val="13"/>
                <w:color w:val="auto"/>
              </w:rPr>
            </w:pPr>
          </w:p>
        </w:tc>
        <w:tc>
          <w:tcPr>
            <w:tcW w:w="860" w:type="dxa"/>
            <w:vAlign w:val="bottom"/>
          </w:tcPr>
          <w:p>
            <w:pPr>
              <w:jc w:val="right"/>
              <w:ind w:right="116"/>
              <w:spacing w:after="0"/>
              <w:rPr>
                <w:sz w:val="20"/>
                <w:szCs w:val="20"/>
                <w:color w:val="auto"/>
              </w:rPr>
            </w:pPr>
            <w:r>
              <w:rPr>
                <w:rFonts w:ascii="Arial" w:cs="Arial" w:eastAsia="Arial" w:hAnsi="Arial"/>
                <w:sz w:val="13"/>
                <w:szCs w:val="13"/>
                <w:b w:val="1"/>
                <w:bCs w:val="1"/>
                <w:color w:val="auto"/>
                <w:w w:val="96"/>
              </w:rPr>
              <w:t>Total TDRs</w:t>
            </w:r>
          </w:p>
        </w:tc>
        <w:tc>
          <w:tcPr>
            <w:tcW w:w="20" w:type="dxa"/>
            <w:vAlign w:val="bottom"/>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1"/>
        </w:trPr>
        <w:tc>
          <w:tcPr>
            <w:tcW w:w="40" w:type="dxa"/>
            <w:vAlign w:val="bottom"/>
          </w:tcPr>
          <w:p>
            <w:pPr>
              <w:spacing w:after="0"/>
              <w:rPr>
                <w:sz w:val="13"/>
                <w:szCs w:val="13"/>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3"/>
                <w:szCs w:val="13"/>
                <w:color w:val="auto"/>
              </w:rPr>
              <w:t>Residential real estate</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7,206</w:t>
            </w:r>
          </w:p>
        </w:tc>
        <w:tc>
          <w:tcPr>
            <w:tcW w:w="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7,206</w:t>
            </w:r>
          </w:p>
        </w:tc>
        <w:tc>
          <w:tcPr>
            <w:tcW w:w="3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w w:val="82"/>
                <w:shd w:val="clear" w:color="auto" w:fill="CCEEFF"/>
              </w:rPr>
              <w:t>$</w:t>
            </w: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7,815</w:t>
            </w:r>
          </w:p>
        </w:tc>
        <w:tc>
          <w:tcPr>
            <w:tcW w:w="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7,815</w:t>
            </w:r>
          </w:p>
        </w:tc>
        <w:tc>
          <w:tcPr>
            <w:tcW w:w="20" w:type="dxa"/>
            <w:vAlign w:val="bottom"/>
            <w:shd w:val="clear" w:color="auto" w:fill="CCEEFF"/>
          </w:tcPr>
          <w:p>
            <w:pPr>
              <w:spacing w:after="0"/>
              <w:rPr>
                <w:sz w:val="13"/>
                <w:szCs w:val="13"/>
                <w:color w:val="auto"/>
              </w:rPr>
            </w:pPr>
          </w:p>
        </w:tc>
      </w:tr>
      <w:tr>
        <w:trPr>
          <w:trHeight w:val="171"/>
        </w:trPr>
        <w:tc>
          <w:tcPr>
            <w:tcW w:w="1660" w:type="dxa"/>
            <w:vAlign w:val="bottom"/>
            <w:gridSpan w:val="2"/>
          </w:tcPr>
          <w:p>
            <w:pPr>
              <w:spacing w:after="0"/>
              <w:rPr>
                <w:sz w:val="20"/>
                <w:szCs w:val="20"/>
                <w:color w:val="auto"/>
              </w:rPr>
            </w:pPr>
            <w:r>
              <w:rPr>
                <w:rFonts w:ascii="Arial" w:cs="Arial" w:eastAsia="Arial" w:hAnsi="Arial"/>
                <w:sz w:val="13"/>
                <w:szCs w:val="13"/>
                <w:color w:val="auto"/>
              </w:rPr>
              <w:t>Commercial real estate</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393</w:t>
            </w:r>
          </w:p>
        </w:tc>
        <w:tc>
          <w:tcPr>
            <w:tcW w:w="80" w:type="dxa"/>
            <w:vAlign w:val="bottom"/>
          </w:tcPr>
          <w:p>
            <w:pPr>
              <w:spacing w:after="0"/>
              <w:rPr>
                <w:sz w:val="14"/>
                <w:szCs w:val="14"/>
                <w:color w:val="auto"/>
              </w:rPr>
            </w:pPr>
          </w:p>
        </w:tc>
        <w:tc>
          <w:tcPr>
            <w:tcW w:w="9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393</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696</w:t>
            </w:r>
          </w:p>
        </w:tc>
        <w:tc>
          <w:tcPr>
            <w:tcW w:w="100" w:type="dxa"/>
            <w:vAlign w:val="bottom"/>
          </w:tcPr>
          <w:p>
            <w:pPr>
              <w:spacing w:after="0"/>
              <w:rPr>
                <w:sz w:val="14"/>
                <w:szCs w:val="14"/>
                <w:color w:val="auto"/>
              </w:rPr>
            </w:pPr>
          </w:p>
        </w:tc>
        <w:tc>
          <w:tcPr>
            <w:tcW w:w="8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696</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82</w:t>
            </w:r>
          </w:p>
        </w:tc>
        <w:tc>
          <w:tcPr>
            <w:tcW w:w="80" w:type="dxa"/>
            <w:vAlign w:val="bottom"/>
            <w:tcBorders>
              <w:right w:val="single" w:sz="8" w:color="CCEEFF"/>
            </w:tcBorders>
            <w:shd w:val="clear" w:color="auto" w:fill="CCEEFF"/>
          </w:tcPr>
          <w:p>
            <w:pPr>
              <w:spacing w:after="0"/>
              <w:rPr>
                <w:sz w:val="14"/>
                <w:szCs w:val="14"/>
                <w:color w:val="auto"/>
              </w:rPr>
            </w:pP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CCEEFF"/>
            </w:tcBorders>
            <w:shd w:val="clear" w:color="auto" w:fill="CCEEFF"/>
          </w:tcPr>
          <w:p>
            <w:pPr>
              <w:spacing w:after="0"/>
              <w:rPr>
                <w:sz w:val="14"/>
                <w:szCs w:val="14"/>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82</w:t>
            </w: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141</w:t>
            </w:r>
          </w:p>
        </w:tc>
        <w:tc>
          <w:tcPr>
            <w:tcW w:w="100" w:type="dxa"/>
            <w:vAlign w:val="bottom"/>
            <w:tcBorders>
              <w:right w:val="single" w:sz="8" w:color="CCEEFF"/>
            </w:tcBorders>
            <w:shd w:val="clear" w:color="auto" w:fill="CCEEFF"/>
          </w:tcPr>
          <w:p>
            <w:pPr>
              <w:spacing w:after="0"/>
              <w:rPr>
                <w:sz w:val="14"/>
                <w:szCs w:val="14"/>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CCEEFF"/>
            </w:tcBorders>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w:t>
            </w:r>
          </w:p>
        </w:tc>
        <w:tc>
          <w:tcPr>
            <w:tcW w:w="20" w:type="dxa"/>
            <w:vAlign w:val="bottom"/>
            <w:shd w:val="clear" w:color="auto" w:fill="CCEEFF"/>
          </w:tcPr>
          <w:p>
            <w:pPr>
              <w:spacing w:after="0"/>
              <w:rPr>
                <w:sz w:val="14"/>
                <w:szCs w:val="14"/>
                <w:color w:val="auto"/>
              </w:rPr>
            </w:pPr>
          </w:p>
        </w:tc>
      </w:tr>
      <w:tr>
        <w:trPr>
          <w:trHeight w:val="171"/>
        </w:trPr>
        <w:tc>
          <w:tcPr>
            <w:tcW w:w="1660" w:type="dxa"/>
            <w:vAlign w:val="bottom"/>
            <w:gridSpan w:val="2"/>
          </w:tcPr>
          <w:p>
            <w:pPr>
              <w:spacing w:after="0"/>
              <w:rPr>
                <w:sz w:val="20"/>
                <w:szCs w:val="20"/>
                <w:color w:val="auto"/>
              </w:rPr>
            </w:pPr>
            <w:r>
              <w:rPr>
                <w:rFonts w:ascii="Arial" w:cs="Arial" w:eastAsia="Arial" w:hAnsi="Arial"/>
                <w:sz w:val="13"/>
                <w:szCs w:val="13"/>
                <w:color w:val="auto"/>
              </w:rPr>
              <w:t>Consumer and other</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196</w:t>
            </w:r>
          </w:p>
        </w:tc>
        <w:tc>
          <w:tcPr>
            <w:tcW w:w="80" w:type="dxa"/>
            <w:vAlign w:val="bottom"/>
          </w:tcPr>
          <w:p>
            <w:pPr>
              <w:spacing w:after="0"/>
              <w:rPr>
                <w:sz w:val="14"/>
                <w:szCs w:val="14"/>
                <w:color w:val="auto"/>
              </w:rPr>
            </w:pPr>
          </w:p>
        </w:tc>
        <w:tc>
          <w:tcPr>
            <w:tcW w:w="9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196</w:t>
            </w:r>
          </w:p>
        </w:tc>
        <w:tc>
          <w:tcPr>
            <w:tcW w:w="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224</w:t>
            </w:r>
          </w:p>
        </w:tc>
        <w:tc>
          <w:tcPr>
            <w:tcW w:w="100" w:type="dxa"/>
            <w:vAlign w:val="bottom"/>
          </w:tcPr>
          <w:p>
            <w:pPr>
              <w:spacing w:after="0"/>
              <w:rPr>
                <w:sz w:val="14"/>
                <w:szCs w:val="14"/>
                <w:color w:val="auto"/>
              </w:rPr>
            </w:pPr>
          </w:p>
        </w:tc>
        <w:tc>
          <w:tcPr>
            <w:tcW w:w="8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224</w:t>
            </w:r>
          </w:p>
        </w:tc>
        <w:tc>
          <w:tcPr>
            <w:tcW w:w="20" w:type="dxa"/>
            <w:vAlign w:val="bottom"/>
          </w:tcPr>
          <w:p>
            <w:pPr>
              <w:spacing w:after="0"/>
              <w:rPr>
                <w:sz w:val="14"/>
                <w:szCs w:val="14"/>
                <w:color w:val="auto"/>
              </w:rPr>
            </w:pPr>
          </w:p>
        </w:tc>
      </w:tr>
      <w:tr>
        <w:trPr>
          <w:trHeight w:val="161"/>
        </w:trPr>
        <w:tc>
          <w:tcPr>
            <w:tcW w:w="40" w:type="dxa"/>
            <w:vAlign w:val="bottom"/>
          </w:tcPr>
          <w:p>
            <w:pPr>
              <w:spacing w:after="0"/>
              <w:rPr>
                <w:sz w:val="14"/>
                <w:szCs w:val="14"/>
                <w:color w:val="auto"/>
              </w:rPr>
            </w:pPr>
          </w:p>
        </w:tc>
        <w:tc>
          <w:tcPr>
            <w:tcW w:w="16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Total</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7,877</w:t>
            </w:r>
          </w:p>
        </w:tc>
        <w:tc>
          <w:tcPr>
            <w:tcW w:w="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7,877</w:t>
            </w:r>
          </w:p>
        </w:tc>
        <w:tc>
          <w:tcPr>
            <w:tcW w:w="3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w w:val="82"/>
                <w:shd w:val="clear" w:color="auto" w:fill="CCEEFF"/>
              </w:rPr>
              <w:t>$</w:t>
            </w: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8,876</w:t>
            </w:r>
          </w:p>
        </w:tc>
        <w:tc>
          <w:tcPr>
            <w:tcW w:w="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8,876</w:t>
            </w:r>
          </w:p>
        </w:tc>
        <w:tc>
          <w:tcPr>
            <w:tcW w:w="20" w:type="dxa"/>
            <w:vAlign w:val="bottom"/>
            <w:shd w:val="clear" w:color="auto" w:fill="CCEEFF"/>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left="640" w:right="699" w:firstLine="256"/>
        <w:spacing w:after="0" w:line="253" w:lineRule="auto"/>
        <w:rPr>
          <w:sz w:val="20"/>
          <w:szCs w:val="20"/>
          <w:color w:val="auto"/>
        </w:rPr>
      </w:pPr>
      <w:r>
        <w:rPr>
          <w:rFonts w:ascii="Arial" w:cs="Arial" w:eastAsia="Arial" w:hAnsi="Arial"/>
          <w:sz w:val="14"/>
          <w:szCs w:val="14"/>
          <w:color w:val="auto"/>
        </w:rPr>
        <w:t>The Company had allocated $294 thousand and $ 360 thousand of specific allowance for TDR loans at December 31, 2022 and 2021, respectively. Charge-offs on TDR loans for the years ended December 31, 2022 and 2021 was $0 thousand and $18 thousand, respectively. There was no commitment to lend additional funds to these TDR customers.</w:t>
      </w:r>
    </w:p>
    <w:p>
      <w:pPr>
        <w:spacing w:after="0" w:line="142" w:lineRule="exact"/>
        <w:rPr>
          <w:sz w:val="20"/>
          <w:szCs w:val="20"/>
          <w:color w:val="auto"/>
        </w:rPr>
      </w:pPr>
    </w:p>
    <w:p>
      <w:pPr>
        <w:jc w:val="both"/>
        <w:ind w:left="640" w:right="719" w:firstLine="256"/>
        <w:spacing w:after="0" w:line="268" w:lineRule="auto"/>
        <w:rPr>
          <w:sz w:val="20"/>
          <w:szCs w:val="20"/>
          <w:color w:val="auto"/>
        </w:rPr>
      </w:pPr>
      <w:r>
        <w:rPr>
          <w:rFonts w:ascii="Arial" w:cs="Arial" w:eastAsia="Arial" w:hAnsi="Arial"/>
          <w:sz w:val="14"/>
          <w:szCs w:val="14"/>
          <w:color w:val="auto"/>
        </w:rPr>
        <w:t>The Company did not have any new TDR loans, loan modifications, nor defaults for the years ended December 31, 2022 and December 31, 2021.</w:t>
      </w:r>
    </w:p>
    <w:p>
      <w:pPr>
        <w:spacing w:after="0" w:line="131" w:lineRule="exact"/>
        <w:rPr>
          <w:sz w:val="20"/>
          <w:szCs w:val="20"/>
          <w:color w:val="auto"/>
        </w:rPr>
      </w:pPr>
    </w:p>
    <w:p>
      <w:pPr>
        <w:ind w:left="640" w:right="699" w:firstLine="256"/>
        <w:spacing w:after="0" w:line="268" w:lineRule="auto"/>
        <w:rPr>
          <w:sz w:val="20"/>
          <w:szCs w:val="20"/>
          <w:color w:val="auto"/>
        </w:rPr>
      </w:pPr>
      <w:r>
        <w:rPr>
          <w:rFonts w:ascii="Arial" w:cs="Arial" w:eastAsia="Arial" w:hAnsi="Arial"/>
          <w:sz w:val="14"/>
          <w:szCs w:val="14"/>
          <w:color w:val="auto"/>
        </w:rPr>
        <w:t>During the year ended December 31, 2022 and 2021, the Company did not modify any new loans to borrowers impacted by COVID-19. At December 31, 2022, there was no loan past due that was modified in 2021.</w:t>
      </w:r>
    </w:p>
    <w:p>
      <w:pPr>
        <w:spacing w:after="0" w:line="113" w:lineRule="exact"/>
        <w:rPr>
          <w:sz w:val="20"/>
          <w:szCs w:val="20"/>
          <w:color w:val="auto"/>
        </w:rPr>
      </w:pPr>
    </w:p>
    <w:p>
      <w:pPr>
        <w:ind w:left="1160" w:hanging="518"/>
        <w:spacing w:after="0"/>
        <w:tabs>
          <w:tab w:leader="none" w:pos="1160" w:val="left"/>
        </w:tabs>
        <w:numPr>
          <w:ilvl w:val="0"/>
          <w:numId w:val="10"/>
        </w:numPr>
        <w:rPr>
          <w:rFonts w:ascii="Arial" w:cs="Arial" w:eastAsia="Arial" w:hAnsi="Arial"/>
          <w:sz w:val="14"/>
          <w:szCs w:val="14"/>
          <w:b w:val="1"/>
          <w:bCs w:val="1"/>
          <w:color w:val="auto"/>
        </w:rPr>
      </w:pPr>
      <w:r>
        <w:rPr>
          <w:rFonts w:ascii="Arial" w:cs="Arial" w:eastAsia="Arial" w:hAnsi="Arial"/>
          <w:sz w:val="14"/>
          <w:szCs w:val="14"/>
          <w:b w:val="1"/>
          <w:bCs w:val="1"/>
          <w:color w:val="auto"/>
        </w:rPr>
        <w:t>LEASES</w:t>
      </w:r>
    </w:p>
    <w:p>
      <w:pPr>
        <w:spacing w:after="0" w:line="220" w:lineRule="exact"/>
        <w:rPr>
          <w:sz w:val="20"/>
          <w:szCs w:val="20"/>
          <w:color w:val="auto"/>
        </w:rPr>
      </w:pPr>
    </w:p>
    <w:p>
      <w:pPr>
        <w:jc w:val="both"/>
        <w:ind w:left="640" w:right="719" w:firstLine="256"/>
        <w:spacing w:after="0" w:line="245" w:lineRule="auto"/>
        <w:rPr>
          <w:sz w:val="20"/>
          <w:szCs w:val="20"/>
          <w:color w:val="auto"/>
        </w:rPr>
      </w:pPr>
      <w:r>
        <w:rPr>
          <w:rFonts w:ascii="Arial" w:cs="Arial" w:eastAsia="Arial" w:hAnsi="Arial"/>
          <w:sz w:val="14"/>
          <w:szCs w:val="14"/>
          <w:color w:val="auto"/>
        </w:rPr>
        <w:t>The Company enters into leases in the normal course of business primarily for banking centers and back-office operations. As of December 31, 2022, the Company leased nine of the ten banking centers and the headquarter building. The Company is obligated under non-cancelable operating leases for these premises with expiration dates ranging from 2026 to 2036, many of these leases have extension clauses which the Company could exercise which would extend these dates.</w:t>
      </w:r>
    </w:p>
    <w:p>
      <w:pPr>
        <w:spacing w:after="0" w:line="160" w:lineRule="exact"/>
        <w:rPr>
          <w:sz w:val="20"/>
          <w:szCs w:val="20"/>
          <w:color w:val="auto"/>
        </w:rPr>
      </w:pPr>
    </w:p>
    <w:p>
      <w:pPr>
        <w:jc w:val="both"/>
        <w:ind w:left="640" w:right="679" w:firstLine="256"/>
        <w:spacing w:after="0" w:line="245" w:lineRule="auto"/>
        <w:rPr>
          <w:sz w:val="20"/>
          <w:szCs w:val="20"/>
          <w:color w:val="auto"/>
        </w:rPr>
      </w:pPr>
      <w:r>
        <w:rPr>
          <w:rFonts w:ascii="Arial" w:cs="Arial" w:eastAsia="Arial" w:hAnsi="Arial"/>
          <w:sz w:val="14"/>
          <w:szCs w:val="14"/>
          <w:color w:val="auto"/>
        </w:rPr>
        <w:t>The Company has classified all leases as operating leases. Lease expense for operating leases are recognized on a straight-line basis over the lease term. Right-of-use (“ROU”) assets represent the right to use the underlying asset for the lease term and lease liabilities represent the obligation to make lease payments arising from the lease. The Company elected the short-term lease recognition exemption for all leases that qualify, meaning those with terms under 12 months. ROU assets or lease liabilities are not to be recognized for short-term leases.</w:t>
      </w:r>
    </w:p>
    <w:p>
      <w:pPr>
        <w:spacing w:after="0" w:line="160" w:lineRule="exact"/>
        <w:rPr>
          <w:sz w:val="20"/>
          <w:szCs w:val="20"/>
          <w:color w:val="auto"/>
        </w:rPr>
      </w:pPr>
    </w:p>
    <w:p>
      <w:pPr>
        <w:jc w:val="both"/>
        <w:ind w:left="640" w:right="699" w:firstLine="256"/>
        <w:spacing w:after="0" w:line="253" w:lineRule="auto"/>
        <w:rPr>
          <w:sz w:val="20"/>
          <w:szCs w:val="20"/>
          <w:color w:val="auto"/>
        </w:rPr>
      </w:pPr>
      <w:r>
        <w:rPr>
          <w:rFonts w:ascii="Arial" w:cs="Arial" w:eastAsia="Arial" w:hAnsi="Arial"/>
          <w:sz w:val="14"/>
          <w:szCs w:val="14"/>
          <w:color w:val="auto"/>
        </w:rPr>
        <w:t>ROU assets and lease liabilities are recognized at the lease commencement date based on the estimated present value of lease payments over the lease term. In the Company’s Consolidated Balance Sheets, ROU assets are reported under other assets while lease liabilities are classified under accrued interest and other liabilities.</w:t>
      </w:r>
    </w:p>
    <w:p>
      <w:pPr>
        <w:spacing w:after="0" w:line="200" w:lineRule="exact"/>
        <w:rPr>
          <w:sz w:val="20"/>
          <w:szCs w:val="20"/>
          <w:color w:val="auto"/>
        </w:rPr>
      </w:pPr>
    </w:p>
    <w:p>
      <w:pPr>
        <w:spacing w:after="0" w:line="283"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33</w:t>
      </w:r>
      <w:r>
        <w:rPr>
          <w:sz w:val="20"/>
          <w:szCs w:val="20"/>
          <w:color w:val="auto"/>
        </w:rPr>
        <w:tab/>
      </w:r>
      <w:r>
        <w:rPr>
          <w:rFonts w:ascii="Arial" w:cs="Arial" w:eastAsia="Arial" w:hAnsi="Arial"/>
          <w:sz w:val="14"/>
          <w:szCs w:val="14"/>
          <w:color w:val="auto"/>
        </w:rPr>
        <w:t>USCB Financial Holdings, Inc.</w:t>
        <w:tab/>
        <w:t>2022 10-K/A</w:t>
      </w:r>
    </w:p>
    <w:p>
      <w:pPr>
        <w:sectPr>
          <w:pgSz w:w="11900" w:h="16838" w:orient="portrait"/>
          <w:cols w:equalWidth="0" w:num="1">
            <w:col w:w="9019"/>
          </w:cols>
          <w:pgMar w:left="1440" w:top="490" w:right="1440" w:bottom="1440" w:gutter="0" w:footer="0" w:header="0"/>
        </w:sectPr>
      </w:pPr>
    </w:p>
    <w:bookmarkStart w:id="33" w:name="page34"/>
    <w:bookmarkEnd w:id="3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80" w:lineRule="exact"/>
        <w:rPr>
          <w:sz w:val="20"/>
          <w:szCs w:val="20"/>
          <w:color w:val="auto"/>
        </w:rPr>
      </w:pPr>
    </w:p>
    <w:p>
      <w:pPr>
        <w:jc w:val="both"/>
        <w:ind w:left="640" w:right="659" w:firstLine="256"/>
        <w:spacing w:after="0" w:line="253" w:lineRule="auto"/>
        <w:rPr>
          <w:sz w:val="20"/>
          <w:szCs w:val="20"/>
          <w:color w:val="auto"/>
        </w:rPr>
      </w:pPr>
      <w:r>
        <w:rPr>
          <w:rFonts w:ascii="Arial" w:cs="Arial" w:eastAsia="Arial" w:hAnsi="Arial"/>
          <w:sz w:val="14"/>
          <w:szCs w:val="14"/>
          <w:color w:val="auto"/>
        </w:rPr>
        <w:t>As most of the Company’s leases do not provide an implicit rate, the incremental borrowing rate based on the information available at commencement date is used. The Company’s incremental borrowing rate is based on the FHLB advance rate matching or nearing the lease term.</w:t>
      </w:r>
    </w:p>
    <w:p>
      <w:pPr>
        <w:spacing w:after="0" w:line="142"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The following table presents the ROU assets and lease liabilities as of December 31, 2022 and 2021 (in thousands):</w:t>
      </w:r>
    </w:p>
    <w:p>
      <w:pPr>
        <w:spacing w:after="0" w:line="177" w:lineRule="exact"/>
        <w:rPr>
          <w:sz w:val="20"/>
          <w:szCs w:val="20"/>
          <w:color w:val="auto"/>
        </w:rPr>
      </w:pPr>
    </w:p>
    <w:tbl>
      <w:tblPr>
        <w:tblLayout w:type="fixed"/>
        <w:tblInd w:w="620" w:type="dxa"/>
        <w:tblCellMar>
          <w:top w:w="0" w:type="dxa"/>
          <w:left w:w="0" w:type="dxa"/>
          <w:bottom w:w="0" w:type="dxa"/>
          <w:right w:w="0" w:type="dxa"/>
        </w:tblCellMar>
      </w:tblPr>
      <w:tr>
        <w:trPr>
          <w:trHeight w:val="173"/>
        </w:trPr>
        <w:tc>
          <w:tcPr>
            <w:tcW w:w="4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2022</w:t>
            </w:r>
          </w:p>
        </w:tc>
        <w:tc>
          <w:tcPr>
            <w:tcW w:w="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380" w:type="dxa"/>
            <w:vAlign w:val="bottom"/>
            <w:tcBorders>
              <w:top w:val="single" w:sz="8" w:color="CCEEFF"/>
            </w:tcBorders>
            <w:shd w:val="clear" w:color="auto" w:fill="CCEEFF"/>
          </w:tcPr>
          <w:p>
            <w:pPr>
              <w:spacing w:after="0" w:line="140" w:lineRule="exact"/>
              <w:rPr>
                <w:sz w:val="20"/>
                <w:szCs w:val="20"/>
                <w:color w:val="auto"/>
              </w:rPr>
            </w:pPr>
            <w:r>
              <w:rPr>
                <w:rFonts w:ascii="Arial" w:cs="Arial" w:eastAsia="Arial" w:hAnsi="Arial"/>
                <w:sz w:val="13"/>
                <w:szCs w:val="13"/>
                <w:b w:val="1"/>
                <w:bCs w:val="1"/>
                <w:color w:val="auto"/>
              </w:rPr>
              <w:t>ROU assets:</w:t>
            </w:r>
          </w:p>
        </w:tc>
        <w:tc>
          <w:tcPr>
            <w:tcW w:w="23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3380" w:type="dxa"/>
            <w:vAlign w:val="bottom"/>
          </w:tcPr>
          <w:p>
            <w:pPr>
              <w:jc w:val="right"/>
              <w:ind w:right="2296"/>
              <w:spacing w:after="0"/>
              <w:rPr>
                <w:sz w:val="20"/>
                <w:szCs w:val="20"/>
                <w:color w:val="auto"/>
              </w:rPr>
            </w:pPr>
            <w:r>
              <w:rPr>
                <w:rFonts w:ascii="Arial" w:cs="Arial" w:eastAsia="Arial" w:hAnsi="Arial"/>
                <w:sz w:val="13"/>
                <w:szCs w:val="13"/>
                <w:color w:val="auto"/>
              </w:rPr>
              <w:t>Operating leases</w:t>
            </w:r>
          </w:p>
        </w:tc>
        <w:tc>
          <w:tcPr>
            <w:tcW w:w="256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6"/>
              <w:spacing w:after="0"/>
              <w:rPr>
                <w:sz w:val="20"/>
                <w:szCs w:val="20"/>
                <w:color w:val="auto"/>
              </w:rPr>
            </w:pPr>
            <w:r>
              <w:rPr>
                <w:rFonts w:ascii="Arial" w:cs="Arial" w:eastAsia="Arial" w:hAnsi="Arial"/>
                <w:sz w:val="13"/>
                <w:szCs w:val="13"/>
                <w:color w:val="auto"/>
              </w:rPr>
              <w:t>14,395</w:t>
            </w:r>
          </w:p>
        </w:tc>
        <w:tc>
          <w:tcPr>
            <w:tcW w:w="22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6"/>
              <w:spacing w:after="0"/>
              <w:rPr>
                <w:sz w:val="20"/>
                <w:szCs w:val="20"/>
                <w:color w:val="auto"/>
              </w:rPr>
            </w:pPr>
            <w:r>
              <w:rPr>
                <w:rFonts w:ascii="Arial" w:cs="Arial" w:eastAsia="Arial" w:hAnsi="Arial"/>
                <w:sz w:val="13"/>
                <w:szCs w:val="13"/>
                <w:color w:val="auto"/>
              </w:rPr>
              <w:t>14,185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 w:type="dxa"/>
            <w:vAlign w:val="bottom"/>
            <w:vMerge w:val="restart"/>
          </w:tcPr>
          <w:p>
            <w:pPr>
              <w:spacing w:after="0"/>
              <w:rPr>
                <w:sz w:val="13"/>
                <w:szCs w:val="13"/>
                <w:color w:val="auto"/>
              </w:rPr>
            </w:pPr>
          </w:p>
        </w:tc>
        <w:tc>
          <w:tcPr>
            <w:tcW w:w="3380" w:type="dxa"/>
            <w:vAlign w:val="bottom"/>
            <w:shd w:val="clear" w:color="auto" w:fill="CCEEFF"/>
          </w:tcPr>
          <w:p>
            <w:pPr>
              <w:spacing w:after="0"/>
              <w:rPr>
                <w:sz w:val="13"/>
                <w:szCs w:val="13"/>
                <w:color w:val="auto"/>
              </w:rPr>
            </w:pPr>
          </w:p>
        </w:tc>
        <w:tc>
          <w:tcPr>
            <w:tcW w:w="23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3380" w:type="dxa"/>
            <w:vAlign w:val="bottom"/>
          </w:tcPr>
          <w:p>
            <w:pPr>
              <w:spacing w:after="0"/>
              <w:rPr>
                <w:sz w:val="20"/>
                <w:szCs w:val="20"/>
                <w:color w:val="auto"/>
              </w:rPr>
            </w:pPr>
            <w:r>
              <w:rPr>
                <w:rFonts w:ascii="Arial" w:cs="Arial" w:eastAsia="Arial" w:hAnsi="Arial"/>
                <w:sz w:val="13"/>
                <w:szCs w:val="13"/>
                <w:b w:val="1"/>
                <w:bCs w:val="1"/>
                <w:color w:val="auto"/>
              </w:rPr>
              <w:t>Lease liabilities:</w:t>
            </w:r>
          </w:p>
        </w:tc>
        <w:tc>
          <w:tcPr>
            <w:tcW w:w="2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3380" w:type="dxa"/>
            <w:vAlign w:val="bottom"/>
            <w:shd w:val="clear" w:color="auto" w:fill="CCEEFF"/>
          </w:tcPr>
          <w:p>
            <w:pPr>
              <w:jc w:val="right"/>
              <w:ind w:right="2296"/>
              <w:spacing w:after="0"/>
              <w:rPr>
                <w:sz w:val="20"/>
                <w:szCs w:val="20"/>
                <w:color w:val="auto"/>
              </w:rPr>
            </w:pPr>
            <w:r>
              <w:rPr>
                <w:rFonts w:ascii="Arial" w:cs="Arial" w:eastAsia="Arial" w:hAnsi="Arial"/>
                <w:sz w:val="13"/>
                <w:szCs w:val="13"/>
                <w:color w:val="auto"/>
              </w:rPr>
              <w:t>Operating leases</w:t>
            </w:r>
          </w:p>
        </w:tc>
        <w:tc>
          <w:tcPr>
            <w:tcW w:w="25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14,395</w:t>
            </w:r>
          </w:p>
        </w:tc>
        <w:tc>
          <w:tcPr>
            <w:tcW w:w="2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14,185</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weighted average remaining lease term and weighted average discount rate as of December 31, 2022 and 2021:</w:t>
      </w:r>
    </w:p>
    <w:p>
      <w:pPr>
        <w:spacing w:after="0" w:line="166" w:lineRule="exact"/>
        <w:rPr>
          <w:sz w:val="20"/>
          <w:szCs w:val="20"/>
          <w:color w:val="auto"/>
        </w:rPr>
      </w:pPr>
    </w:p>
    <w:tbl>
      <w:tblPr>
        <w:tblLayout w:type="fixed"/>
        <w:tblInd w:w="620" w:type="dxa"/>
        <w:tblCellMar>
          <w:top w:w="0" w:type="dxa"/>
          <w:left w:w="0" w:type="dxa"/>
          <w:bottom w:w="0" w:type="dxa"/>
          <w:right w:w="0" w:type="dxa"/>
        </w:tblCellMar>
      </w:tblPr>
      <w:tr>
        <w:trPr>
          <w:trHeight w:val="164"/>
        </w:trPr>
        <w:tc>
          <w:tcPr>
            <w:tcW w:w="40" w:type="dxa"/>
            <w:vAlign w:val="bottom"/>
          </w:tcPr>
          <w:p>
            <w:pPr>
              <w:spacing w:after="0"/>
              <w:rPr>
                <w:sz w:val="14"/>
                <w:szCs w:val="14"/>
                <w:color w:val="auto"/>
              </w:rPr>
            </w:pPr>
          </w:p>
        </w:tc>
        <w:tc>
          <w:tcPr>
            <w:tcW w:w="57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2022</w:t>
            </w:r>
          </w:p>
        </w:tc>
        <w:tc>
          <w:tcPr>
            <w:tcW w:w="6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Weighted average remaining lease term (in years):</w:t>
            </w:r>
          </w:p>
        </w:tc>
        <w:tc>
          <w:tcPr>
            <w:tcW w:w="9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740" w:type="dxa"/>
            <w:vAlign w:val="bottom"/>
            <w:gridSpan w:val="2"/>
          </w:tcPr>
          <w:p>
            <w:pPr>
              <w:jc w:val="right"/>
              <w:ind w:right="4720"/>
              <w:spacing w:after="0"/>
              <w:rPr>
                <w:sz w:val="20"/>
                <w:szCs w:val="20"/>
                <w:color w:val="auto"/>
              </w:rPr>
            </w:pPr>
            <w:r>
              <w:rPr>
                <w:rFonts w:ascii="Arial" w:cs="Arial" w:eastAsia="Arial" w:hAnsi="Arial"/>
                <w:sz w:val="13"/>
                <w:szCs w:val="13"/>
                <w:color w:val="auto"/>
              </w:rPr>
              <w:t>Operating leases</w:t>
            </w:r>
          </w:p>
        </w:tc>
        <w:tc>
          <w:tcPr>
            <w:tcW w:w="940" w:type="dxa"/>
            <w:vAlign w:val="bottom"/>
          </w:tcPr>
          <w:p>
            <w:pPr>
              <w:ind w:left="500"/>
              <w:spacing w:after="0"/>
              <w:rPr>
                <w:sz w:val="20"/>
                <w:szCs w:val="20"/>
                <w:color w:val="auto"/>
              </w:rPr>
            </w:pPr>
            <w:r>
              <w:rPr>
                <w:rFonts w:ascii="Arial" w:cs="Arial" w:eastAsia="Arial" w:hAnsi="Arial"/>
                <w:sz w:val="13"/>
                <w:szCs w:val="13"/>
                <w:color w:val="auto"/>
              </w:rPr>
              <w:t>6.98</w:t>
            </w:r>
          </w:p>
        </w:tc>
        <w:tc>
          <w:tcPr>
            <w:tcW w:w="1000" w:type="dxa"/>
            <w:vAlign w:val="bottom"/>
            <w:gridSpan w:val="2"/>
          </w:tcPr>
          <w:p>
            <w:pPr>
              <w:ind w:left="560"/>
              <w:spacing w:after="0"/>
              <w:rPr>
                <w:sz w:val="20"/>
                <w:szCs w:val="20"/>
                <w:color w:val="auto"/>
              </w:rPr>
            </w:pPr>
            <w:r>
              <w:rPr>
                <w:rFonts w:ascii="Arial" w:cs="Arial" w:eastAsia="Arial" w:hAnsi="Arial"/>
                <w:sz w:val="13"/>
                <w:szCs w:val="13"/>
                <w:color w:val="auto"/>
              </w:rPr>
              <w:t>8.28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0" w:type="dxa"/>
            <w:vAlign w:val="bottom"/>
            <w:vMerge w:val="restart"/>
          </w:tcPr>
          <w:p>
            <w:pPr>
              <w:spacing w:after="0"/>
              <w:rPr>
                <w:sz w:val="14"/>
                <w:szCs w:val="14"/>
                <w:color w:val="auto"/>
              </w:rPr>
            </w:pPr>
          </w:p>
        </w:tc>
        <w:tc>
          <w:tcPr>
            <w:tcW w:w="5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5740" w:type="dxa"/>
            <w:vAlign w:val="bottom"/>
            <w:gridSpan w:val="2"/>
          </w:tcPr>
          <w:p>
            <w:pPr>
              <w:spacing w:after="0"/>
              <w:rPr>
                <w:sz w:val="20"/>
                <w:szCs w:val="20"/>
                <w:color w:val="auto"/>
              </w:rPr>
            </w:pPr>
            <w:r>
              <w:rPr>
                <w:rFonts w:ascii="Arial" w:cs="Arial" w:eastAsia="Arial" w:hAnsi="Arial"/>
                <w:sz w:val="13"/>
                <w:szCs w:val="13"/>
                <w:b w:val="1"/>
                <w:bCs w:val="1"/>
                <w:color w:val="auto"/>
              </w:rPr>
              <w:t>Weighted average discount rate:</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5740" w:type="dxa"/>
            <w:vAlign w:val="bottom"/>
            <w:gridSpan w:val="2"/>
            <w:shd w:val="clear" w:color="auto" w:fill="CCEEFF"/>
          </w:tcPr>
          <w:p>
            <w:pPr>
              <w:jc w:val="right"/>
              <w:ind w:right="4720"/>
              <w:spacing w:after="0"/>
              <w:rPr>
                <w:sz w:val="20"/>
                <w:szCs w:val="20"/>
                <w:color w:val="auto"/>
              </w:rPr>
            </w:pPr>
            <w:r>
              <w:rPr>
                <w:rFonts w:ascii="Arial" w:cs="Arial" w:eastAsia="Arial" w:hAnsi="Arial"/>
                <w:sz w:val="13"/>
                <w:szCs w:val="13"/>
                <w:color w:val="auto"/>
              </w:rPr>
              <w:t>Operating leases</w:t>
            </w:r>
          </w:p>
        </w:tc>
        <w:tc>
          <w:tcPr>
            <w:tcW w:w="940" w:type="dxa"/>
            <w:vAlign w:val="bottom"/>
            <w:shd w:val="clear" w:color="auto" w:fill="CCEEFF"/>
          </w:tcPr>
          <w:p>
            <w:pPr>
              <w:ind w:left="500"/>
              <w:spacing w:after="0"/>
              <w:rPr>
                <w:sz w:val="20"/>
                <w:szCs w:val="20"/>
                <w:color w:val="auto"/>
              </w:rPr>
            </w:pPr>
            <w:r>
              <w:rPr>
                <w:rFonts w:ascii="Arial" w:cs="Arial" w:eastAsia="Arial" w:hAnsi="Arial"/>
                <w:sz w:val="13"/>
                <w:szCs w:val="13"/>
                <w:color w:val="auto"/>
              </w:rPr>
              <w:t>2.94%</w:t>
            </w:r>
          </w:p>
        </w:tc>
        <w:tc>
          <w:tcPr>
            <w:tcW w:w="100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2.32%</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Future lease payment obligations and a reconciliation to lease liability as of December 31, 2022 (in thousands):</w:t>
      </w:r>
    </w:p>
    <w:p>
      <w:pPr>
        <w:spacing w:after="0" w:line="170" w:lineRule="exact"/>
        <w:rPr>
          <w:sz w:val="20"/>
          <w:szCs w:val="20"/>
          <w:color w:val="auto"/>
        </w:rPr>
      </w:pPr>
    </w:p>
    <w:tbl>
      <w:tblPr>
        <w:tblLayout w:type="fixed"/>
        <w:tblInd w:w="62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4060" w:type="dxa"/>
            <w:vAlign w:val="bottom"/>
            <w:gridSpan w:val="2"/>
            <w:shd w:val="clear" w:color="auto" w:fill="CCEEFF"/>
          </w:tcPr>
          <w:p>
            <w:pPr>
              <w:jc w:val="right"/>
              <w:ind w:right="3756"/>
              <w:spacing w:after="0"/>
              <w:rPr>
                <w:sz w:val="20"/>
                <w:szCs w:val="20"/>
                <w:color w:val="auto"/>
              </w:rPr>
            </w:pPr>
            <w:r>
              <w:rPr>
                <w:rFonts w:ascii="Arial" w:cs="Arial" w:eastAsia="Arial" w:hAnsi="Arial"/>
                <w:sz w:val="13"/>
                <w:szCs w:val="13"/>
                <w:color w:val="auto"/>
                <w:w w:val="75"/>
              </w:rPr>
              <w:t>2023</w:t>
            </w:r>
          </w:p>
        </w:tc>
        <w:tc>
          <w:tcPr>
            <w:tcW w:w="2540" w:type="dxa"/>
            <w:vAlign w:val="bottom"/>
            <w:gridSpan w:val="2"/>
            <w:shd w:val="clear" w:color="auto" w:fill="CCEEFF"/>
          </w:tcPr>
          <w:p>
            <w:pPr>
              <w:jc w:val="right"/>
              <w:ind w:right="60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3,158</w:t>
            </w:r>
          </w:p>
        </w:tc>
        <w:tc>
          <w:tcPr>
            <w:tcW w:w="20" w:type="dxa"/>
            <w:vAlign w:val="bottom"/>
            <w:shd w:val="clear" w:color="auto" w:fill="CCEEFF"/>
          </w:tcPr>
          <w:p>
            <w:pPr>
              <w:spacing w:after="0"/>
              <w:rPr>
                <w:sz w:val="13"/>
                <w:szCs w:val="13"/>
                <w:color w:val="auto"/>
              </w:rPr>
            </w:pPr>
          </w:p>
        </w:tc>
      </w:tr>
      <w:tr>
        <w:trPr>
          <w:trHeight w:val="160"/>
        </w:trPr>
        <w:tc>
          <w:tcPr>
            <w:tcW w:w="4100" w:type="dxa"/>
            <w:vAlign w:val="bottom"/>
            <w:gridSpan w:val="3"/>
          </w:tcPr>
          <w:p>
            <w:pPr>
              <w:jc w:val="right"/>
              <w:ind w:right="3756"/>
              <w:spacing w:after="0"/>
              <w:rPr>
                <w:sz w:val="20"/>
                <w:szCs w:val="20"/>
                <w:color w:val="auto"/>
              </w:rPr>
            </w:pPr>
            <w:r>
              <w:rPr>
                <w:rFonts w:ascii="Arial" w:cs="Arial" w:eastAsia="Arial" w:hAnsi="Arial"/>
                <w:sz w:val="13"/>
                <w:szCs w:val="13"/>
                <w:color w:val="auto"/>
                <w:w w:val="89"/>
              </w:rPr>
              <w:t>2024</w:t>
            </w:r>
          </w:p>
        </w:tc>
        <w:tc>
          <w:tcPr>
            <w:tcW w:w="1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3,236</w:t>
            </w:r>
          </w:p>
        </w:tc>
        <w:tc>
          <w:tcPr>
            <w:tcW w:w="20" w:type="dxa"/>
            <w:vAlign w:val="bottom"/>
          </w:tcPr>
          <w:p>
            <w:pPr>
              <w:spacing w:after="0"/>
              <w:rPr>
                <w:sz w:val="13"/>
                <w:szCs w:val="13"/>
                <w:color w:val="auto"/>
              </w:rPr>
            </w:pPr>
          </w:p>
        </w:tc>
      </w:tr>
      <w:tr>
        <w:trPr>
          <w:trHeight w:val="160"/>
        </w:trPr>
        <w:tc>
          <w:tcPr>
            <w:tcW w:w="40" w:type="dxa"/>
            <w:vAlign w:val="bottom"/>
          </w:tcPr>
          <w:p>
            <w:pPr>
              <w:spacing w:after="0"/>
              <w:rPr>
                <w:sz w:val="13"/>
                <w:szCs w:val="13"/>
                <w:color w:val="auto"/>
              </w:rPr>
            </w:pPr>
          </w:p>
        </w:tc>
        <w:tc>
          <w:tcPr>
            <w:tcW w:w="4060" w:type="dxa"/>
            <w:vAlign w:val="bottom"/>
            <w:gridSpan w:val="2"/>
            <w:shd w:val="clear" w:color="auto" w:fill="CCEEFF"/>
          </w:tcPr>
          <w:p>
            <w:pPr>
              <w:jc w:val="right"/>
              <w:ind w:right="3756"/>
              <w:spacing w:after="0"/>
              <w:rPr>
                <w:sz w:val="20"/>
                <w:szCs w:val="20"/>
                <w:color w:val="auto"/>
              </w:rPr>
            </w:pPr>
            <w:r>
              <w:rPr>
                <w:rFonts w:ascii="Arial" w:cs="Arial" w:eastAsia="Arial" w:hAnsi="Arial"/>
                <w:sz w:val="13"/>
                <w:szCs w:val="13"/>
                <w:color w:val="auto"/>
                <w:w w:val="75"/>
              </w:rPr>
              <w:t>2025</w:t>
            </w:r>
          </w:p>
        </w:tc>
        <w:tc>
          <w:tcPr>
            <w:tcW w:w="19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3,312</w:t>
            </w:r>
          </w:p>
        </w:tc>
        <w:tc>
          <w:tcPr>
            <w:tcW w:w="20" w:type="dxa"/>
            <w:vAlign w:val="bottom"/>
            <w:shd w:val="clear" w:color="auto" w:fill="CCEEFF"/>
          </w:tcPr>
          <w:p>
            <w:pPr>
              <w:spacing w:after="0"/>
              <w:rPr>
                <w:sz w:val="13"/>
                <w:szCs w:val="13"/>
                <w:color w:val="auto"/>
              </w:rPr>
            </w:pPr>
          </w:p>
        </w:tc>
      </w:tr>
      <w:tr>
        <w:trPr>
          <w:trHeight w:val="171"/>
        </w:trPr>
        <w:tc>
          <w:tcPr>
            <w:tcW w:w="4100" w:type="dxa"/>
            <w:vAlign w:val="bottom"/>
            <w:gridSpan w:val="3"/>
          </w:tcPr>
          <w:p>
            <w:pPr>
              <w:jc w:val="right"/>
              <w:ind w:right="3756"/>
              <w:spacing w:after="0"/>
              <w:rPr>
                <w:sz w:val="20"/>
                <w:szCs w:val="20"/>
                <w:color w:val="auto"/>
              </w:rPr>
            </w:pPr>
            <w:r>
              <w:rPr>
                <w:rFonts w:ascii="Arial" w:cs="Arial" w:eastAsia="Arial" w:hAnsi="Arial"/>
                <w:sz w:val="13"/>
                <w:szCs w:val="13"/>
                <w:color w:val="auto"/>
                <w:w w:val="89"/>
              </w:rPr>
              <w:t>2026</w:t>
            </w:r>
          </w:p>
        </w:tc>
        <w:tc>
          <w:tcPr>
            <w:tcW w:w="1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2,383</w:t>
            </w:r>
          </w:p>
        </w:tc>
        <w:tc>
          <w:tcPr>
            <w:tcW w:w="20" w:type="dxa"/>
            <w:vAlign w:val="bottom"/>
          </w:tcPr>
          <w:p>
            <w:pPr>
              <w:spacing w:after="0"/>
              <w:rPr>
                <w:sz w:val="14"/>
                <w:szCs w:val="14"/>
                <w:color w:val="auto"/>
              </w:rPr>
            </w:pPr>
          </w:p>
        </w:tc>
      </w:tr>
      <w:tr>
        <w:trPr>
          <w:trHeight w:val="160"/>
        </w:trPr>
        <w:tc>
          <w:tcPr>
            <w:tcW w:w="40" w:type="dxa"/>
            <w:vAlign w:val="bottom"/>
          </w:tcPr>
          <w:p>
            <w:pPr>
              <w:spacing w:after="0"/>
              <w:rPr>
                <w:sz w:val="13"/>
                <w:szCs w:val="13"/>
                <w:color w:val="auto"/>
              </w:rPr>
            </w:pPr>
          </w:p>
        </w:tc>
        <w:tc>
          <w:tcPr>
            <w:tcW w:w="4060" w:type="dxa"/>
            <w:vAlign w:val="bottom"/>
            <w:gridSpan w:val="2"/>
            <w:shd w:val="clear" w:color="auto" w:fill="CCEEFF"/>
          </w:tcPr>
          <w:p>
            <w:pPr>
              <w:jc w:val="right"/>
              <w:ind w:right="3756"/>
              <w:spacing w:after="0"/>
              <w:rPr>
                <w:sz w:val="20"/>
                <w:szCs w:val="20"/>
                <w:color w:val="auto"/>
              </w:rPr>
            </w:pPr>
            <w:r>
              <w:rPr>
                <w:rFonts w:ascii="Arial" w:cs="Arial" w:eastAsia="Arial" w:hAnsi="Arial"/>
                <w:sz w:val="13"/>
                <w:szCs w:val="13"/>
                <w:color w:val="auto"/>
                <w:w w:val="75"/>
              </w:rPr>
              <w:t>2027</w:t>
            </w:r>
          </w:p>
        </w:tc>
        <w:tc>
          <w:tcPr>
            <w:tcW w:w="19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951</w:t>
            </w:r>
          </w:p>
        </w:tc>
        <w:tc>
          <w:tcPr>
            <w:tcW w:w="20" w:type="dxa"/>
            <w:vAlign w:val="bottom"/>
            <w:shd w:val="clear" w:color="auto" w:fill="CCEEFF"/>
          </w:tcPr>
          <w:p>
            <w:pPr>
              <w:spacing w:after="0"/>
              <w:rPr>
                <w:sz w:val="13"/>
                <w:szCs w:val="13"/>
                <w:color w:val="auto"/>
              </w:rPr>
            </w:pPr>
          </w:p>
        </w:tc>
      </w:tr>
      <w:tr>
        <w:trPr>
          <w:trHeight w:val="160"/>
        </w:trPr>
        <w:tc>
          <w:tcPr>
            <w:tcW w:w="4100" w:type="dxa"/>
            <w:vAlign w:val="bottom"/>
            <w:gridSpan w:val="3"/>
          </w:tcPr>
          <w:p>
            <w:pPr>
              <w:spacing w:after="0"/>
              <w:rPr>
                <w:sz w:val="20"/>
                <w:szCs w:val="20"/>
                <w:color w:val="auto"/>
              </w:rPr>
            </w:pPr>
            <w:r>
              <w:rPr>
                <w:rFonts w:ascii="Arial" w:cs="Arial" w:eastAsia="Arial" w:hAnsi="Arial"/>
                <w:sz w:val="13"/>
                <w:szCs w:val="13"/>
                <w:color w:val="auto"/>
              </w:rPr>
              <w:t>Thereafter</w:t>
            </w:r>
          </w:p>
        </w:tc>
        <w:tc>
          <w:tcPr>
            <w:tcW w:w="1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3,478</w:t>
            </w:r>
          </w:p>
        </w:tc>
        <w:tc>
          <w:tcPr>
            <w:tcW w:w="20" w:type="dxa"/>
            <w:vAlign w:val="bottom"/>
          </w:tcPr>
          <w:p>
            <w:pPr>
              <w:spacing w:after="0"/>
              <w:rPr>
                <w:sz w:val="13"/>
                <w:szCs w:val="13"/>
                <w:color w:val="auto"/>
              </w:rPr>
            </w:pPr>
          </w:p>
        </w:tc>
      </w:tr>
      <w:tr>
        <w:trPr>
          <w:trHeight w:val="151"/>
        </w:trPr>
        <w:tc>
          <w:tcPr>
            <w:tcW w:w="40" w:type="dxa"/>
            <w:vAlign w:val="bottom"/>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960" w:type="dxa"/>
            <w:vAlign w:val="bottom"/>
            <w:tcBorders>
              <w:top w:val="single" w:sz="8" w:color="CCEEFF"/>
            </w:tcBorders>
            <w:shd w:val="clear" w:color="auto" w:fill="CCEEFF"/>
          </w:tcPr>
          <w:p>
            <w:pPr>
              <w:spacing w:after="0" w:line="140" w:lineRule="exact"/>
              <w:rPr>
                <w:sz w:val="20"/>
                <w:szCs w:val="20"/>
                <w:color w:val="auto"/>
              </w:rPr>
            </w:pPr>
            <w:r>
              <w:rPr>
                <w:rFonts w:ascii="Arial" w:cs="Arial" w:eastAsia="Arial" w:hAnsi="Arial"/>
                <w:sz w:val="13"/>
                <w:szCs w:val="13"/>
                <w:color w:val="auto"/>
              </w:rPr>
              <w:t>Total future minimum lease payments</w:t>
            </w:r>
          </w:p>
        </w:tc>
        <w:tc>
          <w:tcPr>
            <w:tcW w:w="190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16,518</w:t>
            </w:r>
          </w:p>
        </w:tc>
        <w:tc>
          <w:tcPr>
            <w:tcW w:w="20" w:type="dxa"/>
            <w:vAlign w:val="bottom"/>
            <w:shd w:val="clear" w:color="auto" w:fill="CCEEFF"/>
          </w:tcPr>
          <w:p>
            <w:pPr>
              <w:spacing w:after="0"/>
              <w:rPr>
                <w:sz w:val="13"/>
                <w:szCs w:val="13"/>
                <w:color w:val="auto"/>
              </w:rPr>
            </w:pPr>
          </w:p>
        </w:tc>
      </w:tr>
      <w:tr>
        <w:trPr>
          <w:trHeight w:val="171"/>
        </w:trPr>
        <w:tc>
          <w:tcPr>
            <w:tcW w:w="4100" w:type="dxa"/>
            <w:vAlign w:val="bottom"/>
            <w:gridSpan w:val="3"/>
          </w:tcPr>
          <w:p>
            <w:pPr>
              <w:spacing w:after="0"/>
              <w:rPr>
                <w:sz w:val="20"/>
                <w:szCs w:val="20"/>
                <w:color w:val="auto"/>
              </w:rPr>
            </w:pPr>
            <w:r>
              <w:rPr>
                <w:rFonts w:ascii="Arial" w:cs="Arial" w:eastAsia="Arial" w:hAnsi="Arial"/>
                <w:sz w:val="13"/>
                <w:szCs w:val="13"/>
                <w:color w:val="auto"/>
              </w:rPr>
              <w:t>Less: interest component</w:t>
            </w:r>
          </w:p>
        </w:tc>
        <w:tc>
          <w:tcPr>
            <w:tcW w:w="19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(2,123)</w:t>
            </w:r>
          </w:p>
        </w:tc>
        <w:tc>
          <w:tcPr>
            <w:tcW w:w="20" w:type="dxa"/>
            <w:vAlign w:val="bottom"/>
          </w:tcPr>
          <w:p>
            <w:pPr>
              <w:spacing w:after="0"/>
              <w:rPr>
                <w:sz w:val="14"/>
                <w:szCs w:val="14"/>
                <w:color w:val="auto"/>
              </w:rPr>
            </w:pPr>
          </w:p>
        </w:tc>
      </w:tr>
      <w:tr>
        <w:trPr>
          <w:trHeight w:val="161"/>
        </w:trPr>
        <w:tc>
          <w:tcPr>
            <w:tcW w:w="4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3"/>
                <w:szCs w:val="13"/>
                <w:color w:val="auto"/>
              </w:rPr>
              <w:t>Total lease liability</w:t>
            </w:r>
          </w:p>
        </w:tc>
        <w:tc>
          <w:tcPr>
            <w:tcW w:w="2540" w:type="dxa"/>
            <w:vAlign w:val="bottom"/>
            <w:gridSpan w:val="2"/>
            <w:shd w:val="clear" w:color="auto" w:fill="CCEEFF"/>
          </w:tcPr>
          <w:p>
            <w:pPr>
              <w:jc w:val="right"/>
              <w:ind w:right="60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14,395</w:t>
            </w:r>
          </w:p>
        </w:tc>
        <w:tc>
          <w:tcPr>
            <w:tcW w:w="20" w:type="dxa"/>
            <w:vAlign w:val="bottom"/>
            <w:shd w:val="clear" w:color="auto" w:fill="CCEEFF"/>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ind w:left="1160" w:hanging="518"/>
        <w:spacing w:after="0"/>
        <w:tabs>
          <w:tab w:leader="none" w:pos="1160" w:val="left"/>
        </w:tabs>
        <w:numPr>
          <w:ilvl w:val="0"/>
          <w:numId w:val="11"/>
        </w:numPr>
        <w:rPr>
          <w:rFonts w:ascii="Arial" w:cs="Arial" w:eastAsia="Arial" w:hAnsi="Arial"/>
          <w:sz w:val="14"/>
          <w:szCs w:val="14"/>
          <w:b w:val="1"/>
          <w:bCs w:val="1"/>
          <w:color w:val="auto"/>
        </w:rPr>
      </w:pPr>
      <w:r>
        <w:rPr>
          <w:rFonts w:ascii="Arial" w:cs="Arial" w:eastAsia="Arial" w:hAnsi="Arial"/>
          <w:sz w:val="14"/>
          <w:szCs w:val="14"/>
          <w:b w:val="1"/>
          <w:bCs w:val="1"/>
          <w:color w:val="auto"/>
        </w:rPr>
        <w:t>PREMISES AND EQUIPMENT</w:t>
      </w:r>
    </w:p>
    <w:p>
      <w:pPr>
        <w:spacing w:after="0" w:line="220" w:lineRule="exact"/>
        <w:rPr>
          <w:sz w:val="20"/>
          <w:szCs w:val="20"/>
          <w:color w:val="auto"/>
        </w:rPr>
      </w:pPr>
    </w:p>
    <w:p>
      <w:pPr>
        <w:ind w:left="900"/>
        <w:spacing w:after="0"/>
        <w:rPr>
          <w:sz w:val="20"/>
          <w:szCs w:val="20"/>
          <w:color w:val="auto"/>
        </w:rPr>
      </w:pPr>
      <w:r>
        <w:rPr>
          <w:rFonts w:ascii="Arial" w:cs="Arial" w:eastAsia="Arial" w:hAnsi="Arial"/>
          <w:sz w:val="14"/>
          <w:szCs w:val="14"/>
          <w:color w:val="auto"/>
        </w:rPr>
        <w:t>A summary of premises and equipment are presented below as of December 31, 2022 and 2021 (in thousands):</w:t>
      </w:r>
    </w:p>
    <w:p>
      <w:pPr>
        <w:sectPr>
          <w:pgSz w:w="11900" w:h="16838" w:orient="portrait"/>
          <w:cols w:equalWidth="0" w:num="1">
            <w:col w:w="9019"/>
          </w:cols>
          <w:pgMar w:left="1440" w:top="490" w:right="1440" w:bottom="1440" w:gutter="0" w:footer="0" w:header="0"/>
        </w:sectPr>
      </w:pPr>
    </w:p>
    <w:p>
      <w:pPr>
        <w:spacing w:after="0" w:line="353" w:lineRule="exact"/>
        <w:rPr>
          <w:sz w:val="20"/>
          <w:szCs w:val="20"/>
          <w:color w:val="auto"/>
        </w:rPr>
      </w:pPr>
    </w:p>
    <w:p>
      <w:pPr>
        <w:ind w:left="620"/>
        <w:spacing w:after="0"/>
        <w:rPr>
          <w:sz w:val="20"/>
          <w:szCs w:val="20"/>
          <w:color w:val="auto"/>
        </w:rPr>
      </w:pPr>
      <w:r>
        <w:rPr>
          <w:rFonts w:ascii="Arial" w:cs="Arial" w:eastAsia="Arial" w:hAnsi="Arial"/>
          <w:sz w:val="13"/>
          <w:szCs w:val="13"/>
          <w:color w:val="auto"/>
        </w:rPr>
        <w:t>Land</w:t>
      </w:r>
    </w:p>
    <w:p>
      <w:pPr>
        <w:spacing w:after="0" w:line="21" w:lineRule="exact"/>
        <w:rPr>
          <w:sz w:val="20"/>
          <w:szCs w:val="20"/>
          <w:color w:val="auto"/>
        </w:rPr>
      </w:pPr>
    </w:p>
    <w:p>
      <w:pPr>
        <w:ind w:left="620"/>
        <w:spacing w:after="0"/>
        <w:rPr>
          <w:sz w:val="20"/>
          <w:szCs w:val="20"/>
          <w:color w:val="auto"/>
        </w:rPr>
      </w:pPr>
      <w:r>
        <w:rPr>
          <w:rFonts w:ascii="Arial" w:cs="Arial" w:eastAsia="Arial" w:hAnsi="Arial"/>
          <w:sz w:val="13"/>
          <w:szCs w:val="13"/>
          <w:color w:val="auto"/>
        </w:rPr>
        <w:t>Building</w:t>
      </w:r>
    </w:p>
    <w:p>
      <w:pPr>
        <w:spacing w:after="0" w:line="21" w:lineRule="exact"/>
        <w:rPr>
          <w:sz w:val="20"/>
          <w:szCs w:val="20"/>
          <w:color w:val="auto"/>
        </w:rPr>
      </w:pPr>
    </w:p>
    <w:p>
      <w:pPr>
        <w:ind w:left="620"/>
        <w:spacing w:after="0"/>
        <w:rPr>
          <w:sz w:val="20"/>
          <w:szCs w:val="20"/>
          <w:color w:val="auto"/>
        </w:rPr>
      </w:pPr>
      <w:r>
        <w:rPr>
          <w:rFonts w:ascii="Arial" w:cs="Arial" w:eastAsia="Arial" w:hAnsi="Arial"/>
          <w:sz w:val="13"/>
          <w:szCs w:val="13"/>
          <w:color w:val="auto"/>
        </w:rPr>
        <w:t>Furniture, fixtures and equipment</w:t>
      </w:r>
    </w:p>
    <w:p>
      <w:pPr>
        <w:spacing w:after="0" w:line="21" w:lineRule="exact"/>
        <w:rPr>
          <w:sz w:val="20"/>
          <w:szCs w:val="20"/>
          <w:color w:val="auto"/>
        </w:rPr>
      </w:pPr>
    </w:p>
    <w:p>
      <w:pPr>
        <w:ind w:left="620"/>
        <w:spacing w:after="0"/>
        <w:rPr>
          <w:sz w:val="20"/>
          <w:szCs w:val="20"/>
          <w:color w:val="auto"/>
        </w:rPr>
      </w:pPr>
      <w:r>
        <w:rPr>
          <w:rFonts w:ascii="Arial" w:cs="Arial" w:eastAsia="Arial" w:hAnsi="Arial"/>
          <w:sz w:val="13"/>
          <w:szCs w:val="13"/>
          <w:color w:val="auto"/>
        </w:rPr>
        <w:t>Computer hardware and software</w:t>
      </w:r>
    </w:p>
    <w:p>
      <w:pPr>
        <w:spacing w:after="0" w:line="21" w:lineRule="exact"/>
        <w:rPr>
          <w:sz w:val="20"/>
          <w:szCs w:val="20"/>
          <w:color w:val="auto"/>
        </w:rPr>
      </w:pPr>
    </w:p>
    <w:p>
      <w:pPr>
        <w:ind w:left="620"/>
        <w:spacing w:after="0"/>
        <w:rPr>
          <w:sz w:val="20"/>
          <w:szCs w:val="20"/>
          <w:color w:val="auto"/>
        </w:rPr>
      </w:pPr>
      <w:r>
        <w:rPr>
          <w:rFonts w:ascii="Arial" w:cs="Arial" w:eastAsia="Arial" w:hAnsi="Arial"/>
          <w:sz w:val="13"/>
          <w:szCs w:val="13"/>
          <w:color w:val="auto"/>
        </w:rPr>
        <w:t>Leasehold improvements</w:t>
      </w:r>
    </w:p>
    <w:p>
      <w:pPr>
        <w:spacing w:after="0" w:line="21" w:lineRule="exact"/>
        <w:rPr>
          <w:sz w:val="20"/>
          <w:szCs w:val="20"/>
          <w:color w:val="auto"/>
        </w:rPr>
      </w:pPr>
    </w:p>
    <w:p>
      <w:pPr>
        <w:ind w:left="720"/>
        <w:spacing w:after="0"/>
        <w:rPr>
          <w:sz w:val="20"/>
          <w:szCs w:val="20"/>
          <w:color w:val="auto"/>
        </w:rPr>
      </w:pPr>
      <w:r>
        <w:rPr>
          <w:rFonts w:ascii="Arial" w:cs="Arial" w:eastAsia="Arial" w:hAnsi="Arial"/>
          <w:sz w:val="13"/>
          <w:szCs w:val="13"/>
          <w:color w:val="auto"/>
        </w:rPr>
        <w:t>Premises and equipment, gross</w:t>
      </w:r>
    </w:p>
    <w:p>
      <w:pPr>
        <w:spacing w:after="0" w:line="21" w:lineRule="exact"/>
        <w:rPr>
          <w:sz w:val="20"/>
          <w:szCs w:val="20"/>
          <w:color w:val="auto"/>
        </w:rPr>
      </w:pPr>
    </w:p>
    <w:p>
      <w:pPr>
        <w:ind w:left="620"/>
        <w:spacing w:after="0"/>
        <w:rPr>
          <w:sz w:val="20"/>
          <w:szCs w:val="20"/>
          <w:color w:val="auto"/>
        </w:rPr>
      </w:pPr>
      <w:r>
        <w:rPr>
          <w:rFonts w:ascii="Arial" w:cs="Arial" w:eastAsia="Arial" w:hAnsi="Arial"/>
          <w:sz w:val="12"/>
          <w:szCs w:val="12"/>
          <w:color w:val="auto"/>
        </w:rPr>
        <w:t>Accumulated depreciation and amortization</w:t>
      </w:r>
    </w:p>
    <w:p>
      <w:pPr>
        <w:spacing w:after="0" w:line="43" w:lineRule="exact"/>
        <w:rPr>
          <w:sz w:val="20"/>
          <w:szCs w:val="20"/>
          <w:color w:val="auto"/>
        </w:rPr>
      </w:pPr>
    </w:p>
    <w:p>
      <w:pPr>
        <w:ind w:left="720"/>
        <w:spacing w:after="0"/>
        <w:rPr>
          <w:sz w:val="20"/>
          <w:szCs w:val="20"/>
          <w:color w:val="auto"/>
        </w:rPr>
      </w:pPr>
      <w:r>
        <w:rPr>
          <w:rFonts w:ascii="Arial" w:cs="Arial" w:eastAsia="Arial" w:hAnsi="Arial"/>
          <w:sz w:val="13"/>
          <w:szCs w:val="13"/>
          <w:color w:val="auto"/>
        </w:rPr>
        <w:t>Premises and equipment, net</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2021</w:t>
            </w:r>
          </w:p>
        </w:tc>
        <w:tc>
          <w:tcPr>
            <w:tcW w:w="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61"/>
        </w:trPr>
        <w:tc>
          <w:tcPr>
            <w:tcW w:w="200" w:type="dxa"/>
            <w:vAlign w:val="bottom"/>
            <w:gridSpan w:val="3"/>
          </w:tcPr>
          <w:p>
            <w:pPr>
              <w:jc w:val="right"/>
              <w:ind w:right="140"/>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972</w:t>
            </w:r>
          </w:p>
        </w:tc>
        <w:tc>
          <w:tcPr>
            <w:tcW w:w="100" w:type="dxa"/>
            <w:vAlign w:val="bottom"/>
            <w:tcBorders>
              <w:right w:val="single" w:sz="8" w:color="CCEEFF"/>
            </w:tcBorders>
          </w:tcPr>
          <w:p>
            <w:pPr>
              <w:spacing w:after="0"/>
              <w:rPr>
                <w:sz w:val="14"/>
                <w:szCs w:val="14"/>
                <w:color w:val="auto"/>
              </w:rPr>
            </w:pPr>
          </w:p>
        </w:tc>
        <w:tc>
          <w:tcPr>
            <w:tcW w:w="160" w:type="dxa"/>
            <w:vAlign w:val="bottom"/>
            <w:shd w:val="clear" w:color="auto" w:fill="CCEEFF"/>
          </w:tcPr>
          <w:p>
            <w:pPr>
              <w:jc w:val="right"/>
              <w:ind w:right="93"/>
              <w:spacing w:after="0"/>
              <w:rPr>
                <w:sz w:val="20"/>
                <w:szCs w:val="20"/>
                <w:color w:val="auto"/>
              </w:rPr>
            </w:pPr>
            <w:r>
              <w:rPr>
                <w:rFonts w:ascii="Arial" w:cs="Arial" w:eastAsia="Arial" w:hAnsi="Arial"/>
                <w:sz w:val="5"/>
                <w:szCs w:val="5"/>
                <w:color w:val="auto"/>
                <w:w w:val="70"/>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4"/>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1,952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1,947</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57"/>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8,841</w:t>
            </w:r>
          </w:p>
        </w:tc>
        <w:tc>
          <w:tcPr>
            <w:tcW w:w="100" w:type="dxa"/>
            <w:vAlign w:val="bottom"/>
            <w:tcBorders>
              <w:right w:val="single" w:sz="8" w:color="CCEEFF"/>
            </w:tcBorders>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8,726</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4"/>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4,575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4,552</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57"/>
        </w:trPr>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10,451</w:t>
            </w:r>
          </w:p>
        </w:tc>
        <w:tc>
          <w:tcPr>
            <w:tcW w:w="100" w:type="dxa"/>
            <w:vAlign w:val="bottom"/>
            <w:tcBorders>
              <w:bottom w:val="single" w:sz="8" w:color="auto"/>
              <w:right w:val="single" w:sz="8" w:color="CCEEFF"/>
            </w:tcBorders>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9,921</w:t>
            </w:r>
          </w:p>
        </w:tc>
        <w:tc>
          <w:tcPr>
            <w:tcW w:w="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64"/>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26,791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26,118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(21,528)</w:t>
            </w:r>
          </w:p>
        </w:tc>
        <w:tc>
          <w:tcPr>
            <w:tcW w:w="16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(20,840)</w:t>
            </w:r>
          </w:p>
        </w:tc>
        <w:tc>
          <w:tcPr>
            <w:tcW w:w="20" w:type="dxa"/>
            <w:vAlign w:val="bottom"/>
            <w:shd w:val="clear" w:color="auto" w:fill="CCEEFF"/>
          </w:tcPr>
          <w:p>
            <w:pPr>
              <w:spacing w:after="0"/>
              <w:rPr>
                <w:sz w:val="13"/>
                <w:szCs w:val="13"/>
                <w:color w:val="auto"/>
              </w:rPr>
            </w:pPr>
          </w:p>
        </w:tc>
      </w:tr>
      <w:tr>
        <w:trPr>
          <w:trHeight w:val="161"/>
        </w:trPr>
        <w:tc>
          <w:tcPr>
            <w:tcW w:w="200" w:type="dxa"/>
            <w:vAlign w:val="bottom"/>
            <w:gridSpan w:val="3"/>
          </w:tcPr>
          <w:p>
            <w:pPr>
              <w:jc w:val="right"/>
              <w:ind w:right="140"/>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5,263</w:t>
            </w:r>
          </w:p>
        </w:tc>
        <w:tc>
          <w:tcPr>
            <w:tcW w:w="100" w:type="dxa"/>
            <w:vAlign w:val="bottom"/>
          </w:tcPr>
          <w:p>
            <w:pPr>
              <w:spacing w:after="0"/>
              <w:rPr>
                <w:sz w:val="14"/>
                <w:szCs w:val="14"/>
                <w:color w:val="auto"/>
              </w:rPr>
            </w:pPr>
          </w:p>
        </w:tc>
        <w:tc>
          <w:tcPr>
            <w:tcW w:w="160" w:type="dxa"/>
            <w:vAlign w:val="bottom"/>
          </w:tcPr>
          <w:p>
            <w:pPr>
              <w:jc w:val="right"/>
              <w:ind w:right="93"/>
              <w:spacing w:after="0"/>
              <w:rPr>
                <w:sz w:val="20"/>
                <w:szCs w:val="20"/>
                <w:color w:val="auto"/>
              </w:rPr>
            </w:pPr>
            <w:r>
              <w:rPr>
                <w:rFonts w:ascii="Arial" w:cs="Arial" w:eastAsia="Arial" w:hAnsi="Arial"/>
                <w:sz w:val="5"/>
                <w:szCs w:val="5"/>
                <w:color w:val="auto"/>
                <w:w w:val="70"/>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5,278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sectPr>
          <w:pgSz w:w="11900" w:h="16838" w:orient="portrait"/>
          <w:cols w:equalWidth="0" w:num="2">
            <w:col w:w="5680" w:space="720"/>
            <w:col w:w="2619"/>
          </w:cols>
          <w:pgMar w:left="1440" w:top="490" w:right="1440" w:bottom="1440" w:gutter="0" w:footer="0" w:header="0"/>
          <w:type w:val="continuous"/>
        </w:sectPr>
      </w:pPr>
    </w:p>
    <w:p>
      <w:pPr>
        <w:jc w:val="both"/>
        <w:ind w:left="640" w:right="699" w:firstLine="256"/>
        <w:spacing w:after="0" w:line="248" w:lineRule="auto"/>
        <w:rPr>
          <w:sz w:val="20"/>
          <w:szCs w:val="20"/>
          <w:color w:val="auto"/>
        </w:rPr>
      </w:pPr>
      <w:r>
        <w:rPr>
          <w:rFonts w:ascii="Arial" w:cs="Arial" w:eastAsia="Arial" w:hAnsi="Arial"/>
          <w:sz w:val="14"/>
          <w:szCs w:val="14"/>
          <w:color w:val="auto"/>
        </w:rPr>
        <w:t>Depreciation and amortization expense was $ 688 thousand and $1.0 million for the years ended December 31, 2022 and 2021, respectively. During 2021, the Company eliminated $ 0.6 million in assets due to the sale of one banking center and relocation of another banking center. The depreciation on these assets was $0.6 million with the remaining amount recognized as an immaterial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34</w:t>
      </w:r>
      <w:r>
        <w:rPr>
          <w:sz w:val="20"/>
          <w:szCs w:val="20"/>
          <w:color w:val="auto"/>
        </w:rPr>
        <w:tab/>
      </w:r>
      <w:r>
        <w:rPr>
          <w:rFonts w:ascii="Arial" w:cs="Arial" w:eastAsia="Arial" w:hAnsi="Arial"/>
          <w:sz w:val="14"/>
          <w:szCs w:val="14"/>
          <w:color w:val="auto"/>
        </w:rPr>
        <w:t>USCB Financial Holdings, Inc.</w:t>
        <w:tab/>
        <w:t>2022 10-K/A</w:t>
      </w:r>
    </w:p>
    <w:p>
      <w:pPr>
        <w:sectPr>
          <w:pgSz w:w="11900" w:h="16838" w:orient="portrait"/>
          <w:cols w:equalWidth="0" w:num="1">
            <w:col w:w="9019"/>
          </w:cols>
          <w:pgMar w:left="1440" w:top="490" w:right="1440" w:bottom="1440" w:gutter="0" w:footer="0" w:header="0"/>
          <w:type w:val="continuous"/>
        </w:sectPr>
      </w:pPr>
    </w:p>
    <w:bookmarkStart w:id="34" w:name="page35"/>
    <w:bookmarkEnd w:id="3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62" w:lineRule="exact"/>
        <w:rPr>
          <w:sz w:val="20"/>
          <w:szCs w:val="20"/>
          <w:color w:val="auto"/>
        </w:rPr>
      </w:pPr>
    </w:p>
    <w:p>
      <w:pPr>
        <w:ind w:left="1020" w:hanging="378"/>
        <w:spacing w:after="0"/>
        <w:tabs>
          <w:tab w:leader="none" w:pos="1020" w:val="left"/>
        </w:tabs>
        <w:numPr>
          <w:ilvl w:val="0"/>
          <w:numId w:val="12"/>
        </w:numPr>
        <w:rPr>
          <w:rFonts w:ascii="Arial" w:cs="Arial" w:eastAsia="Arial" w:hAnsi="Arial"/>
          <w:sz w:val="14"/>
          <w:szCs w:val="14"/>
          <w:b w:val="1"/>
          <w:bCs w:val="1"/>
          <w:color w:val="auto"/>
        </w:rPr>
      </w:pPr>
      <w:r>
        <w:rPr>
          <w:rFonts w:ascii="Arial" w:cs="Arial" w:eastAsia="Arial" w:hAnsi="Arial"/>
          <w:sz w:val="14"/>
          <w:szCs w:val="14"/>
          <w:b w:val="1"/>
          <w:bCs w:val="1"/>
          <w:color w:val="auto"/>
        </w:rPr>
        <w:t>INCOME TAXES</w:t>
      </w:r>
    </w:p>
    <w:p>
      <w:pPr>
        <w:spacing w:after="0" w:line="220" w:lineRule="exact"/>
        <w:rPr>
          <w:sz w:val="20"/>
          <w:szCs w:val="20"/>
          <w:color w:val="auto"/>
        </w:rPr>
      </w:pPr>
    </w:p>
    <w:p>
      <w:pPr>
        <w:ind w:left="640" w:right="719" w:firstLine="256"/>
        <w:spacing w:after="0" w:line="252" w:lineRule="auto"/>
        <w:rPr>
          <w:sz w:val="20"/>
          <w:szCs w:val="20"/>
          <w:color w:val="auto"/>
        </w:rPr>
      </w:pPr>
      <w:r>
        <w:rPr>
          <w:rFonts w:ascii="Arial" w:cs="Arial" w:eastAsia="Arial" w:hAnsi="Arial"/>
          <w:sz w:val="14"/>
          <w:szCs w:val="14"/>
          <w:color w:val="auto"/>
        </w:rPr>
        <w:t>The Company’s provision for income taxes is presented in the following table for the years ended December 31, 2022 and 2021 (in thousands):</w:t>
      </w:r>
    </w:p>
    <w:p>
      <w:pPr>
        <w:spacing w:after="0" w:line="160" w:lineRule="exact"/>
        <w:rPr>
          <w:sz w:val="20"/>
          <w:szCs w:val="20"/>
          <w:color w:val="auto"/>
        </w:rPr>
      </w:pPr>
    </w:p>
    <w:tbl>
      <w:tblPr>
        <w:tblLayout w:type="fixed"/>
        <w:tblInd w:w="620" w:type="dxa"/>
        <w:tblCellMar>
          <w:top w:w="0" w:type="dxa"/>
          <w:left w:w="0" w:type="dxa"/>
          <w:bottom w:w="0" w:type="dxa"/>
          <w:right w:w="0" w:type="dxa"/>
        </w:tblCellMar>
      </w:tblPr>
      <w:tr>
        <w:trPr>
          <w:trHeight w:val="173"/>
        </w:trPr>
        <w:tc>
          <w:tcPr>
            <w:tcW w:w="4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82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2022</w:t>
            </w: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ind w:right="496"/>
              <w:spacing w:after="0"/>
              <w:rPr>
                <w:sz w:val="20"/>
                <w:szCs w:val="20"/>
                <w:color w:val="auto"/>
              </w:rPr>
            </w:pPr>
            <w:r>
              <w:rPr>
                <w:rFonts w:ascii="Arial" w:cs="Arial" w:eastAsia="Arial" w:hAnsi="Arial"/>
                <w:sz w:val="13"/>
                <w:szCs w:val="13"/>
                <w:b w:val="1"/>
                <w:bCs w:val="1"/>
                <w:color w:val="auto"/>
              </w:rPr>
              <w:t>2021</w:t>
            </w:r>
          </w:p>
        </w:tc>
      </w:tr>
      <w:tr>
        <w:trPr>
          <w:trHeight w:val="141"/>
        </w:trPr>
        <w:tc>
          <w:tcPr>
            <w:tcW w:w="40" w:type="dxa"/>
            <w:vAlign w:val="bottom"/>
          </w:tcPr>
          <w:p>
            <w:pPr>
              <w:spacing w:after="0"/>
              <w:rPr>
                <w:sz w:val="12"/>
                <w:szCs w:val="12"/>
                <w:color w:val="auto"/>
              </w:rPr>
            </w:pPr>
          </w:p>
        </w:tc>
        <w:tc>
          <w:tcPr>
            <w:tcW w:w="3040" w:type="dxa"/>
            <w:vAlign w:val="bottom"/>
            <w:tcBorders>
              <w:top w:val="single" w:sz="8" w:color="CCEEFF"/>
            </w:tcBorders>
            <w:shd w:val="clear" w:color="auto" w:fill="CCEEFF"/>
          </w:tcPr>
          <w:p>
            <w:pPr>
              <w:jc w:val="center"/>
              <w:ind w:right="2516"/>
              <w:spacing w:after="0" w:line="140" w:lineRule="exact"/>
              <w:rPr>
                <w:sz w:val="20"/>
                <w:szCs w:val="20"/>
                <w:color w:val="auto"/>
              </w:rPr>
            </w:pPr>
            <w:r>
              <w:rPr>
                <w:rFonts w:ascii="Arial" w:cs="Arial" w:eastAsia="Arial" w:hAnsi="Arial"/>
                <w:sz w:val="13"/>
                <w:szCs w:val="13"/>
                <w:b w:val="1"/>
                <w:bCs w:val="1"/>
                <w:color w:val="auto"/>
                <w:w w:val="89"/>
              </w:rPr>
              <w:t>Current:</w:t>
            </w:r>
          </w:p>
        </w:tc>
        <w:tc>
          <w:tcPr>
            <w:tcW w:w="2020" w:type="dxa"/>
            <w:vAlign w:val="bottom"/>
            <w:tcBorders>
              <w:top w:val="single" w:sz="8" w:color="CCEEFF"/>
              <w:right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right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right w:val="single" w:sz="8" w:color="CCEEFF"/>
            </w:tcBorders>
            <w:shd w:val="clear" w:color="auto" w:fill="CCEEFF"/>
          </w:tcPr>
          <w:p>
            <w:pPr>
              <w:spacing w:after="0"/>
              <w:rPr>
                <w:sz w:val="12"/>
                <w:szCs w:val="12"/>
                <w:color w:val="auto"/>
              </w:rPr>
            </w:pPr>
          </w:p>
        </w:tc>
      </w:tr>
      <w:tr>
        <w:trPr>
          <w:trHeight w:val="171"/>
        </w:trPr>
        <w:tc>
          <w:tcPr>
            <w:tcW w:w="40" w:type="dxa"/>
            <w:vAlign w:val="bottom"/>
          </w:tcPr>
          <w:p>
            <w:pPr>
              <w:spacing w:after="0"/>
              <w:rPr>
                <w:sz w:val="14"/>
                <w:szCs w:val="14"/>
                <w:color w:val="auto"/>
              </w:rPr>
            </w:pPr>
          </w:p>
        </w:tc>
        <w:tc>
          <w:tcPr>
            <w:tcW w:w="3040" w:type="dxa"/>
            <w:vAlign w:val="bottom"/>
          </w:tcPr>
          <w:p>
            <w:pPr>
              <w:ind w:left="60"/>
              <w:spacing w:after="0"/>
              <w:rPr>
                <w:sz w:val="20"/>
                <w:szCs w:val="20"/>
                <w:color w:val="auto"/>
              </w:rPr>
            </w:pPr>
            <w:r>
              <w:rPr>
                <w:rFonts w:ascii="Arial" w:cs="Arial" w:eastAsia="Arial" w:hAnsi="Arial"/>
                <w:sz w:val="13"/>
                <w:szCs w:val="13"/>
                <w:color w:val="auto"/>
              </w:rPr>
              <w:t>Federal</w:t>
            </w:r>
          </w:p>
        </w:tc>
        <w:tc>
          <w:tcPr>
            <w:tcW w:w="2820" w:type="dxa"/>
            <w:vAlign w:val="bottom"/>
            <w:gridSpan w:val="2"/>
          </w:tcPr>
          <w:p>
            <w:pPr>
              <w:jc w:val="right"/>
              <w:ind w:right="780"/>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200"/>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ind w:right="16"/>
              <w:spacing w:after="0"/>
              <w:rPr>
                <w:sz w:val="20"/>
                <w:szCs w:val="20"/>
                <w:color w:val="auto"/>
              </w:rPr>
            </w:pPr>
            <w:r>
              <w:rPr>
                <w:rFonts w:ascii="Arial" w:cs="Arial" w:eastAsia="Arial" w:hAnsi="Arial"/>
                <w:sz w:val="13"/>
                <w:szCs w:val="13"/>
                <w:color w:val="auto"/>
              </w:rPr>
              <w:t>-</w:t>
            </w:r>
          </w:p>
        </w:tc>
      </w:tr>
      <w:tr>
        <w:trPr>
          <w:trHeight w:val="155"/>
        </w:trPr>
        <w:tc>
          <w:tcPr>
            <w:tcW w:w="40" w:type="dxa"/>
            <w:vAlign w:val="bottom"/>
          </w:tcPr>
          <w:p>
            <w:pPr>
              <w:spacing w:after="0"/>
              <w:rPr>
                <w:sz w:val="13"/>
                <w:szCs w:val="13"/>
                <w:color w:val="auto"/>
              </w:rPr>
            </w:pPr>
          </w:p>
        </w:tc>
        <w:tc>
          <w:tcPr>
            <w:tcW w:w="3040" w:type="dxa"/>
            <w:vAlign w:val="bottom"/>
            <w:shd w:val="clear" w:color="auto" w:fill="CCEEFF"/>
          </w:tcPr>
          <w:p>
            <w:pPr>
              <w:jc w:val="center"/>
              <w:ind w:right="2516"/>
              <w:spacing w:after="0"/>
              <w:rPr>
                <w:sz w:val="20"/>
                <w:szCs w:val="20"/>
                <w:color w:val="auto"/>
              </w:rPr>
            </w:pPr>
            <w:r>
              <w:rPr>
                <w:rFonts w:ascii="Arial" w:cs="Arial" w:eastAsia="Arial" w:hAnsi="Arial"/>
                <w:sz w:val="13"/>
                <w:szCs w:val="13"/>
                <w:color w:val="auto"/>
                <w:w w:val="85"/>
              </w:rPr>
              <w:t>State</w:t>
            </w:r>
          </w:p>
        </w:tc>
        <w:tc>
          <w:tcPr>
            <w:tcW w:w="2020" w:type="dxa"/>
            <w:vAlign w:val="bottom"/>
            <w:tcBorders>
              <w:right w:val="single" w:sz="8" w:color="CCEEFF"/>
            </w:tcBorders>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520" w:type="dxa"/>
            <w:vAlign w:val="bottom"/>
            <w:tcBorders>
              <w:right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6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w w:val="71"/>
              </w:rPr>
              <w:t>$</w:t>
            </w:r>
          </w:p>
        </w:tc>
        <w:tc>
          <w:tcPr>
            <w:tcW w:w="106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r>
      <w:tr>
        <w:trPr>
          <w:trHeight w:val="20"/>
        </w:trPr>
        <w:tc>
          <w:tcPr>
            <w:tcW w:w="40" w:type="dxa"/>
            <w:vAlign w:val="bottom"/>
          </w:tcPr>
          <w:p>
            <w:pPr>
              <w:spacing w:after="0" w:line="20" w:lineRule="exact"/>
              <w:rPr>
                <w:sz w:val="1"/>
                <w:szCs w:val="1"/>
                <w:color w:val="auto"/>
              </w:rPr>
            </w:pPr>
          </w:p>
        </w:tc>
        <w:tc>
          <w:tcPr>
            <w:tcW w:w="3040" w:type="dxa"/>
            <w:vAlign w:val="bottom"/>
            <w:shd w:val="clear" w:color="auto" w:fill="CCEEFF"/>
          </w:tcPr>
          <w:p>
            <w:pPr>
              <w:spacing w:after="0" w:line="20" w:lineRule="exact"/>
              <w:rPr>
                <w:sz w:val="1"/>
                <w:szCs w:val="1"/>
                <w:color w:val="auto"/>
              </w:rPr>
            </w:pPr>
          </w:p>
        </w:tc>
        <w:tc>
          <w:tcPr>
            <w:tcW w:w="2020" w:type="dxa"/>
            <w:vAlign w:val="bottom"/>
            <w:tcBorders>
              <w:right w:val="single" w:sz="8" w:color="auto"/>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060" w:type="dxa"/>
            <w:vAlign w:val="bottom"/>
            <w:tcBorders>
              <w:right w:val="single" w:sz="8" w:color="CCEEFF"/>
            </w:tcBorders>
            <w:shd w:val="clear" w:color="auto" w:fill="000000"/>
          </w:tcPr>
          <w:p>
            <w:pPr>
              <w:spacing w:after="0" w:line="20" w:lineRule="exact"/>
              <w:rPr>
                <w:sz w:val="1"/>
                <w:szCs w:val="1"/>
                <w:color w:val="auto"/>
              </w:rPr>
            </w:pPr>
          </w:p>
        </w:tc>
      </w:tr>
      <w:tr>
        <w:trPr>
          <w:trHeight w:val="167"/>
        </w:trPr>
        <w:tc>
          <w:tcPr>
            <w:tcW w:w="3080" w:type="dxa"/>
            <w:vAlign w:val="bottom"/>
            <w:gridSpan w:val="2"/>
          </w:tcPr>
          <w:p>
            <w:pPr>
              <w:spacing w:after="0"/>
              <w:rPr>
                <w:sz w:val="20"/>
                <w:szCs w:val="20"/>
                <w:color w:val="auto"/>
              </w:rPr>
            </w:pPr>
            <w:r>
              <w:rPr>
                <w:rFonts w:ascii="Arial" w:cs="Arial" w:eastAsia="Arial" w:hAnsi="Arial"/>
                <w:sz w:val="13"/>
                <w:szCs w:val="13"/>
                <w:color w:val="auto"/>
              </w:rPr>
              <w:t>Total current</w:t>
            </w:r>
          </w:p>
        </w:tc>
        <w:tc>
          <w:tcPr>
            <w:tcW w:w="2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200"/>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ind w:right="16"/>
              <w:spacing w:after="0"/>
              <w:rPr>
                <w:sz w:val="20"/>
                <w:szCs w:val="20"/>
                <w:color w:val="auto"/>
              </w:rPr>
            </w:pPr>
            <w:r>
              <w:rPr>
                <w:rFonts w:ascii="Arial" w:cs="Arial" w:eastAsia="Arial" w:hAnsi="Arial"/>
                <w:sz w:val="13"/>
                <w:szCs w:val="13"/>
                <w:color w:val="auto"/>
              </w:rPr>
              <w:t>-</w:t>
            </w:r>
          </w:p>
        </w:tc>
      </w:tr>
      <w:tr>
        <w:trPr>
          <w:trHeight w:val="171"/>
        </w:trPr>
        <w:tc>
          <w:tcPr>
            <w:tcW w:w="40" w:type="dxa"/>
            <w:vAlign w:val="bottom"/>
          </w:tcPr>
          <w:p>
            <w:pPr>
              <w:spacing w:after="0"/>
              <w:rPr>
                <w:sz w:val="14"/>
                <w:szCs w:val="14"/>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Deferred:</w:t>
            </w:r>
          </w:p>
        </w:tc>
        <w:tc>
          <w:tcPr>
            <w:tcW w:w="2020" w:type="dxa"/>
            <w:vAlign w:val="bottom"/>
            <w:tcBorders>
              <w:right w:val="single" w:sz="8" w:color="CCEEFF"/>
            </w:tcBorders>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2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tcBorders>
              <w:right w:val="single" w:sz="8" w:color="CCEEFF"/>
            </w:tcBorders>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040" w:type="dxa"/>
            <w:vAlign w:val="bottom"/>
          </w:tcPr>
          <w:p>
            <w:pPr>
              <w:ind w:left="60"/>
              <w:spacing w:after="0"/>
              <w:rPr>
                <w:sz w:val="20"/>
                <w:szCs w:val="20"/>
                <w:color w:val="auto"/>
              </w:rPr>
            </w:pPr>
            <w:r>
              <w:rPr>
                <w:rFonts w:ascii="Arial" w:cs="Arial" w:eastAsia="Arial" w:hAnsi="Arial"/>
                <w:sz w:val="13"/>
                <w:szCs w:val="13"/>
                <w:color w:val="auto"/>
              </w:rPr>
              <w:t>Federal</w:t>
            </w:r>
          </w:p>
        </w:tc>
        <w:tc>
          <w:tcPr>
            <w:tcW w:w="2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jc w:val="right"/>
              <w:ind w:right="56"/>
              <w:spacing w:after="0"/>
              <w:rPr>
                <w:sz w:val="20"/>
                <w:szCs w:val="20"/>
                <w:color w:val="auto"/>
              </w:rPr>
            </w:pPr>
            <w:r>
              <w:rPr>
                <w:rFonts w:ascii="Arial" w:cs="Arial" w:eastAsia="Arial" w:hAnsi="Arial"/>
                <w:sz w:val="13"/>
                <w:szCs w:val="13"/>
                <w:color w:val="auto"/>
              </w:rPr>
              <w:t>5,462</w:t>
            </w:r>
          </w:p>
        </w:tc>
        <w:tc>
          <w:tcPr>
            <w:tcW w:w="260" w:type="dxa"/>
            <w:vAlign w:val="bottom"/>
            <w:gridSpan w:val="2"/>
          </w:tcPr>
          <w:p>
            <w:pPr>
              <w:jc w:val="right"/>
              <w:ind w:right="200"/>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ind w:right="36"/>
              <w:spacing w:after="0"/>
              <w:rPr>
                <w:sz w:val="20"/>
                <w:szCs w:val="20"/>
                <w:color w:val="auto"/>
              </w:rPr>
            </w:pPr>
            <w:r>
              <w:rPr>
                <w:rFonts w:ascii="Arial" w:cs="Arial" w:eastAsia="Arial" w:hAnsi="Arial"/>
                <w:sz w:val="13"/>
                <w:szCs w:val="13"/>
                <w:color w:val="auto"/>
              </w:rPr>
              <w:t>5,314</w:t>
            </w:r>
          </w:p>
        </w:tc>
      </w:tr>
      <w:tr>
        <w:trPr>
          <w:trHeight w:val="155"/>
        </w:trPr>
        <w:tc>
          <w:tcPr>
            <w:tcW w:w="40" w:type="dxa"/>
            <w:vAlign w:val="bottom"/>
          </w:tcPr>
          <w:p>
            <w:pPr>
              <w:spacing w:after="0"/>
              <w:rPr>
                <w:sz w:val="13"/>
                <w:szCs w:val="13"/>
                <w:color w:val="auto"/>
              </w:rPr>
            </w:pPr>
          </w:p>
        </w:tc>
        <w:tc>
          <w:tcPr>
            <w:tcW w:w="3040" w:type="dxa"/>
            <w:vAlign w:val="bottom"/>
            <w:shd w:val="clear" w:color="auto" w:fill="CCEEFF"/>
          </w:tcPr>
          <w:p>
            <w:pPr>
              <w:jc w:val="center"/>
              <w:ind w:right="2516"/>
              <w:spacing w:after="0"/>
              <w:rPr>
                <w:sz w:val="20"/>
                <w:szCs w:val="20"/>
                <w:color w:val="auto"/>
              </w:rPr>
            </w:pPr>
            <w:r>
              <w:rPr>
                <w:rFonts w:ascii="Arial" w:cs="Arial" w:eastAsia="Arial" w:hAnsi="Arial"/>
                <w:sz w:val="13"/>
                <w:szCs w:val="13"/>
                <w:color w:val="auto"/>
                <w:w w:val="85"/>
              </w:rPr>
              <w:t>State</w:t>
            </w:r>
          </w:p>
        </w:tc>
        <w:tc>
          <w:tcPr>
            <w:tcW w:w="2020" w:type="dxa"/>
            <w:vAlign w:val="bottom"/>
            <w:tcBorders>
              <w:right w:val="single" w:sz="8" w:color="CCEEFF"/>
            </w:tcBorders>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520" w:type="dxa"/>
            <w:vAlign w:val="bottom"/>
            <w:tcBorders>
              <w:right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1,482</w:t>
            </w:r>
          </w:p>
        </w:tc>
        <w:tc>
          <w:tcPr>
            <w:tcW w:w="26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w w:val="71"/>
              </w:rPr>
              <w:t>$</w:t>
            </w:r>
          </w:p>
        </w:tc>
        <w:tc>
          <w:tcPr>
            <w:tcW w:w="106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1,286</w:t>
            </w:r>
          </w:p>
        </w:tc>
      </w:tr>
      <w:tr>
        <w:trPr>
          <w:trHeight w:val="20"/>
        </w:trPr>
        <w:tc>
          <w:tcPr>
            <w:tcW w:w="40" w:type="dxa"/>
            <w:vAlign w:val="bottom"/>
          </w:tcPr>
          <w:p>
            <w:pPr>
              <w:spacing w:after="0" w:line="20" w:lineRule="exact"/>
              <w:rPr>
                <w:sz w:val="1"/>
                <w:szCs w:val="1"/>
                <w:color w:val="auto"/>
              </w:rPr>
            </w:pPr>
          </w:p>
        </w:tc>
        <w:tc>
          <w:tcPr>
            <w:tcW w:w="3040" w:type="dxa"/>
            <w:vAlign w:val="bottom"/>
            <w:shd w:val="clear" w:color="auto" w:fill="CCEEFF"/>
          </w:tcPr>
          <w:p>
            <w:pPr>
              <w:spacing w:after="0" w:line="20" w:lineRule="exact"/>
              <w:rPr>
                <w:sz w:val="1"/>
                <w:szCs w:val="1"/>
                <w:color w:val="auto"/>
              </w:rPr>
            </w:pPr>
          </w:p>
        </w:tc>
        <w:tc>
          <w:tcPr>
            <w:tcW w:w="2020" w:type="dxa"/>
            <w:vAlign w:val="bottom"/>
            <w:tcBorders>
              <w:right w:val="single" w:sz="8" w:color="auto"/>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060" w:type="dxa"/>
            <w:vAlign w:val="bottom"/>
            <w:tcBorders>
              <w:right w:val="single" w:sz="8" w:color="CCEEFF"/>
            </w:tcBorders>
            <w:shd w:val="clear" w:color="auto" w:fill="000000"/>
          </w:tcPr>
          <w:p>
            <w:pPr>
              <w:spacing w:after="0" w:line="20" w:lineRule="exact"/>
              <w:rPr>
                <w:sz w:val="1"/>
                <w:szCs w:val="1"/>
                <w:color w:val="auto"/>
              </w:rPr>
            </w:pPr>
          </w:p>
        </w:tc>
      </w:tr>
      <w:tr>
        <w:trPr>
          <w:trHeight w:val="167"/>
        </w:trPr>
        <w:tc>
          <w:tcPr>
            <w:tcW w:w="3080" w:type="dxa"/>
            <w:vAlign w:val="bottom"/>
            <w:gridSpan w:val="2"/>
          </w:tcPr>
          <w:p>
            <w:pPr>
              <w:spacing w:after="0"/>
              <w:rPr>
                <w:sz w:val="20"/>
                <w:szCs w:val="20"/>
                <w:color w:val="auto"/>
              </w:rPr>
            </w:pPr>
            <w:r>
              <w:rPr>
                <w:rFonts w:ascii="Arial" w:cs="Arial" w:eastAsia="Arial" w:hAnsi="Arial"/>
                <w:sz w:val="13"/>
                <w:szCs w:val="13"/>
                <w:color w:val="auto"/>
              </w:rPr>
              <w:t>Total deferred</w:t>
            </w:r>
          </w:p>
        </w:tc>
        <w:tc>
          <w:tcPr>
            <w:tcW w:w="2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jc w:val="right"/>
              <w:ind w:right="56"/>
              <w:spacing w:after="0"/>
              <w:rPr>
                <w:sz w:val="20"/>
                <w:szCs w:val="20"/>
                <w:color w:val="auto"/>
              </w:rPr>
            </w:pPr>
            <w:r>
              <w:rPr>
                <w:rFonts w:ascii="Arial" w:cs="Arial" w:eastAsia="Arial" w:hAnsi="Arial"/>
                <w:sz w:val="13"/>
                <w:szCs w:val="13"/>
                <w:color w:val="auto"/>
              </w:rPr>
              <w:t>6,944</w:t>
            </w:r>
          </w:p>
        </w:tc>
        <w:tc>
          <w:tcPr>
            <w:tcW w:w="260" w:type="dxa"/>
            <w:vAlign w:val="bottom"/>
            <w:gridSpan w:val="2"/>
          </w:tcPr>
          <w:p>
            <w:pPr>
              <w:jc w:val="right"/>
              <w:ind w:right="200"/>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ind w:right="36"/>
              <w:spacing w:after="0"/>
              <w:rPr>
                <w:sz w:val="20"/>
                <w:szCs w:val="20"/>
                <w:color w:val="auto"/>
              </w:rPr>
            </w:pPr>
            <w:r>
              <w:rPr>
                <w:rFonts w:ascii="Arial" w:cs="Arial" w:eastAsia="Arial" w:hAnsi="Arial"/>
                <w:sz w:val="13"/>
                <w:szCs w:val="13"/>
                <w:color w:val="auto"/>
              </w:rPr>
              <w:t>6,600</w:t>
            </w:r>
          </w:p>
        </w:tc>
      </w:tr>
      <w:tr>
        <w:trPr>
          <w:trHeight w:val="160"/>
        </w:trPr>
        <w:tc>
          <w:tcPr>
            <w:tcW w:w="40" w:type="dxa"/>
            <w:vAlign w:val="bottom"/>
          </w:tcPr>
          <w:p>
            <w:pPr>
              <w:spacing w:after="0"/>
              <w:rPr>
                <w:sz w:val="13"/>
                <w:szCs w:val="13"/>
                <w:color w:val="auto"/>
              </w:rPr>
            </w:pPr>
          </w:p>
        </w:tc>
        <w:tc>
          <w:tcPr>
            <w:tcW w:w="3040" w:type="dxa"/>
            <w:vAlign w:val="bottom"/>
            <w:tcBorders>
              <w:bottom w:val="single" w:sz="8" w:color="CCEEFF"/>
            </w:tcBorders>
            <w:shd w:val="clear" w:color="auto" w:fill="CCEEFF"/>
          </w:tcPr>
          <w:p>
            <w:pPr>
              <w:spacing w:after="0"/>
              <w:rPr>
                <w:sz w:val="13"/>
                <w:szCs w:val="13"/>
                <w:color w:val="auto"/>
              </w:rPr>
            </w:pPr>
          </w:p>
        </w:tc>
        <w:tc>
          <w:tcPr>
            <w:tcW w:w="2020" w:type="dxa"/>
            <w:vAlign w:val="bottom"/>
            <w:tcBorders>
              <w:bottom w:val="single" w:sz="8" w:color="CCEEFF"/>
              <w:right w:val="single" w:sz="8" w:color="CCEEFF"/>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right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right w:val="single" w:sz="8" w:color="CCEEFF"/>
            </w:tcBorders>
            <w:shd w:val="clear" w:color="auto" w:fill="CCEEFF"/>
          </w:tcPr>
          <w:p>
            <w:pPr>
              <w:spacing w:after="0"/>
              <w:rPr>
                <w:sz w:val="13"/>
                <w:szCs w:val="13"/>
                <w:color w:val="auto"/>
              </w:rPr>
            </w:pPr>
          </w:p>
        </w:tc>
      </w:tr>
      <w:tr>
        <w:trPr>
          <w:trHeight w:val="172"/>
        </w:trPr>
        <w:tc>
          <w:tcPr>
            <w:tcW w:w="40" w:type="dxa"/>
            <w:vAlign w:val="bottom"/>
          </w:tcPr>
          <w:p>
            <w:pPr>
              <w:spacing w:after="0"/>
              <w:rPr>
                <w:sz w:val="14"/>
                <w:szCs w:val="14"/>
                <w:color w:val="auto"/>
              </w:rPr>
            </w:pPr>
          </w:p>
        </w:tc>
        <w:tc>
          <w:tcPr>
            <w:tcW w:w="3040" w:type="dxa"/>
            <w:vAlign w:val="bottom"/>
          </w:tcPr>
          <w:p>
            <w:pPr>
              <w:ind w:left="60"/>
              <w:spacing w:after="0"/>
              <w:rPr>
                <w:sz w:val="20"/>
                <w:szCs w:val="20"/>
                <w:color w:val="auto"/>
              </w:rPr>
            </w:pPr>
            <w:r>
              <w:rPr>
                <w:rFonts w:ascii="Arial" w:cs="Arial" w:eastAsia="Arial" w:hAnsi="Arial"/>
                <w:sz w:val="13"/>
                <w:szCs w:val="13"/>
                <w:color w:val="auto"/>
              </w:rPr>
              <w:t>Total tax expense</w:t>
            </w:r>
          </w:p>
        </w:tc>
        <w:tc>
          <w:tcPr>
            <w:tcW w:w="2820" w:type="dxa"/>
            <w:vAlign w:val="bottom"/>
            <w:gridSpan w:val="2"/>
          </w:tcPr>
          <w:p>
            <w:pPr>
              <w:jc w:val="right"/>
              <w:ind w:right="780"/>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56"/>
              <w:spacing w:after="0"/>
              <w:rPr>
                <w:sz w:val="20"/>
                <w:szCs w:val="20"/>
                <w:color w:val="auto"/>
              </w:rPr>
            </w:pPr>
            <w:r>
              <w:rPr>
                <w:rFonts w:ascii="Arial" w:cs="Arial" w:eastAsia="Arial" w:hAnsi="Arial"/>
                <w:sz w:val="13"/>
                <w:szCs w:val="13"/>
                <w:color w:val="auto"/>
              </w:rPr>
              <w:t>6,944</w:t>
            </w:r>
          </w:p>
        </w:tc>
        <w:tc>
          <w:tcPr>
            <w:tcW w:w="260" w:type="dxa"/>
            <w:vAlign w:val="bottom"/>
            <w:gridSpan w:val="2"/>
          </w:tcPr>
          <w:p>
            <w:pPr>
              <w:jc w:val="right"/>
              <w:ind w:right="200"/>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ind w:right="36"/>
              <w:spacing w:after="0"/>
              <w:rPr>
                <w:sz w:val="20"/>
                <w:szCs w:val="20"/>
                <w:color w:val="auto"/>
              </w:rPr>
            </w:pPr>
            <w:r>
              <w:rPr>
                <w:rFonts w:ascii="Arial" w:cs="Arial" w:eastAsia="Arial" w:hAnsi="Arial"/>
                <w:sz w:val="13"/>
                <w:szCs w:val="13"/>
                <w:color w:val="auto"/>
              </w:rPr>
              <w:t>6,600</w:t>
            </w:r>
          </w:p>
        </w:tc>
      </w:tr>
      <w:tr>
        <w:trPr>
          <w:trHeight w:val="20"/>
        </w:trPr>
        <w:tc>
          <w:tcPr>
            <w:tcW w:w="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jc w:val="both"/>
        <w:ind w:left="640" w:right="699" w:firstLine="256"/>
        <w:spacing w:after="0" w:line="253" w:lineRule="auto"/>
        <w:rPr>
          <w:sz w:val="20"/>
          <w:szCs w:val="20"/>
          <w:color w:val="auto"/>
        </w:rPr>
      </w:pPr>
      <w:r>
        <w:rPr>
          <w:rFonts w:ascii="Arial" w:cs="Arial" w:eastAsia="Arial" w:hAnsi="Arial"/>
          <w:sz w:val="14"/>
          <w:szCs w:val="14"/>
          <w:color w:val="auto"/>
        </w:rPr>
        <w:t>The actual income tax expense for the years ended December 31, 2022 and 2021 differs from the statutory tax expense for the year (computed by applying the U.S. federal corporate tax rate of 21% for 2022 and 2021 to income before provision for income taxes) as follows (in thousands):</w:t>
      </w:r>
    </w:p>
    <w:p>
      <w:pPr>
        <w:spacing w:after="0" w:line="159" w:lineRule="exact"/>
        <w:rPr>
          <w:sz w:val="20"/>
          <w:szCs w:val="20"/>
          <w:color w:val="auto"/>
        </w:rPr>
      </w:pPr>
    </w:p>
    <w:tbl>
      <w:tblPr>
        <w:tblLayout w:type="fixed"/>
        <w:tblInd w:w="620" w:type="dxa"/>
        <w:tblCellMar>
          <w:top w:w="0" w:type="dxa"/>
          <w:left w:w="0" w:type="dxa"/>
          <w:bottom w:w="0" w:type="dxa"/>
          <w:right w:w="0" w:type="dxa"/>
        </w:tblCellMar>
      </w:tblPr>
      <w:tr>
        <w:trPr>
          <w:trHeight w:val="153"/>
        </w:trPr>
        <w:tc>
          <w:tcPr>
            <w:tcW w:w="60" w:type="dxa"/>
            <w:vAlign w:val="bottom"/>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660" w:type="dxa"/>
            <w:vAlign w:val="bottom"/>
            <w:tcBorders>
              <w:bottom w:val="single" w:sz="8" w:color="CCEEFF"/>
            </w:tcBorders>
          </w:tcPr>
          <w:p>
            <w:pPr>
              <w:spacing w:after="0"/>
              <w:rPr>
                <w:sz w:val="13"/>
                <w:szCs w:val="13"/>
                <w:color w:val="auto"/>
              </w:rPr>
            </w:pPr>
          </w:p>
        </w:tc>
        <w:tc>
          <w:tcPr>
            <w:tcW w:w="128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4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2021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60" w:type="dxa"/>
            <w:vAlign w:val="bottom"/>
          </w:tcPr>
          <w:p>
            <w:pPr>
              <w:spacing w:after="0"/>
              <w:rPr>
                <w:sz w:val="13"/>
                <w:szCs w:val="13"/>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Federal taxes at statutory rate</w:t>
            </w:r>
          </w:p>
        </w:tc>
        <w:tc>
          <w:tcPr>
            <w:tcW w:w="2100" w:type="dxa"/>
            <w:vAlign w:val="bottom"/>
            <w:gridSpan w:val="2"/>
            <w:shd w:val="clear" w:color="auto" w:fill="CCEEFF"/>
          </w:tcPr>
          <w:p>
            <w:pPr>
              <w:jc w:val="right"/>
              <w:ind w:right="716"/>
              <w:spacing w:after="0"/>
              <w:rPr>
                <w:sz w:val="20"/>
                <w:szCs w:val="20"/>
                <w:color w:val="auto"/>
              </w:rPr>
            </w:pPr>
            <w:r>
              <w:rPr>
                <w:rFonts w:ascii="Arial" w:cs="Arial" w:eastAsia="Arial" w:hAnsi="Arial"/>
                <w:sz w:val="13"/>
                <w:szCs w:val="13"/>
                <w:color w:val="auto"/>
              </w:rPr>
              <w:t>$</w:t>
            </w:r>
          </w:p>
        </w:tc>
        <w:tc>
          <w:tcPr>
            <w:tcW w:w="48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5,688</w:t>
            </w: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5,812</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800" w:type="dxa"/>
            <w:vAlign w:val="bottom"/>
            <w:gridSpan w:val="3"/>
          </w:tcPr>
          <w:p>
            <w:pPr>
              <w:spacing w:after="0"/>
              <w:rPr>
                <w:sz w:val="20"/>
                <w:szCs w:val="20"/>
                <w:color w:val="auto"/>
              </w:rPr>
            </w:pPr>
            <w:r>
              <w:rPr>
                <w:rFonts w:ascii="Arial" w:cs="Arial" w:eastAsia="Arial" w:hAnsi="Arial"/>
                <w:sz w:val="13"/>
                <w:szCs w:val="13"/>
                <w:color w:val="auto"/>
              </w:rPr>
              <w:t>State income taxes, net of federal tax benefit</w:t>
            </w:r>
          </w:p>
        </w:tc>
        <w:tc>
          <w:tcPr>
            <w:tcW w:w="1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jc w:val="right"/>
              <w:ind w:right="16"/>
              <w:spacing w:after="0"/>
              <w:rPr>
                <w:sz w:val="20"/>
                <w:szCs w:val="20"/>
                <w:color w:val="auto"/>
              </w:rPr>
            </w:pPr>
            <w:r>
              <w:rPr>
                <w:rFonts w:ascii="Arial" w:cs="Arial" w:eastAsia="Arial" w:hAnsi="Arial"/>
                <w:sz w:val="13"/>
                <w:szCs w:val="13"/>
                <w:color w:val="auto"/>
              </w:rPr>
              <w:t>1,177</w:t>
            </w:r>
          </w:p>
        </w:tc>
        <w:tc>
          <w:tcPr>
            <w:tcW w:w="3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969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Bank owned life insurance</w:t>
            </w:r>
          </w:p>
        </w:tc>
        <w:tc>
          <w:tcPr>
            <w:tcW w:w="1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(269)</w:t>
            </w: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0" w:type="dxa"/>
            <w:vAlign w:val="bottom"/>
            <w:gridSpan w:val="3"/>
          </w:tcPr>
          <w:p>
            <w:pPr>
              <w:spacing w:after="0"/>
              <w:rPr>
                <w:sz w:val="20"/>
                <w:szCs w:val="20"/>
                <w:color w:val="auto"/>
              </w:rPr>
            </w:pPr>
            <w:r>
              <w:rPr>
                <w:rFonts w:ascii="Arial" w:cs="Arial" w:eastAsia="Arial" w:hAnsi="Arial"/>
                <w:sz w:val="13"/>
                <w:szCs w:val="13"/>
                <w:color w:val="auto"/>
              </w:rPr>
              <w:t>Other, net</w:t>
            </w:r>
          </w:p>
        </w:tc>
        <w:tc>
          <w:tcPr>
            <w:tcW w:w="1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jc w:val="right"/>
              <w:ind w:right="16"/>
              <w:spacing w:after="0"/>
              <w:rPr>
                <w:sz w:val="20"/>
                <w:szCs w:val="20"/>
                <w:color w:val="auto"/>
              </w:rPr>
            </w:pPr>
            <w:r>
              <w:rPr>
                <w:rFonts w:ascii="Arial" w:cs="Arial" w:eastAsia="Arial" w:hAnsi="Arial"/>
                <w:sz w:val="13"/>
                <w:szCs w:val="13"/>
                <w:color w:val="auto"/>
              </w:rPr>
              <w:t>348</w:t>
            </w:r>
          </w:p>
        </w:tc>
        <w:tc>
          <w:tcPr>
            <w:tcW w:w="3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6"/>
              <w:spacing w:after="0"/>
              <w:rPr>
                <w:sz w:val="20"/>
                <w:szCs w:val="20"/>
                <w:color w:val="auto"/>
              </w:rPr>
            </w:pPr>
            <w:r>
              <w:rPr>
                <w:rFonts w:ascii="Arial" w:cs="Arial" w:eastAsia="Arial" w:hAnsi="Arial"/>
                <w:sz w:val="13"/>
                <w:szCs w:val="13"/>
                <w:color w:val="auto"/>
              </w:rPr>
              <w:t>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Borders>
              <w:right w:val="single" w:sz="8" w:color="CCEEFF"/>
            </w:tcBorders>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6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Total tax expense</w:t>
            </w:r>
          </w:p>
        </w:tc>
        <w:tc>
          <w:tcPr>
            <w:tcW w:w="128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0" w:type="dxa"/>
            <w:vAlign w:val="bottom"/>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60" w:type="dxa"/>
            <w:vAlign w:val="bottom"/>
            <w:vMerge w:val="continue"/>
            <w:shd w:val="clear" w:color="auto" w:fill="CCEEFF"/>
          </w:tcPr>
          <w:p>
            <w:pPr>
              <w:spacing w:after="0"/>
              <w:rPr>
                <w:sz w:val="14"/>
                <w:szCs w:val="14"/>
                <w:color w:val="auto"/>
              </w:rPr>
            </w:pPr>
          </w:p>
        </w:tc>
        <w:tc>
          <w:tcPr>
            <w:tcW w:w="2100" w:type="dxa"/>
            <w:vAlign w:val="bottom"/>
            <w:gridSpan w:val="2"/>
            <w:shd w:val="clear" w:color="auto" w:fill="CCEEFF"/>
          </w:tcPr>
          <w:p>
            <w:pPr>
              <w:jc w:val="right"/>
              <w:ind w:right="716"/>
              <w:spacing w:after="0"/>
              <w:rPr>
                <w:sz w:val="20"/>
                <w:szCs w:val="20"/>
                <w:color w:val="auto"/>
              </w:rPr>
            </w:pPr>
            <w:r>
              <w:rPr>
                <w:rFonts w:ascii="Arial" w:cs="Arial" w:eastAsia="Arial" w:hAnsi="Arial"/>
                <w:sz w:val="13"/>
                <w:szCs w:val="13"/>
                <w:color w:val="auto"/>
              </w:rPr>
              <w:t>$</w:t>
            </w:r>
          </w:p>
        </w:tc>
        <w:tc>
          <w:tcPr>
            <w:tcW w:w="48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6,944</w:t>
            </w: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6,600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640" w:right="719" w:firstLine="256"/>
        <w:spacing w:after="0" w:line="252" w:lineRule="auto"/>
        <w:rPr>
          <w:sz w:val="20"/>
          <w:szCs w:val="20"/>
          <w:color w:val="auto"/>
        </w:rPr>
      </w:pPr>
      <w:r>
        <w:rPr>
          <w:rFonts w:ascii="Arial" w:cs="Arial" w:eastAsia="Arial" w:hAnsi="Arial"/>
          <w:sz w:val="14"/>
          <w:szCs w:val="14"/>
          <w:color w:val="auto"/>
        </w:rPr>
        <w:t>The following table presents the deferred tax assets and deferred tax liabilities as of December 31, 2022 and 2021 (in thousands):</w:t>
      </w:r>
    </w:p>
    <w:p>
      <w:pPr>
        <w:spacing w:after="0" w:line="160" w:lineRule="exact"/>
        <w:rPr>
          <w:sz w:val="20"/>
          <w:szCs w:val="20"/>
          <w:color w:val="auto"/>
        </w:rPr>
      </w:pPr>
    </w:p>
    <w:tbl>
      <w:tblPr>
        <w:tblLayout w:type="fixed"/>
        <w:tblInd w:w="620" w:type="dxa"/>
        <w:tblCellMar>
          <w:top w:w="0" w:type="dxa"/>
          <w:left w:w="0" w:type="dxa"/>
          <w:bottom w:w="0" w:type="dxa"/>
          <w:right w:w="0" w:type="dxa"/>
        </w:tblCellMar>
      </w:tblPr>
      <w:tr>
        <w:trPr>
          <w:trHeight w:val="173"/>
        </w:trPr>
        <w:tc>
          <w:tcPr>
            <w:tcW w:w="4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200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rPr>
              <w:t>2022</w:t>
            </w: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ind w:right="476"/>
              <w:spacing w:after="0"/>
              <w:rPr>
                <w:sz w:val="20"/>
                <w:szCs w:val="20"/>
                <w:color w:val="auto"/>
              </w:rPr>
            </w:pPr>
            <w:r>
              <w:rPr>
                <w:rFonts w:ascii="Arial" w:cs="Arial" w:eastAsia="Arial" w:hAnsi="Arial"/>
                <w:sz w:val="13"/>
                <w:szCs w:val="13"/>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84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3"/>
                <w:szCs w:val="13"/>
                <w:b w:val="1"/>
                <w:bCs w:val="1"/>
                <w:color w:val="auto"/>
              </w:rPr>
              <w:t>Deferred tax assets:</w:t>
            </w:r>
          </w:p>
        </w:tc>
        <w:tc>
          <w:tcPr>
            <w:tcW w:w="12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840" w:type="dxa"/>
            <w:vAlign w:val="bottom"/>
          </w:tcPr>
          <w:p>
            <w:pPr>
              <w:ind w:left="60"/>
              <w:spacing w:after="0"/>
              <w:rPr>
                <w:sz w:val="20"/>
                <w:szCs w:val="20"/>
                <w:color w:val="auto"/>
              </w:rPr>
            </w:pPr>
            <w:r>
              <w:rPr>
                <w:rFonts w:ascii="Arial" w:cs="Arial" w:eastAsia="Arial" w:hAnsi="Arial"/>
                <w:sz w:val="13"/>
                <w:szCs w:val="13"/>
                <w:color w:val="auto"/>
              </w:rPr>
              <w:t>Net operating loss</w:t>
            </w:r>
          </w:p>
        </w:tc>
        <w:tc>
          <w:tcPr>
            <w:tcW w:w="2000" w:type="dxa"/>
            <w:vAlign w:val="bottom"/>
            <w:gridSpan w:val="3"/>
          </w:tcPr>
          <w:p>
            <w:pPr>
              <w:jc w:val="right"/>
              <w:ind w:right="760"/>
              <w:spacing w:after="0"/>
              <w:rPr>
                <w:sz w:val="20"/>
                <w:szCs w:val="20"/>
                <w:color w:val="auto"/>
              </w:rPr>
            </w:pPr>
            <w:r>
              <w:rPr>
                <w:rFonts w:ascii="Arial" w:cs="Arial" w:eastAsia="Arial" w:hAnsi="Arial"/>
                <w:sz w:val="13"/>
                <w:szCs w:val="13"/>
                <w:color w:val="auto"/>
              </w:rPr>
              <w:t>$</w:t>
            </w:r>
          </w:p>
        </w:tc>
        <w:tc>
          <w:tcPr>
            <w:tcW w:w="500" w:type="dxa"/>
            <w:vAlign w:val="bottom"/>
          </w:tcPr>
          <w:p>
            <w:pPr>
              <w:jc w:val="right"/>
              <w:ind w:right="16"/>
              <w:spacing w:after="0"/>
              <w:rPr>
                <w:sz w:val="20"/>
                <w:szCs w:val="20"/>
                <w:color w:val="auto"/>
              </w:rPr>
            </w:pPr>
            <w:r>
              <w:rPr>
                <w:rFonts w:ascii="Arial" w:cs="Arial" w:eastAsia="Arial" w:hAnsi="Arial"/>
                <w:sz w:val="13"/>
                <w:szCs w:val="13"/>
                <w:color w:val="auto"/>
              </w:rPr>
              <w:t>21,720</w:t>
            </w:r>
          </w:p>
        </w:tc>
        <w:tc>
          <w:tcPr>
            <w:tcW w:w="30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6"/>
              <w:spacing w:after="0"/>
              <w:rPr>
                <w:sz w:val="20"/>
                <w:szCs w:val="20"/>
                <w:color w:val="auto"/>
              </w:rPr>
            </w:pPr>
            <w:r>
              <w:rPr>
                <w:rFonts w:ascii="Arial" w:cs="Arial" w:eastAsia="Arial" w:hAnsi="Arial"/>
                <w:sz w:val="13"/>
                <w:szCs w:val="13"/>
                <w:color w:val="auto"/>
              </w:rPr>
              <w:t>28,819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8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Allowance for credit losses</w:t>
            </w:r>
          </w:p>
        </w:tc>
        <w:tc>
          <w:tcPr>
            <w:tcW w:w="1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4,432</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3,816</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840" w:type="dxa"/>
            <w:vAlign w:val="bottom"/>
          </w:tcPr>
          <w:p>
            <w:pPr>
              <w:ind w:left="60"/>
              <w:spacing w:after="0"/>
              <w:rPr>
                <w:sz w:val="20"/>
                <w:szCs w:val="20"/>
                <w:color w:val="auto"/>
              </w:rPr>
            </w:pPr>
            <w:r>
              <w:rPr>
                <w:rFonts w:ascii="Arial" w:cs="Arial" w:eastAsia="Arial" w:hAnsi="Arial"/>
                <w:sz w:val="13"/>
                <w:szCs w:val="13"/>
                <w:color w:val="auto"/>
              </w:rPr>
              <w:t>Lease liability</w:t>
            </w: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jc w:val="right"/>
              <w:ind w:right="16"/>
              <w:spacing w:after="0"/>
              <w:rPr>
                <w:sz w:val="20"/>
                <w:szCs w:val="20"/>
                <w:color w:val="auto"/>
              </w:rPr>
            </w:pPr>
            <w:r>
              <w:rPr>
                <w:rFonts w:ascii="Arial" w:cs="Arial" w:eastAsia="Arial" w:hAnsi="Arial"/>
                <w:sz w:val="13"/>
                <w:szCs w:val="13"/>
                <w:color w:val="auto"/>
              </w:rPr>
              <w:t>3,648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ind w:right="16"/>
              <w:spacing w:after="0"/>
              <w:rPr>
                <w:sz w:val="20"/>
                <w:szCs w:val="20"/>
                <w:color w:val="auto"/>
              </w:rPr>
            </w:pPr>
            <w:r>
              <w:rPr>
                <w:rFonts w:ascii="Arial" w:cs="Arial" w:eastAsia="Arial" w:hAnsi="Arial"/>
                <w:sz w:val="13"/>
                <w:szCs w:val="13"/>
                <w:color w:val="auto"/>
              </w:rPr>
              <w:t>3,595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8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Unrealized loss on available for sale securities</w:t>
            </w:r>
          </w:p>
        </w:tc>
        <w:tc>
          <w:tcPr>
            <w:tcW w:w="1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15,193</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817</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840" w:type="dxa"/>
            <w:vAlign w:val="bottom"/>
          </w:tcPr>
          <w:p>
            <w:pPr>
              <w:ind w:left="60"/>
              <w:spacing w:after="0"/>
              <w:rPr>
                <w:sz w:val="20"/>
                <w:szCs w:val="20"/>
                <w:color w:val="auto"/>
              </w:rPr>
            </w:pPr>
            <w:r>
              <w:rPr>
                <w:rFonts w:ascii="Arial" w:cs="Arial" w:eastAsia="Arial" w:hAnsi="Arial"/>
                <w:sz w:val="13"/>
                <w:szCs w:val="13"/>
                <w:color w:val="auto"/>
              </w:rPr>
              <w:t>Deferred loan fees</w:t>
            </w: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8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Depreciable property</w:t>
            </w:r>
          </w:p>
        </w:tc>
        <w:tc>
          <w:tcPr>
            <w:tcW w:w="1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158</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840" w:type="dxa"/>
            <w:vAlign w:val="bottom"/>
          </w:tcPr>
          <w:p>
            <w:pPr>
              <w:ind w:left="60"/>
              <w:spacing w:after="0"/>
              <w:rPr>
                <w:sz w:val="20"/>
                <w:szCs w:val="20"/>
                <w:color w:val="auto"/>
              </w:rPr>
            </w:pPr>
            <w:r>
              <w:rPr>
                <w:rFonts w:ascii="Arial" w:cs="Arial" w:eastAsia="Arial" w:hAnsi="Arial"/>
                <w:sz w:val="13"/>
                <w:szCs w:val="13"/>
                <w:color w:val="auto"/>
              </w:rPr>
              <w:t>Stock option compensation</w:t>
            </w: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jc w:val="right"/>
              <w:ind w:right="16"/>
              <w:spacing w:after="0"/>
              <w:rPr>
                <w:sz w:val="20"/>
                <w:szCs w:val="20"/>
                <w:color w:val="auto"/>
              </w:rPr>
            </w:pPr>
            <w:r>
              <w:rPr>
                <w:rFonts w:ascii="Arial" w:cs="Arial" w:eastAsia="Arial" w:hAnsi="Arial"/>
                <w:sz w:val="13"/>
                <w:szCs w:val="13"/>
                <w:color w:val="auto"/>
              </w:rPr>
              <w:t>373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241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8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Accruals</w:t>
            </w:r>
          </w:p>
        </w:tc>
        <w:tc>
          <w:tcPr>
            <w:tcW w:w="1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723</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3840" w:type="dxa"/>
            <w:vAlign w:val="bottom"/>
          </w:tcPr>
          <w:p>
            <w:pPr>
              <w:ind w:left="60"/>
              <w:spacing w:after="0"/>
              <w:rPr>
                <w:sz w:val="20"/>
                <w:szCs w:val="20"/>
                <w:color w:val="auto"/>
              </w:rPr>
            </w:pPr>
            <w:r>
              <w:rPr>
                <w:rFonts w:ascii="Arial" w:cs="Arial" w:eastAsia="Arial" w:hAnsi="Arial"/>
                <w:sz w:val="13"/>
                <w:szCs w:val="13"/>
                <w:color w:val="auto"/>
              </w:rPr>
              <w:t>Other, net</w:t>
            </w:r>
          </w:p>
        </w:tc>
        <w:tc>
          <w:tcPr>
            <w:tcW w:w="12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40" w:type="dxa"/>
            <w:vAlign w:val="bottom"/>
          </w:tcPr>
          <w:p>
            <w:pPr>
              <w:spacing w:after="0"/>
              <w:rPr>
                <w:sz w:val="12"/>
                <w:szCs w:val="12"/>
                <w:color w:val="auto"/>
              </w:rPr>
            </w:pPr>
          </w:p>
        </w:tc>
        <w:tc>
          <w:tcPr>
            <w:tcW w:w="384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Deferred tax asset</w:t>
            </w:r>
          </w:p>
        </w:tc>
        <w:tc>
          <w:tcPr>
            <w:tcW w:w="2000" w:type="dxa"/>
            <w:vAlign w:val="bottom"/>
            <w:gridSpan w:val="3"/>
            <w:shd w:val="clear" w:color="auto" w:fill="CCEEFF"/>
          </w:tcPr>
          <w:p>
            <w:pPr>
              <w:jc w:val="right"/>
              <w:ind w:right="760"/>
              <w:spacing w:after="0" w:line="141"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46,247</w:t>
            </w:r>
          </w:p>
        </w:tc>
        <w:tc>
          <w:tcPr>
            <w:tcW w:w="300" w:type="dxa"/>
            <w:vAlign w:val="bottom"/>
            <w:gridSpan w:val="3"/>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38,651</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 w:type="dxa"/>
            <w:vAlign w:val="bottom"/>
            <w:vMerge w:val="restart"/>
          </w:tcPr>
          <w:p>
            <w:pPr>
              <w:spacing w:after="0"/>
              <w:rPr>
                <w:sz w:val="14"/>
                <w:szCs w:val="14"/>
                <w:color w:val="auto"/>
              </w:rPr>
            </w:pPr>
          </w:p>
        </w:tc>
        <w:tc>
          <w:tcPr>
            <w:tcW w:w="3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vMerge w:val="continue"/>
          </w:tcPr>
          <w:p>
            <w:pPr>
              <w:spacing w:after="0"/>
              <w:rPr>
                <w:sz w:val="14"/>
                <w:szCs w:val="14"/>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Deferred tax liability:</w:t>
            </w:r>
          </w:p>
        </w:tc>
        <w:tc>
          <w:tcPr>
            <w:tcW w:w="1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840" w:type="dxa"/>
            <w:vAlign w:val="bottom"/>
          </w:tcPr>
          <w:p>
            <w:pPr>
              <w:ind w:left="60"/>
              <w:spacing w:after="0"/>
              <w:rPr>
                <w:sz w:val="20"/>
                <w:szCs w:val="20"/>
                <w:color w:val="auto"/>
              </w:rPr>
            </w:pPr>
            <w:r>
              <w:rPr>
                <w:rFonts w:ascii="Arial" w:cs="Arial" w:eastAsia="Arial" w:hAnsi="Arial"/>
                <w:sz w:val="13"/>
                <w:szCs w:val="13"/>
                <w:color w:val="auto"/>
              </w:rPr>
              <w:t>Deferred loan cost</w:t>
            </w: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8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Lease right of use asset</w:t>
            </w:r>
          </w:p>
        </w:tc>
        <w:tc>
          <w:tcPr>
            <w:tcW w:w="1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(3,648)</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(3,595)</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840" w:type="dxa"/>
            <w:vAlign w:val="bottom"/>
          </w:tcPr>
          <w:p>
            <w:pPr>
              <w:ind w:left="60"/>
              <w:spacing w:after="0"/>
              <w:rPr>
                <w:sz w:val="20"/>
                <w:szCs w:val="20"/>
                <w:color w:val="auto"/>
              </w:rPr>
            </w:pPr>
            <w:r>
              <w:rPr>
                <w:rFonts w:ascii="Arial" w:cs="Arial" w:eastAsia="Arial" w:hAnsi="Arial"/>
                <w:sz w:val="13"/>
                <w:szCs w:val="13"/>
                <w:color w:val="auto"/>
              </w:rPr>
              <w:t>Deferred expenses</w:t>
            </w: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(175)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38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Other, net</w:t>
            </w:r>
          </w:p>
        </w:tc>
        <w:tc>
          <w:tcPr>
            <w:tcW w:w="12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880" w:type="dxa"/>
            <w:vAlign w:val="bottom"/>
            <w:gridSpan w:val="2"/>
          </w:tcPr>
          <w:p>
            <w:pPr>
              <w:spacing w:after="0"/>
              <w:rPr>
                <w:sz w:val="20"/>
                <w:szCs w:val="20"/>
                <w:color w:val="auto"/>
              </w:rPr>
            </w:pPr>
            <w:r>
              <w:rPr>
                <w:rFonts w:ascii="Arial" w:cs="Arial" w:eastAsia="Arial" w:hAnsi="Arial"/>
                <w:sz w:val="13"/>
                <w:szCs w:val="13"/>
                <w:color w:val="auto"/>
              </w:rPr>
              <w:t>Deferred tax liability</w:t>
            </w:r>
          </w:p>
        </w:tc>
        <w:tc>
          <w:tcPr>
            <w:tcW w:w="2000" w:type="dxa"/>
            <w:vAlign w:val="bottom"/>
            <w:gridSpan w:val="3"/>
          </w:tcPr>
          <w:p>
            <w:pPr>
              <w:jc w:val="right"/>
              <w:ind w:right="76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(3,887)</w:t>
            </w:r>
          </w:p>
        </w:tc>
        <w:tc>
          <w:tcPr>
            <w:tcW w:w="30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(3,722)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384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880" w:type="dxa"/>
            <w:vAlign w:val="bottom"/>
            <w:gridSpan w:val="2"/>
          </w:tcPr>
          <w:p>
            <w:pPr>
              <w:spacing w:after="0"/>
              <w:rPr>
                <w:sz w:val="20"/>
                <w:szCs w:val="20"/>
                <w:color w:val="auto"/>
              </w:rPr>
            </w:pPr>
            <w:r>
              <w:rPr>
                <w:rFonts w:ascii="Arial" w:cs="Arial" w:eastAsia="Arial" w:hAnsi="Arial"/>
                <w:sz w:val="13"/>
                <w:szCs w:val="13"/>
                <w:color w:val="auto"/>
              </w:rPr>
              <w:t>Net deferred tax asset</w:t>
            </w:r>
          </w:p>
        </w:tc>
        <w:tc>
          <w:tcPr>
            <w:tcW w:w="2000" w:type="dxa"/>
            <w:vAlign w:val="bottom"/>
            <w:gridSpan w:val="3"/>
          </w:tcPr>
          <w:p>
            <w:pPr>
              <w:jc w:val="right"/>
              <w:ind w:right="760"/>
              <w:spacing w:after="0"/>
              <w:rPr>
                <w:sz w:val="20"/>
                <w:szCs w:val="20"/>
                <w:color w:val="auto"/>
              </w:rPr>
            </w:pPr>
            <w:r>
              <w:rPr>
                <w:rFonts w:ascii="Arial" w:cs="Arial" w:eastAsia="Arial" w:hAnsi="Arial"/>
                <w:sz w:val="13"/>
                <w:szCs w:val="13"/>
                <w:color w:val="auto"/>
              </w:rPr>
              <w:t>$</w:t>
            </w:r>
          </w:p>
        </w:tc>
        <w:tc>
          <w:tcPr>
            <w:tcW w:w="500" w:type="dxa"/>
            <w:vAlign w:val="bottom"/>
          </w:tcPr>
          <w:p>
            <w:pPr>
              <w:jc w:val="right"/>
              <w:ind w:right="16"/>
              <w:spacing w:after="0"/>
              <w:rPr>
                <w:sz w:val="20"/>
                <w:szCs w:val="20"/>
                <w:color w:val="auto"/>
              </w:rPr>
            </w:pPr>
            <w:r>
              <w:rPr>
                <w:rFonts w:ascii="Arial" w:cs="Arial" w:eastAsia="Arial" w:hAnsi="Arial"/>
                <w:sz w:val="13"/>
                <w:szCs w:val="13"/>
                <w:color w:val="auto"/>
              </w:rPr>
              <w:t>42,360</w:t>
            </w:r>
          </w:p>
        </w:tc>
        <w:tc>
          <w:tcPr>
            <w:tcW w:w="30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6"/>
              <w:spacing w:after="0"/>
              <w:rPr>
                <w:sz w:val="20"/>
                <w:szCs w:val="20"/>
                <w:color w:val="auto"/>
              </w:rPr>
            </w:pPr>
            <w:r>
              <w:rPr>
                <w:rFonts w:ascii="Arial" w:cs="Arial" w:eastAsia="Arial" w:hAnsi="Arial"/>
                <w:sz w:val="13"/>
                <w:szCs w:val="13"/>
                <w:color w:val="auto"/>
              </w:rPr>
              <w:t>34,929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jc w:val="both"/>
        <w:ind w:left="640" w:right="699" w:firstLine="256"/>
        <w:spacing w:after="0" w:line="253" w:lineRule="auto"/>
        <w:rPr>
          <w:sz w:val="20"/>
          <w:szCs w:val="20"/>
          <w:color w:val="auto"/>
        </w:rPr>
      </w:pPr>
      <w:r>
        <w:rPr>
          <w:rFonts w:ascii="Arial" w:cs="Arial" w:eastAsia="Arial" w:hAnsi="Arial"/>
          <w:sz w:val="14"/>
          <w:szCs w:val="14"/>
          <w:color w:val="auto"/>
        </w:rPr>
        <w:t>At December 31, 2022 the Company had approximately $81.8 million of Federal and $104.5 million of State net operating loss carryforwards expiring in various amounts from 2031 to 2036. Their utilization is limited to future taxable earnings of the Company.</w:t>
      </w:r>
    </w:p>
    <w:p>
      <w:pPr>
        <w:spacing w:after="0" w:line="280"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35</w:t>
      </w:r>
      <w:r>
        <w:rPr>
          <w:sz w:val="20"/>
          <w:szCs w:val="20"/>
          <w:color w:val="auto"/>
        </w:rPr>
        <w:tab/>
      </w:r>
      <w:r>
        <w:rPr>
          <w:rFonts w:ascii="Arial" w:cs="Arial" w:eastAsia="Arial" w:hAnsi="Arial"/>
          <w:sz w:val="14"/>
          <w:szCs w:val="14"/>
          <w:color w:val="auto"/>
        </w:rPr>
        <w:t>USCB Financial Holdings, Inc.</w:t>
        <w:tab/>
        <w:t>2022 10-K/A</w:t>
      </w:r>
    </w:p>
    <w:p>
      <w:pPr>
        <w:sectPr>
          <w:pgSz w:w="11900" w:h="16838" w:orient="portrait"/>
          <w:cols w:equalWidth="0" w:num="1">
            <w:col w:w="9019"/>
          </w:cols>
          <w:pgMar w:left="1440" w:top="490" w:right="1440" w:bottom="1440" w:gutter="0" w:footer="0" w:header="0"/>
        </w:sectPr>
      </w:pPr>
    </w:p>
    <w:bookmarkStart w:id="35" w:name="page36"/>
    <w:bookmarkEnd w:id="3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340" w:lineRule="exact"/>
        <w:rPr>
          <w:sz w:val="20"/>
          <w:szCs w:val="20"/>
          <w:color w:val="auto"/>
        </w:rPr>
      </w:pPr>
    </w:p>
    <w:p>
      <w:pPr>
        <w:jc w:val="both"/>
        <w:ind w:left="640" w:right="699" w:firstLine="256"/>
        <w:spacing w:after="0" w:line="249" w:lineRule="auto"/>
        <w:rPr>
          <w:sz w:val="20"/>
          <w:szCs w:val="20"/>
          <w:color w:val="auto"/>
        </w:rPr>
      </w:pPr>
      <w:r>
        <w:rPr>
          <w:rFonts w:ascii="Arial" w:cs="Arial" w:eastAsia="Arial" w:hAnsi="Arial"/>
          <w:sz w:val="14"/>
          <w:szCs w:val="14"/>
          <w:color w:val="auto"/>
        </w:rPr>
        <w:t>In assessing the realizability of deferred tax assets, management considered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w:t>
      </w:r>
    </w:p>
    <w:p>
      <w:pPr>
        <w:spacing w:after="0" w:line="146" w:lineRule="exact"/>
        <w:rPr>
          <w:sz w:val="20"/>
          <w:szCs w:val="20"/>
          <w:color w:val="auto"/>
        </w:rPr>
      </w:pPr>
    </w:p>
    <w:p>
      <w:pPr>
        <w:ind w:left="900"/>
        <w:spacing w:after="0"/>
        <w:rPr>
          <w:sz w:val="20"/>
          <w:szCs w:val="20"/>
          <w:color w:val="auto"/>
        </w:rPr>
      </w:pPr>
      <w:r>
        <w:rPr>
          <w:rFonts w:ascii="Arial" w:cs="Arial" w:eastAsia="Arial" w:hAnsi="Arial"/>
          <w:sz w:val="14"/>
          <w:szCs w:val="14"/>
          <w:color w:val="auto"/>
        </w:rPr>
        <w:t>The U.S. Federal jurisdiction and Florida are the major tax jurisdictions where the Company files income tax returns.</w:t>
      </w:r>
    </w:p>
    <w:p>
      <w:pPr>
        <w:spacing w:after="0" w:line="10" w:lineRule="exact"/>
        <w:rPr>
          <w:sz w:val="20"/>
          <w:szCs w:val="20"/>
          <w:color w:val="auto"/>
        </w:rPr>
      </w:pPr>
    </w:p>
    <w:p>
      <w:pPr>
        <w:ind w:left="640"/>
        <w:spacing w:after="0"/>
        <w:rPr>
          <w:sz w:val="20"/>
          <w:szCs w:val="20"/>
          <w:color w:val="auto"/>
        </w:rPr>
      </w:pPr>
      <w:r>
        <w:rPr>
          <w:rFonts w:ascii="Arial" w:cs="Arial" w:eastAsia="Arial" w:hAnsi="Arial"/>
          <w:sz w:val="14"/>
          <w:szCs w:val="14"/>
          <w:color w:val="auto"/>
        </w:rPr>
        <w:t>The Company is generally no longer subject to U.S. Federal or State examinations by tax authorities for years before 2019.</w:t>
      </w:r>
    </w:p>
    <w:p>
      <w:pPr>
        <w:spacing w:after="0" w:line="159" w:lineRule="exact"/>
        <w:rPr>
          <w:sz w:val="20"/>
          <w:szCs w:val="20"/>
          <w:color w:val="auto"/>
        </w:rPr>
      </w:pPr>
    </w:p>
    <w:p>
      <w:pPr>
        <w:jc w:val="both"/>
        <w:ind w:left="640" w:right="699" w:firstLine="256"/>
        <w:spacing w:after="0" w:line="253" w:lineRule="auto"/>
        <w:rPr>
          <w:sz w:val="20"/>
          <w:szCs w:val="20"/>
          <w:color w:val="auto"/>
        </w:rPr>
      </w:pPr>
      <w:r>
        <w:rPr>
          <w:rFonts w:ascii="Arial" w:cs="Arial" w:eastAsia="Arial" w:hAnsi="Arial"/>
          <w:sz w:val="14"/>
          <w:szCs w:val="14"/>
          <w:color w:val="auto"/>
        </w:rPr>
        <w:t>For the years ended December 31, 2022 and 2021, the Company did not have any unrecognized tax benefits as a result of tax positions taken during a prior period or during the current period. Additionally, no interest or penalties were recorded as a result of tax uncertainties.</w:t>
      </w:r>
    </w:p>
    <w:p>
      <w:pPr>
        <w:spacing w:after="0" w:line="124" w:lineRule="exact"/>
        <w:rPr>
          <w:sz w:val="20"/>
          <w:szCs w:val="20"/>
          <w:color w:val="auto"/>
        </w:rPr>
      </w:pPr>
    </w:p>
    <w:p>
      <w:pPr>
        <w:ind w:left="1160" w:hanging="518"/>
        <w:spacing w:after="0"/>
        <w:tabs>
          <w:tab w:leader="none" w:pos="1160" w:val="left"/>
        </w:tabs>
        <w:numPr>
          <w:ilvl w:val="0"/>
          <w:numId w:val="13"/>
        </w:numPr>
        <w:rPr>
          <w:rFonts w:ascii="Arial" w:cs="Arial" w:eastAsia="Arial" w:hAnsi="Arial"/>
          <w:sz w:val="14"/>
          <w:szCs w:val="14"/>
          <w:b w:val="1"/>
          <w:bCs w:val="1"/>
          <w:color w:val="auto"/>
        </w:rPr>
      </w:pPr>
      <w:r>
        <w:rPr>
          <w:rFonts w:ascii="Arial" w:cs="Arial" w:eastAsia="Arial" w:hAnsi="Arial"/>
          <w:sz w:val="14"/>
          <w:szCs w:val="14"/>
          <w:b w:val="1"/>
          <w:bCs w:val="1"/>
          <w:color w:val="auto"/>
        </w:rPr>
        <w:t>DEPOSITS</w:t>
      </w:r>
    </w:p>
    <w:p>
      <w:pPr>
        <w:spacing w:after="0" w:line="220" w:lineRule="exact"/>
        <w:rPr>
          <w:sz w:val="20"/>
          <w:szCs w:val="20"/>
          <w:color w:val="auto"/>
        </w:rPr>
      </w:pPr>
    </w:p>
    <w:p>
      <w:pPr>
        <w:ind w:left="900"/>
        <w:spacing w:after="0"/>
        <w:rPr>
          <w:sz w:val="20"/>
          <w:szCs w:val="20"/>
          <w:color w:val="auto"/>
        </w:rPr>
      </w:pPr>
      <w:r>
        <w:rPr>
          <w:rFonts w:ascii="Arial" w:cs="Arial" w:eastAsia="Arial" w:hAnsi="Arial"/>
          <w:sz w:val="14"/>
          <w:szCs w:val="14"/>
          <w:color w:val="auto"/>
        </w:rPr>
        <w:t>The following table presents deposits by type at December 31, 2022 and 2021 (in thousands):</w:t>
      </w:r>
    </w:p>
    <w:p>
      <w:pPr>
        <w:sectPr>
          <w:pgSz w:w="11900" w:h="16838" w:orient="portrait"/>
          <w:cols w:equalWidth="0" w:num="1">
            <w:col w:w="9019"/>
          </w:cols>
          <w:pgMar w:left="1440" w:top="490" w:right="1440" w:bottom="1440" w:gutter="0" w:footer="0" w:header="0"/>
        </w:sectPr>
      </w:pPr>
    </w:p>
    <w:p>
      <w:pPr>
        <w:spacing w:after="0" w:line="363" w:lineRule="exact"/>
        <w:rPr>
          <w:sz w:val="20"/>
          <w:szCs w:val="20"/>
          <w:color w:val="auto"/>
        </w:rPr>
      </w:pPr>
    </w:p>
    <w:p>
      <w:pPr>
        <w:ind w:left="620"/>
        <w:spacing w:after="0"/>
        <w:rPr>
          <w:sz w:val="20"/>
          <w:szCs w:val="20"/>
          <w:color w:val="auto"/>
        </w:rPr>
      </w:pPr>
      <w:r>
        <w:rPr>
          <w:rFonts w:ascii="Arial" w:cs="Arial" w:eastAsia="Arial" w:hAnsi="Arial"/>
          <w:sz w:val="13"/>
          <w:szCs w:val="13"/>
          <w:color w:val="auto"/>
        </w:rPr>
        <w:t>Non-interest bearing deposits</w:t>
      </w:r>
    </w:p>
    <w:p>
      <w:pPr>
        <w:spacing w:after="0" w:line="21" w:lineRule="exact"/>
        <w:rPr>
          <w:sz w:val="20"/>
          <w:szCs w:val="20"/>
          <w:color w:val="auto"/>
        </w:rPr>
      </w:pPr>
    </w:p>
    <w:p>
      <w:pPr>
        <w:ind w:left="620"/>
        <w:spacing w:after="0"/>
        <w:rPr>
          <w:sz w:val="20"/>
          <w:szCs w:val="20"/>
          <w:color w:val="auto"/>
        </w:rPr>
      </w:pPr>
      <w:r>
        <w:rPr>
          <w:rFonts w:ascii="Arial" w:cs="Arial" w:eastAsia="Arial" w:hAnsi="Arial"/>
          <w:sz w:val="12"/>
          <w:szCs w:val="12"/>
          <w:color w:val="auto"/>
        </w:rPr>
        <w:t>Interest-bearing transaction accounts</w:t>
      </w:r>
    </w:p>
    <w:p>
      <w:pPr>
        <w:spacing w:after="0" w:line="33" w:lineRule="exact"/>
        <w:rPr>
          <w:sz w:val="20"/>
          <w:szCs w:val="20"/>
          <w:color w:val="auto"/>
        </w:rPr>
      </w:pPr>
    </w:p>
    <w:p>
      <w:pPr>
        <w:ind w:left="620"/>
        <w:spacing w:after="0"/>
        <w:rPr>
          <w:sz w:val="20"/>
          <w:szCs w:val="20"/>
          <w:color w:val="auto"/>
        </w:rPr>
      </w:pPr>
      <w:r>
        <w:rPr>
          <w:rFonts w:ascii="Arial" w:cs="Arial" w:eastAsia="Arial" w:hAnsi="Arial"/>
          <w:sz w:val="13"/>
          <w:szCs w:val="13"/>
          <w:color w:val="auto"/>
        </w:rPr>
        <w:t>Saving and money market deposits</w:t>
      </w:r>
    </w:p>
    <w:p>
      <w:pPr>
        <w:spacing w:after="0" w:line="21" w:lineRule="exact"/>
        <w:rPr>
          <w:sz w:val="20"/>
          <w:szCs w:val="20"/>
          <w:color w:val="auto"/>
        </w:rPr>
      </w:pPr>
    </w:p>
    <w:p>
      <w:pPr>
        <w:ind w:left="620"/>
        <w:spacing w:after="0"/>
        <w:rPr>
          <w:sz w:val="20"/>
          <w:szCs w:val="20"/>
          <w:color w:val="auto"/>
        </w:rPr>
      </w:pPr>
      <w:r>
        <w:rPr>
          <w:rFonts w:ascii="Arial" w:cs="Arial" w:eastAsia="Arial" w:hAnsi="Arial"/>
          <w:sz w:val="13"/>
          <w:szCs w:val="13"/>
          <w:color w:val="auto"/>
        </w:rPr>
        <w:t>Time deposits</w:t>
      </w:r>
    </w:p>
    <w:p>
      <w:pPr>
        <w:spacing w:after="0" w:line="43" w:lineRule="exact"/>
        <w:rPr>
          <w:sz w:val="20"/>
          <w:szCs w:val="20"/>
          <w:color w:val="auto"/>
        </w:rPr>
      </w:pPr>
    </w:p>
    <w:p>
      <w:pPr>
        <w:ind w:left="720"/>
        <w:spacing w:after="0"/>
        <w:rPr>
          <w:sz w:val="20"/>
          <w:szCs w:val="20"/>
          <w:color w:val="auto"/>
        </w:rPr>
      </w:pPr>
      <w:r>
        <w:rPr>
          <w:rFonts w:ascii="Arial" w:cs="Arial" w:eastAsia="Arial" w:hAnsi="Arial"/>
          <w:sz w:val="13"/>
          <w:szCs w:val="13"/>
          <w:color w:val="auto"/>
        </w:rPr>
        <w:t>Total deposits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4"/>
        </w:trPr>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2022</w:t>
            </w: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2021</w:t>
            </w:r>
          </w:p>
        </w:tc>
        <w:tc>
          <w:tcPr>
            <w:tcW w:w="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200" w:type="dxa"/>
            <w:vAlign w:val="bottom"/>
            <w:gridSpan w:val="2"/>
          </w:tcPr>
          <w:p>
            <w:pPr>
              <w:jc w:val="right"/>
              <w:ind w:right="120"/>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629,776</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605,425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4"/>
        </w:trPr>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66,675</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55,878</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57"/>
        </w:trPr>
        <w:tc>
          <w:tcPr>
            <w:tcW w:w="40" w:type="dxa"/>
            <w:vAlign w:val="bottom"/>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915,853</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703,856</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216,977</w:t>
            </w:r>
          </w:p>
        </w:tc>
        <w:tc>
          <w:tcPr>
            <w:tcW w:w="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225,220</w:t>
            </w:r>
          </w:p>
        </w:tc>
        <w:tc>
          <w:tcPr>
            <w:tcW w:w="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93"/>
        </w:trPr>
        <w:tc>
          <w:tcPr>
            <w:tcW w:w="200" w:type="dxa"/>
            <w:vAlign w:val="bottom"/>
            <w:gridSpan w:val="2"/>
          </w:tcPr>
          <w:p>
            <w:pPr>
              <w:jc w:val="right"/>
              <w:ind w:right="120"/>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1,829,281</w:t>
            </w:r>
          </w:p>
        </w:tc>
        <w:tc>
          <w:tcPr>
            <w:tcW w:w="40" w:type="dxa"/>
            <w:vAlign w:val="bottom"/>
            <w:gridSpan w:val="2"/>
          </w:tcPr>
          <w:p>
            <w:pPr>
              <w:spacing w:after="0"/>
              <w:rPr>
                <w:sz w:val="16"/>
                <w:szCs w:val="16"/>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1,590,379</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ectPr>
          <w:pgSz w:w="11900" w:h="16838" w:orient="portrait"/>
          <w:cols w:equalWidth="0" w:num="2">
            <w:col w:w="5620" w:space="720"/>
            <w:col w:w="2679"/>
          </w:cols>
          <w:pgMar w:left="1440" w:top="490" w:right="1440" w:bottom="1440" w:gutter="0" w:footer="0" w:header="0"/>
          <w:type w:val="continuous"/>
        </w:sectPr>
      </w:pPr>
    </w:p>
    <w:p>
      <w:pPr>
        <w:ind w:left="640" w:right="739" w:firstLine="256"/>
        <w:spacing w:after="0" w:line="252" w:lineRule="auto"/>
        <w:rPr>
          <w:sz w:val="20"/>
          <w:szCs w:val="20"/>
          <w:color w:val="auto"/>
        </w:rPr>
      </w:pPr>
      <w:r>
        <w:rPr>
          <w:rFonts w:ascii="Arial" w:cs="Arial" w:eastAsia="Arial" w:hAnsi="Arial"/>
          <w:sz w:val="14"/>
          <w:szCs w:val="14"/>
          <w:color w:val="auto"/>
        </w:rPr>
        <w:t>Time deposits exceeding the FDIC deposit insurance limit of $250 thousand at December 31, 2022 and 2021 were $82.0 million and $119.4 million, respectively.</w:t>
      </w:r>
    </w:p>
    <w:p>
      <w:pPr>
        <w:spacing w:after="0" w:line="153" w:lineRule="exact"/>
        <w:rPr>
          <w:sz w:val="20"/>
          <w:szCs w:val="20"/>
          <w:color w:val="auto"/>
        </w:rPr>
      </w:pPr>
    </w:p>
    <w:p>
      <w:pPr>
        <w:ind w:left="900"/>
        <w:spacing w:after="0"/>
        <w:rPr>
          <w:sz w:val="20"/>
          <w:szCs w:val="20"/>
          <w:color w:val="auto"/>
        </w:rPr>
      </w:pPr>
      <w:r>
        <w:rPr>
          <w:rFonts w:ascii="Arial" w:cs="Arial" w:eastAsia="Arial" w:hAnsi="Arial"/>
          <w:sz w:val="14"/>
          <w:szCs w:val="14"/>
          <w:color w:val="auto"/>
        </w:rPr>
        <w:t>At December 31, 2022, the scheduled maturities of time deposits were (in thousands):</w:t>
      </w:r>
    </w:p>
    <w:p>
      <w:pPr>
        <w:spacing w:after="0" w:line="159" w:lineRule="exact"/>
        <w:rPr>
          <w:sz w:val="20"/>
          <w:szCs w:val="20"/>
          <w:color w:val="auto"/>
        </w:rPr>
      </w:pPr>
    </w:p>
    <w:tbl>
      <w:tblPr>
        <w:tblLayout w:type="fixed"/>
        <w:tblInd w:w="620" w:type="dxa"/>
        <w:tblCellMar>
          <w:top w:w="0" w:type="dxa"/>
          <w:left w:w="0" w:type="dxa"/>
          <w:bottom w:w="0" w:type="dxa"/>
          <w:right w:w="0" w:type="dxa"/>
        </w:tblCellMar>
      </w:tblPr>
      <w:tr>
        <w:trPr>
          <w:trHeight w:val="171"/>
        </w:trPr>
        <w:tc>
          <w:tcPr>
            <w:tcW w:w="40" w:type="dxa"/>
            <w:vAlign w:val="bottom"/>
          </w:tcPr>
          <w:p>
            <w:pPr>
              <w:spacing w:after="0"/>
              <w:rPr>
                <w:sz w:val="14"/>
                <w:szCs w:val="14"/>
                <w:color w:val="auto"/>
              </w:rPr>
            </w:pPr>
          </w:p>
        </w:tc>
        <w:tc>
          <w:tcPr>
            <w:tcW w:w="3240" w:type="dxa"/>
            <w:vAlign w:val="bottom"/>
            <w:shd w:val="clear" w:color="auto" w:fill="CCEEFF"/>
          </w:tcPr>
          <w:p>
            <w:pPr>
              <w:jc w:val="right"/>
              <w:ind w:right="2936"/>
              <w:spacing w:after="0"/>
              <w:rPr>
                <w:sz w:val="20"/>
                <w:szCs w:val="20"/>
                <w:color w:val="auto"/>
              </w:rPr>
            </w:pPr>
            <w:r>
              <w:rPr>
                <w:rFonts w:ascii="Arial" w:cs="Arial" w:eastAsia="Arial" w:hAnsi="Arial"/>
                <w:sz w:val="13"/>
                <w:szCs w:val="13"/>
                <w:color w:val="auto"/>
                <w:w w:val="75"/>
              </w:rPr>
              <w:t>2023</w:t>
            </w:r>
          </w:p>
        </w:tc>
        <w:tc>
          <w:tcPr>
            <w:tcW w:w="332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182,647</w:t>
            </w:r>
          </w:p>
        </w:tc>
        <w:tc>
          <w:tcPr>
            <w:tcW w:w="20" w:type="dxa"/>
            <w:vAlign w:val="bottom"/>
            <w:shd w:val="clear" w:color="auto" w:fill="CCEEFF"/>
          </w:tcPr>
          <w:p>
            <w:pPr>
              <w:spacing w:after="0"/>
              <w:rPr>
                <w:sz w:val="14"/>
                <w:szCs w:val="14"/>
                <w:color w:val="auto"/>
              </w:rPr>
            </w:pPr>
          </w:p>
        </w:tc>
      </w:tr>
      <w:tr>
        <w:trPr>
          <w:trHeight w:val="171"/>
        </w:trPr>
        <w:tc>
          <w:tcPr>
            <w:tcW w:w="3280" w:type="dxa"/>
            <w:vAlign w:val="bottom"/>
            <w:gridSpan w:val="2"/>
          </w:tcPr>
          <w:p>
            <w:pPr>
              <w:jc w:val="right"/>
              <w:ind w:right="2936"/>
              <w:spacing w:after="0"/>
              <w:rPr>
                <w:sz w:val="20"/>
                <w:szCs w:val="20"/>
                <w:color w:val="auto"/>
              </w:rPr>
            </w:pPr>
            <w:r>
              <w:rPr>
                <w:rFonts w:ascii="Arial" w:cs="Arial" w:eastAsia="Arial" w:hAnsi="Arial"/>
                <w:sz w:val="13"/>
                <w:szCs w:val="13"/>
                <w:color w:val="auto"/>
                <w:w w:val="89"/>
              </w:rPr>
              <w:t>2024</w:t>
            </w:r>
          </w:p>
        </w:tc>
        <w:tc>
          <w:tcPr>
            <w:tcW w:w="2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jc w:val="right"/>
              <w:ind w:right="16"/>
              <w:spacing w:after="0"/>
              <w:rPr>
                <w:sz w:val="20"/>
                <w:szCs w:val="20"/>
                <w:color w:val="auto"/>
              </w:rPr>
            </w:pPr>
            <w:r>
              <w:rPr>
                <w:rFonts w:ascii="Arial" w:cs="Arial" w:eastAsia="Arial" w:hAnsi="Arial"/>
                <w:sz w:val="13"/>
                <w:szCs w:val="13"/>
                <w:color w:val="auto"/>
              </w:rPr>
              <w:t>11,135</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240" w:type="dxa"/>
            <w:vAlign w:val="bottom"/>
            <w:shd w:val="clear" w:color="auto" w:fill="CCEEFF"/>
          </w:tcPr>
          <w:p>
            <w:pPr>
              <w:jc w:val="right"/>
              <w:ind w:right="2936"/>
              <w:spacing w:after="0"/>
              <w:rPr>
                <w:sz w:val="20"/>
                <w:szCs w:val="20"/>
                <w:color w:val="auto"/>
              </w:rPr>
            </w:pPr>
            <w:r>
              <w:rPr>
                <w:rFonts w:ascii="Arial" w:cs="Arial" w:eastAsia="Arial" w:hAnsi="Arial"/>
                <w:sz w:val="13"/>
                <w:szCs w:val="13"/>
                <w:color w:val="auto"/>
                <w:w w:val="75"/>
              </w:rPr>
              <w:t>2025</w:t>
            </w:r>
          </w:p>
        </w:tc>
        <w:tc>
          <w:tcPr>
            <w:tcW w:w="27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1,998</w:t>
            </w:r>
          </w:p>
        </w:tc>
        <w:tc>
          <w:tcPr>
            <w:tcW w:w="20" w:type="dxa"/>
            <w:vAlign w:val="bottom"/>
            <w:shd w:val="clear" w:color="auto" w:fill="CCEEFF"/>
          </w:tcPr>
          <w:p>
            <w:pPr>
              <w:spacing w:after="0"/>
              <w:rPr>
                <w:sz w:val="14"/>
                <w:szCs w:val="14"/>
                <w:color w:val="auto"/>
              </w:rPr>
            </w:pPr>
          </w:p>
        </w:tc>
      </w:tr>
      <w:tr>
        <w:trPr>
          <w:trHeight w:val="171"/>
        </w:trPr>
        <w:tc>
          <w:tcPr>
            <w:tcW w:w="3280" w:type="dxa"/>
            <w:vAlign w:val="bottom"/>
            <w:gridSpan w:val="2"/>
          </w:tcPr>
          <w:p>
            <w:pPr>
              <w:jc w:val="right"/>
              <w:ind w:right="2936"/>
              <w:spacing w:after="0"/>
              <w:rPr>
                <w:sz w:val="20"/>
                <w:szCs w:val="20"/>
                <w:color w:val="auto"/>
              </w:rPr>
            </w:pPr>
            <w:r>
              <w:rPr>
                <w:rFonts w:ascii="Arial" w:cs="Arial" w:eastAsia="Arial" w:hAnsi="Arial"/>
                <w:sz w:val="13"/>
                <w:szCs w:val="13"/>
                <w:color w:val="auto"/>
                <w:w w:val="89"/>
              </w:rPr>
              <w:t>2026</w:t>
            </w:r>
          </w:p>
        </w:tc>
        <w:tc>
          <w:tcPr>
            <w:tcW w:w="2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tcPr>
          <w:p>
            <w:pPr>
              <w:jc w:val="right"/>
              <w:ind w:right="16"/>
              <w:spacing w:after="0"/>
              <w:rPr>
                <w:sz w:val="20"/>
                <w:szCs w:val="20"/>
                <w:color w:val="auto"/>
              </w:rPr>
            </w:pPr>
            <w:r>
              <w:rPr>
                <w:rFonts w:ascii="Arial" w:cs="Arial" w:eastAsia="Arial" w:hAnsi="Arial"/>
                <w:sz w:val="13"/>
                <w:szCs w:val="13"/>
                <w:color w:val="auto"/>
              </w:rPr>
              <w:t>20,402</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240" w:type="dxa"/>
            <w:vAlign w:val="bottom"/>
            <w:shd w:val="clear" w:color="auto" w:fill="CCEEFF"/>
          </w:tcPr>
          <w:p>
            <w:pPr>
              <w:jc w:val="right"/>
              <w:ind w:right="2936"/>
              <w:spacing w:after="0"/>
              <w:rPr>
                <w:sz w:val="20"/>
                <w:szCs w:val="20"/>
                <w:color w:val="auto"/>
              </w:rPr>
            </w:pPr>
            <w:r>
              <w:rPr>
                <w:rFonts w:ascii="Arial" w:cs="Arial" w:eastAsia="Arial" w:hAnsi="Arial"/>
                <w:sz w:val="13"/>
                <w:szCs w:val="13"/>
                <w:color w:val="auto"/>
                <w:w w:val="75"/>
              </w:rPr>
              <w:t>2027</w:t>
            </w:r>
          </w:p>
        </w:tc>
        <w:tc>
          <w:tcPr>
            <w:tcW w:w="27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549</w:t>
            </w:r>
          </w:p>
        </w:tc>
        <w:tc>
          <w:tcPr>
            <w:tcW w:w="20" w:type="dxa"/>
            <w:vAlign w:val="bottom"/>
            <w:shd w:val="clear" w:color="auto" w:fill="CCEEFF"/>
          </w:tcPr>
          <w:p>
            <w:pPr>
              <w:spacing w:after="0"/>
              <w:rPr>
                <w:sz w:val="14"/>
                <w:szCs w:val="14"/>
                <w:color w:val="auto"/>
              </w:rPr>
            </w:pPr>
          </w:p>
        </w:tc>
      </w:tr>
      <w:tr>
        <w:trPr>
          <w:trHeight w:val="171"/>
        </w:trPr>
        <w:tc>
          <w:tcPr>
            <w:tcW w:w="3280" w:type="dxa"/>
            <w:vAlign w:val="bottom"/>
            <w:gridSpan w:val="2"/>
          </w:tcPr>
          <w:p>
            <w:pPr>
              <w:jc w:val="right"/>
              <w:ind w:right="2616"/>
              <w:spacing w:after="0"/>
              <w:rPr>
                <w:sz w:val="20"/>
                <w:szCs w:val="20"/>
                <w:color w:val="auto"/>
              </w:rPr>
            </w:pPr>
            <w:r>
              <w:rPr>
                <w:rFonts w:ascii="Arial" w:cs="Arial" w:eastAsia="Arial" w:hAnsi="Arial"/>
                <w:sz w:val="13"/>
                <w:szCs w:val="13"/>
                <w:color w:val="auto"/>
                <w:w w:val="96"/>
              </w:rPr>
              <w:t>Thereafter</w:t>
            </w:r>
          </w:p>
        </w:tc>
        <w:tc>
          <w:tcPr>
            <w:tcW w:w="27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246</w:t>
            </w:r>
          </w:p>
        </w:tc>
        <w:tc>
          <w:tcPr>
            <w:tcW w:w="20" w:type="dxa"/>
            <w:vAlign w:val="bottom"/>
          </w:tcPr>
          <w:p>
            <w:pPr>
              <w:spacing w:after="0"/>
              <w:rPr>
                <w:sz w:val="14"/>
                <w:szCs w:val="14"/>
                <w:color w:val="auto"/>
              </w:rPr>
            </w:pPr>
          </w:p>
        </w:tc>
      </w:tr>
      <w:tr>
        <w:trPr>
          <w:trHeight w:val="161"/>
        </w:trPr>
        <w:tc>
          <w:tcPr>
            <w:tcW w:w="40" w:type="dxa"/>
            <w:vAlign w:val="bottom"/>
          </w:tcPr>
          <w:p>
            <w:pPr>
              <w:spacing w:after="0"/>
              <w:rPr>
                <w:sz w:val="14"/>
                <w:szCs w:val="14"/>
                <w:color w:val="auto"/>
              </w:rPr>
            </w:pPr>
          </w:p>
        </w:tc>
        <w:tc>
          <w:tcPr>
            <w:tcW w:w="3240" w:type="dxa"/>
            <w:vAlign w:val="bottom"/>
            <w:shd w:val="clear" w:color="auto" w:fill="CCEEFF"/>
          </w:tcPr>
          <w:p>
            <w:pPr>
              <w:spacing w:after="0"/>
              <w:rPr>
                <w:sz w:val="14"/>
                <w:szCs w:val="14"/>
                <w:color w:val="auto"/>
              </w:rPr>
            </w:pPr>
          </w:p>
        </w:tc>
        <w:tc>
          <w:tcPr>
            <w:tcW w:w="332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216,977</w:t>
            </w:r>
          </w:p>
        </w:tc>
        <w:tc>
          <w:tcPr>
            <w:tcW w:w="20" w:type="dxa"/>
            <w:vAlign w:val="bottom"/>
            <w:shd w:val="clear" w:color="auto" w:fill="CCEEFF"/>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640" w:right="719" w:firstLine="256"/>
        <w:spacing w:after="0" w:line="252" w:lineRule="auto"/>
        <w:rPr>
          <w:sz w:val="20"/>
          <w:szCs w:val="20"/>
          <w:color w:val="auto"/>
        </w:rPr>
      </w:pPr>
      <w:r>
        <w:rPr>
          <w:rFonts w:ascii="Arial" w:cs="Arial" w:eastAsia="Arial" w:hAnsi="Arial"/>
          <w:sz w:val="14"/>
          <w:szCs w:val="14"/>
          <w:color w:val="auto"/>
        </w:rPr>
        <w:t>At December 31, 2022 and 2021, the aggregate amount of demand deposits reclassified to loans as overdrafts was $230 thousand and $247 thousand, respectively.</w:t>
      </w:r>
    </w:p>
    <w:p>
      <w:pPr>
        <w:spacing w:after="0" w:line="135" w:lineRule="exact"/>
        <w:rPr>
          <w:sz w:val="20"/>
          <w:szCs w:val="20"/>
          <w:color w:val="auto"/>
        </w:rPr>
      </w:pPr>
    </w:p>
    <w:p>
      <w:pPr>
        <w:ind w:left="1160" w:hanging="518"/>
        <w:spacing w:after="0"/>
        <w:tabs>
          <w:tab w:leader="none" w:pos="1160" w:val="left"/>
        </w:tabs>
        <w:numPr>
          <w:ilvl w:val="0"/>
          <w:numId w:val="14"/>
        </w:numPr>
        <w:rPr>
          <w:rFonts w:ascii="Arial" w:cs="Arial" w:eastAsia="Arial" w:hAnsi="Arial"/>
          <w:sz w:val="14"/>
          <w:szCs w:val="14"/>
          <w:b w:val="1"/>
          <w:bCs w:val="1"/>
          <w:color w:val="auto"/>
        </w:rPr>
      </w:pPr>
      <w:r>
        <w:rPr>
          <w:rFonts w:ascii="Arial" w:cs="Arial" w:eastAsia="Arial" w:hAnsi="Arial"/>
          <w:sz w:val="14"/>
          <w:szCs w:val="14"/>
          <w:b w:val="1"/>
          <w:bCs w:val="1"/>
          <w:color w:val="auto"/>
        </w:rPr>
        <w:t>BORROWINGS</w:t>
      </w:r>
    </w:p>
    <w:p>
      <w:pPr>
        <w:spacing w:after="0" w:line="220" w:lineRule="exact"/>
        <w:rPr>
          <w:sz w:val="20"/>
          <w:szCs w:val="20"/>
          <w:color w:val="auto"/>
        </w:rPr>
      </w:pPr>
    </w:p>
    <w:p>
      <w:pPr>
        <w:ind w:left="640" w:right="699" w:firstLine="256"/>
        <w:spacing w:after="0" w:line="252" w:lineRule="auto"/>
        <w:rPr>
          <w:sz w:val="20"/>
          <w:szCs w:val="20"/>
          <w:color w:val="auto"/>
        </w:rPr>
      </w:pPr>
      <w:r>
        <w:rPr>
          <w:rFonts w:ascii="Arial" w:cs="Arial" w:eastAsia="Arial" w:hAnsi="Arial"/>
          <w:sz w:val="14"/>
          <w:szCs w:val="14"/>
          <w:color w:val="auto"/>
        </w:rPr>
        <w:t>Borrowed funds consist of fixed rate advances from the FHLB. At December 31, 2022 FHLB advances were $ 46.0 million and at December 31, 2021 were $36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36</w:t>
      </w:r>
      <w:r>
        <w:rPr>
          <w:sz w:val="20"/>
          <w:szCs w:val="20"/>
          <w:color w:val="auto"/>
        </w:rPr>
        <w:tab/>
      </w:r>
      <w:r>
        <w:rPr>
          <w:rFonts w:ascii="Arial" w:cs="Arial" w:eastAsia="Arial" w:hAnsi="Arial"/>
          <w:sz w:val="14"/>
          <w:szCs w:val="14"/>
          <w:color w:val="auto"/>
        </w:rPr>
        <w:t>USCB Financial Holdings, Inc.</w:t>
        <w:tab/>
        <w:t>2022 10-K/A</w:t>
      </w:r>
    </w:p>
    <w:p>
      <w:pPr>
        <w:sectPr>
          <w:pgSz w:w="11900" w:h="16838" w:orient="portrait"/>
          <w:cols w:equalWidth="0" w:num="1">
            <w:col w:w="9019"/>
          </w:cols>
          <w:pgMar w:left="1440" w:top="490" w:right="1440" w:bottom="1440" w:gutter="0" w:footer="0" w:header="0"/>
          <w:type w:val="continuous"/>
        </w:sectPr>
      </w:pPr>
    </w:p>
    <w:bookmarkStart w:id="36" w:name="page37"/>
    <w:bookmarkEnd w:id="3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80" w:lineRule="exact"/>
        <w:rPr>
          <w:sz w:val="20"/>
          <w:szCs w:val="20"/>
          <w:color w:val="auto"/>
        </w:rPr>
      </w:pPr>
    </w:p>
    <w:p>
      <w:pPr>
        <w:ind w:left="640" w:right="719" w:firstLine="256"/>
        <w:spacing w:after="0" w:line="252" w:lineRule="auto"/>
        <w:rPr>
          <w:sz w:val="20"/>
          <w:szCs w:val="20"/>
          <w:color w:val="auto"/>
        </w:rPr>
      </w:pPr>
      <w:r>
        <w:rPr>
          <w:rFonts w:ascii="Arial" w:cs="Arial" w:eastAsia="Arial" w:hAnsi="Arial"/>
          <w:sz w:val="14"/>
          <w:szCs w:val="14"/>
          <w:color w:val="auto"/>
        </w:rPr>
        <w:t>The following table presents the fixed interest rates and expected maturities of the FHLB advances at December 31, 2022 and 2021 (in thousands):</w:t>
      </w:r>
    </w:p>
    <w:p>
      <w:pPr>
        <w:spacing w:after="0" w:line="160"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auto"/>
        </w:rPr>
        <w:t>At December 31, 2022</w:t>
      </w:r>
    </w:p>
    <w:p>
      <w:pPr>
        <w:spacing w:after="0" w:line="21"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1840" w:type="dxa"/>
            <w:vAlign w:val="bottom"/>
            <w:tcBorders>
              <w:bottom w:val="single" w:sz="8" w:color="auto"/>
            </w:tcBorders>
          </w:tcPr>
          <w:p>
            <w:pPr>
              <w:jc w:val="center"/>
              <w:ind w:right="16"/>
              <w:spacing w:after="0"/>
              <w:rPr>
                <w:sz w:val="20"/>
                <w:szCs w:val="20"/>
                <w:color w:val="auto"/>
              </w:rPr>
            </w:pPr>
            <w:r>
              <w:rPr>
                <w:rFonts w:ascii="Arial" w:cs="Arial" w:eastAsia="Arial" w:hAnsi="Arial"/>
                <w:sz w:val="13"/>
                <w:szCs w:val="13"/>
                <w:b w:val="1"/>
                <w:bCs w:val="1"/>
                <w:color w:val="auto"/>
                <w:w w:val="96"/>
              </w:rPr>
              <w:t>Interest Rate</w:t>
            </w:r>
          </w:p>
        </w:tc>
        <w:tc>
          <w:tcPr>
            <w:tcW w:w="20" w:type="dxa"/>
            <w:vAlign w:val="bottom"/>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center"/>
              <w:ind w:right="36"/>
              <w:spacing w:after="0"/>
              <w:rPr>
                <w:sz w:val="20"/>
                <w:szCs w:val="20"/>
                <w:color w:val="auto"/>
              </w:rPr>
            </w:pPr>
            <w:r>
              <w:rPr>
                <w:rFonts w:ascii="Arial" w:cs="Arial" w:eastAsia="Arial" w:hAnsi="Arial"/>
                <w:sz w:val="13"/>
                <w:szCs w:val="13"/>
                <w:b w:val="1"/>
                <w:bCs w:val="1"/>
                <w:color w:val="auto"/>
                <w:w w:val="97"/>
              </w:rPr>
              <w:t>Type of Rate</w:t>
            </w:r>
          </w:p>
        </w:tc>
        <w:tc>
          <w:tcPr>
            <w:tcW w:w="20" w:type="dxa"/>
            <w:vAlign w:val="bottom"/>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Maturity Date</w:t>
            </w:r>
          </w:p>
        </w:tc>
        <w:tc>
          <w:tcPr>
            <w:tcW w:w="3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716"/>
              <w:spacing w:after="0"/>
              <w:rPr>
                <w:sz w:val="20"/>
                <w:szCs w:val="20"/>
                <w:color w:val="auto"/>
              </w:rPr>
            </w:pPr>
            <w:r>
              <w:rPr>
                <w:rFonts w:ascii="Arial" w:cs="Arial" w:eastAsia="Arial" w:hAnsi="Arial"/>
                <w:sz w:val="13"/>
                <w:szCs w:val="13"/>
                <w:b w:val="1"/>
                <w:bCs w:val="1"/>
                <w:color w:val="auto"/>
              </w:rPr>
              <w:t>Amount</w:t>
            </w:r>
          </w:p>
        </w:tc>
        <w:tc>
          <w:tcPr>
            <w:tcW w:w="20" w:type="dxa"/>
            <w:vAlign w:val="bottom"/>
          </w:tcPr>
          <w:p>
            <w:pPr>
              <w:spacing w:after="0"/>
              <w:rPr>
                <w:sz w:val="15"/>
                <w:szCs w:val="15"/>
                <w:color w:val="auto"/>
              </w:rPr>
            </w:pPr>
          </w:p>
        </w:tc>
      </w:tr>
      <w:tr>
        <w:trPr>
          <w:trHeight w:val="141"/>
        </w:trPr>
        <w:tc>
          <w:tcPr>
            <w:tcW w:w="1840" w:type="dxa"/>
            <w:vAlign w:val="bottom"/>
            <w:shd w:val="clear" w:color="auto" w:fill="CCEEFF"/>
          </w:tcPr>
          <w:p>
            <w:pPr>
              <w:jc w:val="center"/>
              <w:ind w:right="16"/>
              <w:spacing w:after="0" w:line="141" w:lineRule="exact"/>
              <w:rPr>
                <w:sz w:val="20"/>
                <w:szCs w:val="20"/>
                <w:color w:val="auto"/>
              </w:rPr>
            </w:pPr>
            <w:r>
              <w:rPr>
                <w:rFonts w:ascii="Arial" w:cs="Arial" w:eastAsia="Arial" w:hAnsi="Arial"/>
                <w:sz w:val="13"/>
                <w:szCs w:val="13"/>
                <w:color w:val="auto"/>
                <w:w w:val="97"/>
              </w:rPr>
              <w:t>2.05%</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20" w:type="dxa"/>
            <w:vAlign w:val="bottom"/>
            <w:shd w:val="clear" w:color="auto" w:fill="CCEEFF"/>
          </w:tcPr>
          <w:p>
            <w:pPr>
              <w:jc w:val="center"/>
              <w:ind w:right="36"/>
              <w:spacing w:after="0" w:line="141" w:lineRule="exact"/>
              <w:rPr>
                <w:sz w:val="20"/>
                <w:szCs w:val="20"/>
                <w:color w:val="auto"/>
              </w:rPr>
            </w:pPr>
            <w:r>
              <w:rPr>
                <w:rFonts w:ascii="Arial" w:cs="Arial" w:eastAsia="Arial" w:hAnsi="Arial"/>
                <w:sz w:val="13"/>
                <w:szCs w:val="13"/>
                <w:color w:val="auto"/>
              </w:rPr>
              <w:t>Fixed</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March 27,</w:t>
            </w:r>
          </w:p>
        </w:tc>
        <w:tc>
          <w:tcPr>
            <w:tcW w:w="3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w w:val="96"/>
              </w:rPr>
              <w:t>2025</w:t>
            </w:r>
          </w:p>
        </w:tc>
        <w:tc>
          <w:tcPr>
            <w:tcW w:w="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340"/>
              <w:spacing w:after="0" w:line="141" w:lineRule="exact"/>
              <w:rPr>
                <w:sz w:val="20"/>
                <w:szCs w:val="20"/>
                <w:color w:val="auto"/>
              </w:rPr>
            </w:pPr>
            <w:r>
              <w:rPr>
                <w:rFonts w:ascii="Arial" w:cs="Arial" w:eastAsia="Arial" w:hAnsi="Arial"/>
                <w:sz w:val="13"/>
                <w:szCs w:val="13"/>
                <w:color w:val="auto"/>
                <w:w w:val="82"/>
              </w:rPr>
              <w:t>$</w:t>
            </w:r>
          </w:p>
        </w:tc>
        <w:tc>
          <w:tcPr>
            <w:tcW w:w="160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10,000</w:t>
            </w:r>
          </w:p>
        </w:tc>
        <w:tc>
          <w:tcPr>
            <w:tcW w:w="20" w:type="dxa"/>
            <w:vAlign w:val="bottom"/>
            <w:shd w:val="clear" w:color="auto" w:fill="CCEEFF"/>
          </w:tcPr>
          <w:p>
            <w:pPr>
              <w:spacing w:after="0"/>
              <w:rPr>
                <w:sz w:val="12"/>
                <w:szCs w:val="12"/>
                <w:color w:val="auto"/>
              </w:rPr>
            </w:pPr>
          </w:p>
        </w:tc>
      </w:tr>
      <w:tr>
        <w:trPr>
          <w:trHeight w:val="171"/>
        </w:trPr>
        <w:tc>
          <w:tcPr>
            <w:tcW w:w="1840" w:type="dxa"/>
            <w:vAlign w:val="bottom"/>
          </w:tcPr>
          <w:p>
            <w:pPr>
              <w:jc w:val="center"/>
              <w:ind w:right="16"/>
              <w:spacing w:after="0"/>
              <w:rPr>
                <w:sz w:val="20"/>
                <w:szCs w:val="20"/>
                <w:color w:val="auto"/>
              </w:rPr>
            </w:pPr>
            <w:r>
              <w:rPr>
                <w:rFonts w:ascii="Arial" w:cs="Arial" w:eastAsia="Arial" w:hAnsi="Arial"/>
                <w:sz w:val="13"/>
                <w:szCs w:val="13"/>
                <w:color w:val="auto"/>
                <w:w w:val="97"/>
              </w:rPr>
              <w:t>1.07%</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tcPr>
          <w:p>
            <w:pPr>
              <w:jc w:val="center"/>
              <w:ind w:right="36"/>
              <w:spacing w:after="0"/>
              <w:rPr>
                <w:sz w:val="20"/>
                <w:szCs w:val="20"/>
                <w:color w:val="auto"/>
              </w:rPr>
            </w:pPr>
            <w:r>
              <w:rPr>
                <w:rFonts w:ascii="Arial" w:cs="Arial" w:eastAsia="Arial" w:hAnsi="Arial"/>
                <w:sz w:val="13"/>
                <w:szCs w:val="13"/>
                <w:color w:val="auto"/>
              </w:rPr>
              <w:t>Fixed</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July 18,</w:t>
            </w:r>
          </w:p>
        </w:tc>
        <w:tc>
          <w:tcPr>
            <w:tcW w:w="340" w:type="dxa"/>
            <w:vAlign w:val="bottom"/>
          </w:tcPr>
          <w:p>
            <w:pPr>
              <w:jc w:val="right"/>
              <w:spacing w:after="0"/>
              <w:rPr>
                <w:sz w:val="20"/>
                <w:szCs w:val="20"/>
                <w:color w:val="auto"/>
              </w:rPr>
            </w:pPr>
            <w:r>
              <w:rPr>
                <w:rFonts w:ascii="Arial" w:cs="Arial" w:eastAsia="Arial" w:hAnsi="Arial"/>
                <w:sz w:val="13"/>
                <w:szCs w:val="13"/>
                <w:color w:val="auto"/>
                <w:w w:val="96"/>
              </w:rPr>
              <w:t>2025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6,000</w:t>
            </w:r>
          </w:p>
        </w:tc>
        <w:tc>
          <w:tcPr>
            <w:tcW w:w="20" w:type="dxa"/>
            <w:vAlign w:val="bottom"/>
          </w:tcPr>
          <w:p>
            <w:pPr>
              <w:spacing w:after="0"/>
              <w:rPr>
                <w:sz w:val="14"/>
                <w:szCs w:val="14"/>
                <w:color w:val="auto"/>
              </w:rPr>
            </w:pPr>
          </w:p>
        </w:tc>
      </w:tr>
      <w:tr>
        <w:trPr>
          <w:trHeight w:val="151"/>
        </w:trPr>
        <w:tc>
          <w:tcPr>
            <w:tcW w:w="1840" w:type="dxa"/>
            <w:vAlign w:val="bottom"/>
            <w:tcBorders>
              <w:bottom w:val="single" w:sz="8" w:color="CCEEFF"/>
            </w:tcBorders>
            <w:shd w:val="clear" w:color="auto" w:fill="CCEEFF"/>
          </w:tcPr>
          <w:p>
            <w:pPr>
              <w:jc w:val="center"/>
              <w:ind w:right="16"/>
              <w:spacing w:after="0"/>
              <w:rPr>
                <w:sz w:val="20"/>
                <w:szCs w:val="20"/>
                <w:color w:val="auto"/>
              </w:rPr>
            </w:pPr>
            <w:r>
              <w:rPr>
                <w:rFonts w:ascii="Arial" w:cs="Arial" w:eastAsia="Arial" w:hAnsi="Arial"/>
                <w:sz w:val="13"/>
                <w:szCs w:val="13"/>
                <w:color w:val="auto"/>
                <w:w w:val="97"/>
              </w:rPr>
              <w:t>1.04%</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820" w:type="dxa"/>
            <w:vAlign w:val="bottom"/>
            <w:tcBorders>
              <w:bottom w:val="single" w:sz="8" w:color="CCEEFF"/>
            </w:tcBorders>
            <w:shd w:val="clear" w:color="auto" w:fill="CCEEFF"/>
          </w:tcPr>
          <w:p>
            <w:pPr>
              <w:jc w:val="center"/>
              <w:ind w:right="36"/>
              <w:spacing w:after="0"/>
              <w:rPr>
                <w:sz w:val="20"/>
                <w:szCs w:val="20"/>
                <w:color w:val="auto"/>
              </w:rPr>
            </w:pPr>
            <w:r>
              <w:rPr>
                <w:rFonts w:ascii="Arial" w:cs="Arial" w:eastAsia="Arial" w:hAnsi="Arial"/>
                <w:sz w:val="13"/>
                <w:szCs w:val="13"/>
                <w:color w:val="auto"/>
              </w:rPr>
              <w:t>Fixed</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July 30,</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6"/>
              </w:rPr>
              <w:t>2024</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5,000</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71"/>
        </w:trPr>
        <w:tc>
          <w:tcPr>
            <w:tcW w:w="1840" w:type="dxa"/>
            <w:vAlign w:val="bottom"/>
          </w:tcPr>
          <w:p>
            <w:pPr>
              <w:jc w:val="center"/>
              <w:ind w:right="16"/>
              <w:spacing w:after="0"/>
              <w:rPr>
                <w:sz w:val="20"/>
                <w:szCs w:val="20"/>
                <w:color w:val="auto"/>
              </w:rPr>
            </w:pPr>
            <w:r>
              <w:rPr>
                <w:rFonts w:ascii="Arial" w:cs="Arial" w:eastAsia="Arial" w:hAnsi="Arial"/>
                <w:sz w:val="13"/>
                <w:szCs w:val="13"/>
                <w:color w:val="auto"/>
                <w:w w:val="97"/>
              </w:rPr>
              <w:t>0.81%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tcPr>
          <w:p>
            <w:pPr>
              <w:jc w:val="center"/>
              <w:ind w:right="36"/>
              <w:spacing w:after="0"/>
              <w:rPr>
                <w:sz w:val="20"/>
                <w:szCs w:val="20"/>
                <w:color w:val="auto"/>
              </w:rPr>
            </w:pPr>
            <w:r>
              <w:rPr>
                <w:rFonts w:ascii="Arial" w:cs="Arial" w:eastAsia="Arial" w:hAnsi="Arial"/>
                <w:sz w:val="13"/>
                <w:szCs w:val="13"/>
                <w:color w:val="auto"/>
              </w:rPr>
              <w:t>Fixed</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August 17,</w:t>
            </w:r>
          </w:p>
        </w:tc>
        <w:tc>
          <w:tcPr>
            <w:tcW w:w="340" w:type="dxa"/>
            <w:vAlign w:val="bottom"/>
          </w:tcPr>
          <w:p>
            <w:pPr>
              <w:jc w:val="right"/>
              <w:spacing w:after="0"/>
              <w:rPr>
                <w:sz w:val="20"/>
                <w:szCs w:val="20"/>
                <w:color w:val="auto"/>
              </w:rPr>
            </w:pPr>
            <w:r>
              <w:rPr>
                <w:rFonts w:ascii="Arial" w:cs="Arial" w:eastAsia="Arial" w:hAnsi="Arial"/>
                <w:sz w:val="13"/>
                <w:szCs w:val="13"/>
                <w:color w:val="auto"/>
                <w:w w:val="96"/>
              </w:rPr>
              <w:t>2023</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5,000</w:t>
            </w:r>
          </w:p>
        </w:tc>
        <w:tc>
          <w:tcPr>
            <w:tcW w:w="20" w:type="dxa"/>
            <w:vAlign w:val="bottom"/>
          </w:tcPr>
          <w:p>
            <w:pPr>
              <w:spacing w:after="0"/>
              <w:rPr>
                <w:sz w:val="14"/>
                <w:szCs w:val="14"/>
                <w:color w:val="auto"/>
              </w:rPr>
            </w:pPr>
          </w:p>
        </w:tc>
      </w:tr>
      <w:tr>
        <w:trPr>
          <w:trHeight w:val="155"/>
        </w:trPr>
        <w:tc>
          <w:tcPr>
            <w:tcW w:w="1840" w:type="dxa"/>
            <w:vAlign w:val="bottom"/>
            <w:tcBorders>
              <w:bottom w:val="single" w:sz="8" w:color="CCEEFF"/>
            </w:tcBorders>
            <w:shd w:val="clear" w:color="auto" w:fill="CCEEFF"/>
          </w:tcPr>
          <w:p>
            <w:pPr>
              <w:jc w:val="center"/>
              <w:ind w:right="16"/>
              <w:spacing w:after="0"/>
              <w:rPr>
                <w:sz w:val="20"/>
                <w:szCs w:val="20"/>
                <w:color w:val="auto"/>
              </w:rPr>
            </w:pPr>
            <w:r>
              <w:rPr>
                <w:rFonts w:ascii="Arial" w:cs="Arial" w:eastAsia="Arial" w:hAnsi="Arial"/>
                <w:sz w:val="13"/>
                <w:szCs w:val="13"/>
                <w:color w:val="auto"/>
                <w:w w:val="97"/>
              </w:rPr>
              <w:t>4.17%</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820" w:type="dxa"/>
            <w:vAlign w:val="bottom"/>
            <w:tcBorders>
              <w:bottom w:val="single" w:sz="8" w:color="CCEEFF"/>
            </w:tcBorders>
            <w:shd w:val="clear" w:color="auto" w:fill="CCEEFF"/>
          </w:tcPr>
          <w:p>
            <w:pPr>
              <w:jc w:val="center"/>
              <w:ind w:right="36"/>
              <w:spacing w:after="0"/>
              <w:rPr>
                <w:sz w:val="20"/>
                <w:szCs w:val="20"/>
                <w:color w:val="auto"/>
              </w:rPr>
            </w:pPr>
            <w:r>
              <w:rPr>
                <w:rFonts w:ascii="Arial" w:cs="Arial" w:eastAsia="Arial" w:hAnsi="Arial"/>
                <w:sz w:val="13"/>
                <w:szCs w:val="13"/>
                <w:color w:val="auto"/>
              </w:rPr>
              <w:t>Fixed</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8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January 13, 2023</w:t>
            </w:r>
          </w:p>
        </w:tc>
        <w:tc>
          <w:tcPr>
            <w:tcW w:w="4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6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20,000</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77"/>
        </w:trPr>
        <w:tc>
          <w:tcPr>
            <w:tcW w:w="1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gridSpan w:val="2"/>
          </w:tcPr>
          <w:p>
            <w:pPr>
              <w:jc w:val="right"/>
              <w:ind w:right="340"/>
              <w:spacing w:after="0"/>
              <w:rPr>
                <w:sz w:val="20"/>
                <w:szCs w:val="20"/>
                <w:color w:val="auto"/>
              </w:rPr>
            </w:pPr>
            <w:r>
              <w:rPr>
                <w:rFonts w:ascii="Arial" w:cs="Arial" w:eastAsia="Arial" w:hAnsi="Arial"/>
                <w:sz w:val="13"/>
                <w:szCs w:val="13"/>
                <w:color w:val="auto"/>
                <w:w w:val="82"/>
              </w:rPr>
              <w:t>$</w:t>
            </w:r>
          </w:p>
        </w:tc>
        <w:tc>
          <w:tcPr>
            <w:tcW w:w="1600" w:type="dxa"/>
            <w:vAlign w:val="bottom"/>
          </w:tcPr>
          <w:p>
            <w:pPr>
              <w:jc w:val="right"/>
              <w:ind w:right="16"/>
              <w:spacing w:after="0"/>
              <w:rPr>
                <w:sz w:val="20"/>
                <w:szCs w:val="20"/>
                <w:color w:val="auto"/>
              </w:rPr>
            </w:pPr>
            <w:r>
              <w:rPr>
                <w:rFonts w:ascii="Arial" w:cs="Arial" w:eastAsia="Arial" w:hAnsi="Arial"/>
                <w:sz w:val="13"/>
                <w:szCs w:val="13"/>
                <w:color w:val="auto"/>
              </w:rPr>
              <w:t>46,000</w:t>
            </w:r>
          </w:p>
        </w:tc>
        <w:tc>
          <w:tcPr>
            <w:tcW w:w="20" w:type="dxa"/>
            <w:vAlign w:val="bottom"/>
          </w:tcPr>
          <w:p>
            <w:pPr>
              <w:spacing w:after="0"/>
              <w:rPr>
                <w:sz w:val="15"/>
                <w:szCs w:val="15"/>
                <w:color w:val="auto"/>
              </w:rPr>
            </w:pPr>
          </w:p>
        </w:tc>
      </w:tr>
      <w:tr>
        <w:trPr>
          <w:trHeight w:val="20"/>
        </w:trPr>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auto"/>
        </w:rPr>
        <w:t>At December 31, 2021</w:t>
      </w:r>
    </w:p>
    <w:p>
      <w:pPr>
        <w:spacing w:after="0" w:line="21"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1840" w:type="dxa"/>
            <w:vAlign w:val="bottom"/>
            <w:tcBorders>
              <w:bottom w:val="single" w:sz="8" w:color="auto"/>
            </w:tcBorders>
          </w:tcPr>
          <w:p>
            <w:pPr>
              <w:jc w:val="center"/>
              <w:ind w:right="16"/>
              <w:spacing w:after="0"/>
              <w:rPr>
                <w:sz w:val="20"/>
                <w:szCs w:val="20"/>
                <w:color w:val="auto"/>
              </w:rPr>
            </w:pPr>
            <w:r>
              <w:rPr>
                <w:rFonts w:ascii="Arial" w:cs="Arial" w:eastAsia="Arial" w:hAnsi="Arial"/>
                <w:sz w:val="13"/>
                <w:szCs w:val="13"/>
                <w:b w:val="1"/>
                <w:bCs w:val="1"/>
                <w:color w:val="auto"/>
                <w:w w:val="96"/>
              </w:rPr>
              <w:t>Interest Rate</w:t>
            </w:r>
          </w:p>
        </w:tc>
        <w:tc>
          <w:tcPr>
            <w:tcW w:w="20" w:type="dxa"/>
            <w:vAlign w:val="bottom"/>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center"/>
              <w:ind w:right="36"/>
              <w:spacing w:after="0"/>
              <w:rPr>
                <w:sz w:val="20"/>
                <w:szCs w:val="20"/>
                <w:color w:val="auto"/>
              </w:rPr>
            </w:pPr>
            <w:r>
              <w:rPr>
                <w:rFonts w:ascii="Arial" w:cs="Arial" w:eastAsia="Arial" w:hAnsi="Arial"/>
                <w:sz w:val="13"/>
                <w:szCs w:val="13"/>
                <w:b w:val="1"/>
                <w:bCs w:val="1"/>
                <w:color w:val="auto"/>
                <w:w w:val="97"/>
              </w:rPr>
              <w:t>Type of Rate</w:t>
            </w:r>
          </w:p>
        </w:tc>
        <w:tc>
          <w:tcPr>
            <w:tcW w:w="20" w:type="dxa"/>
            <w:vAlign w:val="bottom"/>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Maturity Date</w:t>
            </w:r>
          </w:p>
        </w:tc>
        <w:tc>
          <w:tcPr>
            <w:tcW w:w="3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716"/>
              <w:spacing w:after="0"/>
              <w:rPr>
                <w:sz w:val="20"/>
                <w:szCs w:val="20"/>
                <w:color w:val="auto"/>
              </w:rPr>
            </w:pPr>
            <w:r>
              <w:rPr>
                <w:rFonts w:ascii="Arial" w:cs="Arial" w:eastAsia="Arial" w:hAnsi="Arial"/>
                <w:sz w:val="13"/>
                <w:szCs w:val="13"/>
                <w:b w:val="1"/>
                <w:bCs w:val="1"/>
                <w:color w:val="auto"/>
              </w:rPr>
              <w:t>Amount</w:t>
            </w:r>
          </w:p>
        </w:tc>
        <w:tc>
          <w:tcPr>
            <w:tcW w:w="20" w:type="dxa"/>
            <w:vAlign w:val="bottom"/>
          </w:tcPr>
          <w:p>
            <w:pPr>
              <w:spacing w:after="0"/>
              <w:rPr>
                <w:sz w:val="15"/>
                <w:szCs w:val="15"/>
                <w:color w:val="auto"/>
              </w:rPr>
            </w:pPr>
          </w:p>
        </w:tc>
      </w:tr>
      <w:tr>
        <w:trPr>
          <w:trHeight w:val="141"/>
        </w:trPr>
        <w:tc>
          <w:tcPr>
            <w:tcW w:w="1840" w:type="dxa"/>
            <w:vAlign w:val="bottom"/>
            <w:shd w:val="clear" w:color="auto" w:fill="CCEEFF"/>
          </w:tcPr>
          <w:p>
            <w:pPr>
              <w:jc w:val="center"/>
              <w:ind w:right="16"/>
              <w:spacing w:after="0" w:line="141" w:lineRule="exact"/>
              <w:rPr>
                <w:sz w:val="20"/>
                <w:szCs w:val="20"/>
                <w:color w:val="auto"/>
              </w:rPr>
            </w:pPr>
            <w:r>
              <w:rPr>
                <w:rFonts w:ascii="Arial" w:cs="Arial" w:eastAsia="Arial" w:hAnsi="Arial"/>
                <w:sz w:val="13"/>
                <w:szCs w:val="13"/>
                <w:color w:val="auto"/>
                <w:w w:val="97"/>
              </w:rPr>
              <w:t>0.81%</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20" w:type="dxa"/>
            <w:vAlign w:val="bottom"/>
            <w:shd w:val="clear" w:color="auto" w:fill="CCEEFF"/>
          </w:tcPr>
          <w:p>
            <w:pPr>
              <w:jc w:val="center"/>
              <w:ind w:right="36"/>
              <w:spacing w:after="0" w:line="141" w:lineRule="exact"/>
              <w:rPr>
                <w:sz w:val="20"/>
                <w:szCs w:val="20"/>
                <w:color w:val="auto"/>
              </w:rPr>
            </w:pPr>
            <w:r>
              <w:rPr>
                <w:rFonts w:ascii="Arial" w:cs="Arial" w:eastAsia="Arial" w:hAnsi="Arial"/>
                <w:sz w:val="13"/>
                <w:szCs w:val="13"/>
                <w:color w:val="auto"/>
              </w:rPr>
              <w:t>Fixed</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August 17,</w:t>
            </w:r>
          </w:p>
        </w:tc>
        <w:tc>
          <w:tcPr>
            <w:tcW w:w="3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w w:val="96"/>
              </w:rPr>
              <w:t>2023</w:t>
            </w:r>
          </w:p>
        </w:tc>
        <w:tc>
          <w:tcPr>
            <w:tcW w:w="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340"/>
              <w:spacing w:after="0" w:line="141" w:lineRule="exact"/>
              <w:rPr>
                <w:sz w:val="20"/>
                <w:szCs w:val="20"/>
                <w:color w:val="auto"/>
              </w:rPr>
            </w:pPr>
            <w:r>
              <w:rPr>
                <w:rFonts w:ascii="Arial" w:cs="Arial" w:eastAsia="Arial" w:hAnsi="Arial"/>
                <w:sz w:val="13"/>
                <w:szCs w:val="13"/>
                <w:color w:val="auto"/>
                <w:w w:val="82"/>
              </w:rPr>
              <w:t>$</w:t>
            </w:r>
          </w:p>
        </w:tc>
        <w:tc>
          <w:tcPr>
            <w:tcW w:w="16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5,000</w:t>
            </w:r>
          </w:p>
        </w:tc>
        <w:tc>
          <w:tcPr>
            <w:tcW w:w="20" w:type="dxa"/>
            <w:vAlign w:val="bottom"/>
            <w:shd w:val="clear" w:color="auto" w:fill="CCEEFF"/>
          </w:tcPr>
          <w:p>
            <w:pPr>
              <w:spacing w:after="0"/>
              <w:rPr>
                <w:sz w:val="12"/>
                <w:szCs w:val="12"/>
                <w:color w:val="auto"/>
              </w:rPr>
            </w:pPr>
          </w:p>
        </w:tc>
      </w:tr>
      <w:tr>
        <w:trPr>
          <w:trHeight w:val="171"/>
        </w:trPr>
        <w:tc>
          <w:tcPr>
            <w:tcW w:w="1840" w:type="dxa"/>
            <w:vAlign w:val="bottom"/>
          </w:tcPr>
          <w:p>
            <w:pPr>
              <w:jc w:val="center"/>
              <w:ind w:right="16"/>
              <w:spacing w:after="0"/>
              <w:rPr>
                <w:sz w:val="20"/>
                <w:szCs w:val="20"/>
                <w:color w:val="auto"/>
              </w:rPr>
            </w:pPr>
            <w:r>
              <w:rPr>
                <w:rFonts w:ascii="Arial" w:cs="Arial" w:eastAsia="Arial" w:hAnsi="Arial"/>
                <w:sz w:val="13"/>
                <w:szCs w:val="13"/>
                <w:color w:val="auto"/>
                <w:w w:val="97"/>
              </w:rPr>
              <w:t>1.04%</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tcPr>
          <w:p>
            <w:pPr>
              <w:jc w:val="center"/>
              <w:ind w:right="36"/>
              <w:spacing w:after="0"/>
              <w:rPr>
                <w:sz w:val="20"/>
                <w:szCs w:val="20"/>
                <w:color w:val="auto"/>
              </w:rPr>
            </w:pPr>
            <w:r>
              <w:rPr>
                <w:rFonts w:ascii="Arial" w:cs="Arial" w:eastAsia="Arial" w:hAnsi="Arial"/>
                <w:sz w:val="13"/>
                <w:szCs w:val="13"/>
                <w:color w:val="auto"/>
              </w:rPr>
              <w:t>Fixed</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July 30,</w:t>
            </w:r>
          </w:p>
        </w:tc>
        <w:tc>
          <w:tcPr>
            <w:tcW w:w="340" w:type="dxa"/>
            <w:vAlign w:val="bottom"/>
          </w:tcPr>
          <w:p>
            <w:pPr>
              <w:jc w:val="right"/>
              <w:spacing w:after="0"/>
              <w:rPr>
                <w:sz w:val="20"/>
                <w:szCs w:val="20"/>
                <w:color w:val="auto"/>
              </w:rPr>
            </w:pPr>
            <w:r>
              <w:rPr>
                <w:rFonts w:ascii="Arial" w:cs="Arial" w:eastAsia="Arial" w:hAnsi="Arial"/>
                <w:sz w:val="13"/>
                <w:szCs w:val="13"/>
                <w:color w:val="auto"/>
                <w:w w:val="96"/>
              </w:rPr>
              <w:t>2024</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5,000</w:t>
            </w:r>
          </w:p>
        </w:tc>
        <w:tc>
          <w:tcPr>
            <w:tcW w:w="20" w:type="dxa"/>
            <w:vAlign w:val="bottom"/>
          </w:tcPr>
          <w:p>
            <w:pPr>
              <w:spacing w:after="0"/>
              <w:rPr>
                <w:sz w:val="14"/>
                <w:szCs w:val="14"/>
                <w:color w:val="auto"/>
              </w:rPr>
            </w:pPr>
          </w:p>
        </w:tc>
      </w:tr>
      <w:tr>
        <w:trPr>
          <w:trHeight w:val="151"/>
        </w:trPr>
        <w:tc>
          <w:tcPr>
            <w:tcW w:w="1840" w:type="dxa"/>
            <w:vAlign w:val="bottom"/>
            <w:tcBorders>
              <w:bottom w:val="single" w:sz="8" w:color="CCEEFF"/>
            </w:tcBorders>
            <w:shd w:val="clear" w:color="auto" w:fill="CCEEFF"/>
          </w:tcPr>
          <w:p>
            <w:pPr>
              <w:jc w:val="center"/>
              <w:ind w:right="16"/>
              <w:spacing w:after="0"/>
              <w:rPr>
                <w:sz w:val="20"/>
                <w:szCs w:val="20"/>
                <w:color w:val="auto"/>
              </w:rPr>
            </w:pPr>
            <w:r>
              <w:rPr>
                <w:rFonts w:ascii="Arial" w:cs="Arial" w:eastAsia="Arial" w:hAnsi="Arial"/>
                <w:sz w:val="13"/>
                <w:szCs w:val="13"/>
                <w:color w:val="auto"/>
                <w:w w:val="97"/>
              </w:rPr>
              <w:t>2.05%</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820" w:type="dxa"/>
            <w:vAlign w:val="bottom"/>
            <w:tcBorders>
              <w:bottom w:val="single" w:sz="8" w:color="CCEEFF"/>
            </w:tcBorders>
            <w:shd w:val="clear" w:color="auto" w:fill="CCEEFF"/>
          </w:tcPr>
          <w:p>
            <w:pPr>
              <w:jc w:val="center"/>
              <w:ind w:right="36"/>
              <w:spacing w:after="0"/>
              <w:rPr>
                <w:sz w:val="20"/>
                <w:szCs w:val="20"/>
                <w:color w:val="auto"/>
              </w:rPr>
            </w:pPr>
            <w:r>
              <w:rPr>
                <w:rFonts w:ascii="Arial" w:cs="Arial" w:eastAsia="Arial" w:hAnsi="Arial"/>
                <w:sz w:val="13"/>
                <w:szCs w:val="13"/>
                <w:color w:val="auto"/>
              </w:rPr>
              <w:t>Fixed</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March 27,</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6"/>
              </w:rPr>
              <w:t>2025</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10,000</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71"/>
        </w:trPr>
        <w:tc>
          <w:tcPr>
            <w:tcW w:w="1840" w:type="dxa"/>
            <w:vAlign w:val="bottom"/>
          </w:tcPr>
          <w:p>
            <w:pPr>
              <w:jc w:val="center"/>
              <w:ind w:right="16"/>
              <w:spacing w:after="0"/>
              <w:rPr>
                <w:sz w:val="20"/>
                <w:szCs w:val="20"/>
                <w:color w:val="auto"/>
              </w:rPr>
            </w:pPr>
            <w:r>
              <w:rPr>
                <w:rFonts w:ascii="Arial" w:cs="Arial" w:eastAsia="Arial" w:hAnsi="Arial"/>
                <w:sz w:val="13"/>
                <w:szCs w:val="13"/>
                <w:color w:val="auto"/>
                <w:w w:val="97"/>
              </w:rPr>
              <w:t>1.91%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tcPr>
          <w:p>
            <w:pPr>
              <w:jc w:val="center"/>
              <w:ind w:right="36"/>
              <w:spacing w:after="0"/>
              <w:rPr>
                <w:sz w:val="20"/>
                <w:szCs w:val="20"/>
                <w:color w:val="auto"/>
              </w:rPr>
            </w:pPr>
            <w:r>
              <w:rPr>
                <w:rFonts w:ascii="Arial" w:cs="Arial" w:eastAsia="Arial" w:hAnsi="Arial"/>
                <w:sz w:val="13"/>
                <w:szCs w:val="13"/>
                <w:color w:val="auto"/>
              </w:rPr>
              <w:t>Fixed</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March 28,</w:t>
            </w:r>
          </w:p>
        </w:tc>
        <w:tc>
          <w:tcPr>
            <w:tcW w:w="340" w:type="dxa"/>
            <w:vAlign w:val="bottom"/>
          </w:tcPr>
          <w:p>
            <w:pPr>
              <w:jc w:val="right"/>
              <w:spacing w:after="0"/>
              <w:rPr>
                <w:sz w:val="20"/>
                <w:szCs w:val="20"/>
                <w:color w:val="auto"/>
              </w:rPr>
            </w:pPr>
            <w:r>
              <w:rPr>
                <w:rFonts w:ascii="Arial" w:cs="Arial" w:eastAsia="Arial" w:hAnsi="Arial"/>
                <w:sz w:val="13"/>
                <w:szCs w:val="13"/>
                <w:color w:val="auto"/>
                <w:w w:val="96"/>
              </w:rPr>
              <w:t>2025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3"/>
                <w:szCs w:val="13"/>
                <w:color w:val="auto"/>
              </w:rPr>
              <w:t>5,000</w:t>
            </w:r>
          </w:p>
        </w:tc>
        <w:tc>
          <w:tcPr>
            <w:tcW w:w="20" w:type="dxa"/>
            <w:vAlign w:val="bottom"/>
          </w:tcPr>
          <w:p>
            <w:pPr>
              <w:spacing w:after="0"/>
              <w:rPr>
                <w:sz w:val="14"/>
                <w:szCs w:val="14"/>
                <w:color w:val="auto"/>
              </w:rPr>
            </w:pPr>
          </w:p>
        </w:tc>
      </w:tr>
      <w:tr>
        <w:trPr>
          <w:trHeight w:val="151"/>
        </w:trPr>
        <w:tc>
          <w:tcPr>
            <w:tcW w:w="1840" w:type="dxa"/>
            <w:vAlign w:val="bottom"/>
            <w:tcBorders>
              <w:bottom w:val="single" w:sz="8" w:color="CCEEFF"/>
            </w:tcBorders>
            <w:shd w:val="clear" w:color="auto" w:fill="CCEEFF"/>
          </w:tcPr>
          <w:p>
            <w:pPr>
              <w:jc w:val="center"/>
              <w:ind w:right="16"/>
              <w:spacing w:after="0"/>
              <w:rPr>
                <w:sz w:val="20"/>
                <w:szCs w:val="20"/>
                <w:color w:val="auto"/>
              </w:rPr>
            </w:pPr>
            <w:r>
              <w:rPr>
                <w:rFonts w:ascii="Arial" w:cs="Arial" w:eastAsia="Arial" w:hAnsi="Arial"/>
                <w:sz w:val="13"/>
                <w:szCs w:val="13"/>
                <w:color w:val="auto"/>
                <w:w w:val="97"/>
              </w:rPr>
              <w:t>1.81%</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820" w:type="dxa"/>
            <w:vAlign w:val="bottom"/>
            <w:tcBorders>
              <w:bottom w:val="single" w:sz="8" w:color="CCEEFF"/>
            </w:tcBorders>
            <w:shd w:val="clear" w:color="auto" w:fill="CCEEFF"/>
          </w:tcPr>
          <w:p>
            <w:pPr>
              <w:jc w:val="center"/>
              <w:ind w:right="36"/>
              <w:spacing w:after="0"/>
              <w:rPr>
                <w:sz w:val="20"/>
                <w:szCs w:val="20"/>
                <w:color w:val="auto"/>
              </w:rPr>
            </w:pPr>
            <w:r>
              <w:rPr>
                <w:rFonts w:ascii="Arial" w:cs="Arial" w:eastAsia="Arial" w:hAnsi="Arial"/>
                <w:sz w:val="13"/>
                <w:szCs w:val="13"/>
                <w:color w:val="auto"/>
              </w:rPr>
              <w:t>Fixed</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8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April 17, 2025</w:t>
            </w:r>
          </w:p>
        </w:tc>
        <w:tc>
          <w:tcPr>
            <w:tcW w:w="4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5,000</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60"/>
        </w:trPr>
        <w:tc>
          <w:tcPr>
            <w:tcW w:w="1840" w:type="dxa"/>
            <w:vAlign w:val="bottom"/>
            <w:tcBorders>
              <w:bottom w:val="single" w:sz="8" w:color="CCEEFF"/>
            </w:tcBorders>
          </w:tcPr>
          <w:p>
            <w:pPr>
              <w:jc w:val="center"/>
              <w:ind w:right="16"/>
              <w:spacing w:after="0"/>
              <w:rPr>
                <w:sz w:val="20"/>
                <w:szCs w:val="20"/>
                <w:color w:val="auto"/>
              </w:rPr>
            </w:pPr>
            <w:r>
              <w:rPr>
                <w:rFonts w:ascii="Arial" w:cs="Arial" w:eastAsia="Arial" w:hAnsi="Arial"/>
                <w:sz w:val="13"/>
                <w:szCs w:val="13"/>
                <w:color w:val="auto"/>
                <w:w w:val="97"/>
              </w:rPr>
              <w:t>1.07%</w:t>
            </w:r>
          </w:p>
        </w:tc>
        <w:tc>
          <w:tcPr>
            <w:tcW w:w="2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820" w:type="dxa"/>
            <w:vAlign w:val="bottom"/>
            <w:tcBorders>
              <w:bottom w:val="single" w:sz="8" w:color="CCEEFF"/>
            </w:tcBorders>
          </w:tcPr>
          <w:p>
            <w:pPr>
              <w:jc w:val="center"/>
              <w:ind w:right="36"/>
              <w:spacing w:after="0"/>
              <w:rPr>
                <w:sz w:val="20"/>
                <w:szCs w:val="20"/>
                <w:color w:val="auto"/>
              </w:rPr>
            </w:pPr>
            <w:r>
              <w:rPr>
                <w:rFonts w:ascii="Arial" w:cs="Arial" w:eastAsia="Arial" w:hAnsi="Arial"/>
                <w:sz w:val="13"/>
                <w:szCs w:val="13"/>
                <w:color w:val="auto"/>
              </w:rPr>
              <w:t>Fixed</w:t>
            </w:r>
          </w:p>
        </w:tc>
        <w:tc>
          <w:tcPr>
            <w:tcW w:w="2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July 18,</w:t>
            </w:r>
          </w:p>
        </w:tc>
        <w:tc>
          <w:tcPr>
            <w:tcW w:w="3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w w:val="96"/>
              </w:rPr>
              <w:t>2025</w:t>
            </w:r>
          </w:p>
        </w:tc>
        <w:tc>
          <w:tcPr>
            <w:tcW w:w="2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6,000</w:t>
            </w:r>
          </w:p>
        </w:tc>
        <w:tc>
          <w:tcPr>
            <w:tcW w:w="20" w:type="dxa"/>
            <w:vAlign w:val="bottom"/>
          </w:tcPr>
          <w:p>
            <w:pPr>
              <w:spacing w:after="0"/>
              <w:rPr>
                <w:sz w:val="13"/>
                <w:szCs w:val="13"/>
                <w:color w:val="auto"/>
              </w:rPr>
            </w:pPr>
          </w:p>
        </w:tc>
      </w:tr>
      <w:tr>
        <w:trPr>
          <w:trHeight w:val="20"/>
        </w:trPr>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2"/>
        </w:trPr>
        <w:tc>
          <w:tcPr>
            <w:tcW w:w="18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8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gridSpan w:val="2"/>
            <w:shd w:val="clear" w:color="auto" w:fill="CCEEFF"/>
          </w:tcPr>
          <w:p>
            <w:pPr>
              <w:jc w:val="right"/>
              <w:ind w:right="340"/>
              <w:spacing w:after="0" w:line="131" w:lineRule="exact"/>
              <w:rPr>
                <w:sz w:val="20"/>
                <w:szCs w:val="20"/>
                <w:color w:val="auto"/>
              </w:rPr>
            </w:pPr>
            <w:r>
              <w:rPr>
                <w:rFonts w:ascii="Arial" w:cs="Arial" w:eastAsia="Arial" w:hAnsi="Arial"/>
                <w:sz w:val="13"/>
                <w:szCs w:val="13"/>
                <w:color w:val="auto"/>
                <w:w w:val="82"/>
              </w:rPr>
              <w:t>$</w:t>
            </w:r>
          </w:p>
        </w:tc>
        <w:tc>
          <w:tcPr>
            <w:tcW w:w="1600" w:type="dxa"/>
            <w:vAlign w:val="bottom"/>
            <w:tcBorders>
              <w:bottom w:val="single" w:sz="8" w:color="CCEEFF"/>
            </w:tcBorders>
            <w:shd w:val="clear" w:color="auto" w:fill="CCEEFF"/>
          </w:tcPr>
          <w:p>
            <w:pPr>
              <w:jc w:val="right"/>
              <w:ind w:right="16"/>
              <w:spacing w:after="0" w:line="131" w:lineRule="exact"/>
              <w:rPr>
                <w:sz w:val="20"/>
                <w:szCs w:val="20"/>
                <w:color w:val="auto"/>
              </w:rPr>
            </w:pPr>
            <w:r>
              <w:rPr>
                <w:rFonts w:ascii="Arial" w:cs="Arial" w:eastAsia="Arial" w:hAnsi="Arial"/>
                <w:sz w:val="13"/>
                <w:szCs w:val="13"/>
                <w:color w:val="auto"/>
              </w:rPr>
              <w:t>36,000</w:t>
            </w:r>
          </w:p>
        </w:tc>
        <w:tc>
          <w:tcPr>
            <w:tcW w:w="20" w:type="dxa"/>
            <w:vAlign w:val="bottom"/>
            <w:tcBorders>
              <w:bottom w:val="single" w:sz="8" w:color="CCEEFF"/>
            </w:tcBorders>
            <w:shd w:val="clear" w:color="auto" w:fill="CCEEFF"/>
          </w:tcPr>
          <w:p>
            <w:pPr>
              <w:spacing w:after="0"/>
              <w:rPr>
                <w:sz w:val="13"/>
                <w:szCs w:val="13"/>
                <w:color w:val="auto"/>
              </w:rPr>
            </w:pPr>
          </w:p>
        </w:tc>
      </w:tr>
      <w:tr>
        <w:trPr>
          <w:trHeight w:val="20"/>
        </w:trPr>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jc w:val="both"/>
        <w:ind w:left="640" w:right="659" w:firstLine="256"/>
        <w:spacing w:after="0" w:line="253" w:lineRule="auto"/>
        <w:rPr>
          <w:sz w:val="20"/>
          <w:szCs w:val="20"/>
          <w:color w:val="auto"/>
        </w:rPr>
      </w:pPr>
      <w:r>
        <w:rPr>
          <w:rFonts w:ascii="Arial" w:cs="Arial" w:eastAsia="Arial" w:hAnsi="Arial"/>
          <w:sz w:val="14"/>
          <w:szCs w:val="14"/>
          <w:color w:val="auto"/>
        </w:rPr>
        <w:t>The FHLB holds a blanket lien on the Company's loan portfolio that may be pledged as collateral for outstanding advances, subject to eligibility under the borrowing agreement. The Company may also choose to assign cash balances held at the FHLB as additional collateral. See Note 3 “Loans” for further discussion on pledged loans.</w:t>
      </w:r>
    </w:p>
    <w:p>
      <w:pPr>
        <w:spacing w:after="0" w:line="124" w:lineRule="exact"/>
        <w:rPr>
          <w:sz w:val="20"/>
          <w:szCs w:val="20"/>
          <w:color w:val="auto"/>
        </w:rPr>
      </w:pPr>
    </w:p>
    <w:p>
      <w:pPr>
        <w:ind w:left="1160" w:hanging="518"/>
        <w:spacing w:after="0"/>
        <w:tabs>
          <w:tab w:leader="none" w:pos="1160" w:val="left"/>
        </w:tabs>
        <w:numPr>
          <w:ilvl w:val="0"/>
          <w:numId w:val="15"/>
        </w:numPr>
        <w:rPr>
          <w:rFonts w:ascii="Arial" w:cs="Arial" w:eastAsia="Arial" w:hAnsi="Arial"/>
          <w:sz w:val="14"/>
          <w:szCs w:val="14"/>
          <w:b w:val="1"/>
          <w:bCs w:val="1"/>
          <w:color w:val="auto"/>
        </w:rPr>
      </w:pPr>
      <w:r>
        <w:rPr>
          <w:rFonts w:ascii="Arial" w:cs="Arial" w:eastAsia="Arial" w:hAnsi="Arial"/>
          <w:sz w:val="14"/>
          <w:szCs w:val="14"/>
          <w:b w:val="1"/>
          <w:bCs w:val="1"/>
          <w:color w:val="auto"/>
        </w:rPr>
        <w:t>EQUITY BASED AND OTHER COMPENSATION PLANS</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Employee 401(k) Plan</w:t>
      </w:r>
    </w:p>
    <w:p>
      <w:pPr>
        <w:spacing w:after="0" w:line="188" w:lineRule="exact"/>
        <w:rPr>
          <w:sz w:val="20"/>
          <w:szCs w:val="20"/>
          <w:color w:val="auto"/>
        </w:rPr>
      </w:pPr>
    </w:p>
    <w:p>
      <w:pPr>
        <w:jc w:val="both"/>
        <w:ind w:left="640" w:right="699" w:firstLine="256"/>
        <w:spacing w:after="0" w:line="245" w:lineRule="auto"/>
        <w:rPr>
          <w:sz w:val="20"/>
          <w:szCs w:val="20"/>
          <w:color w:val="auto"/>
        </w:rPr>
      </w:pPr>
      <w:r>
        <w:rPr>
          <w:rFonts w:ascii="Arial" w:cs="Arial" w:eastAsia="Arial" w:hAnsi="Arial"/>
          <w:sz w:val="14"/>
          <w:szCs w:val="14"/>
          <w:color w:val="auto"/>
        </w:rPr>
        <w:t>The Company has an employee 401(k) plan (the “Plan”) covering substantially all eligible employees. The Plan includes a provision that the employer may contribute to the accounts of eligible employees for whom a salary deferral is made. There was $313 thousand and $296 thousand of Company contributions to the Plan during the years ended December 31, 2022 and 2021, respectively, and are included under salaries and employee benefits in the Consolidated Statements of Operations.</w:t>
      </w:r>
    </w:p>
    <w:p>
      <w:pPr>
        <w:spacing w:after="0" w:line="142"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Stock-Based Compensation</w:t>
      </w:r>
    </w:p>
    <w:p>
      <w:pPr>
        <w:spacing w:after="0" w:line="177" w:lineRule="exact"/>
        <w:rPr>
          <w:sz w:val="20"/>
          <w:szCs w:val="20"/>
          <w:color w:val="auto"/>
        </w:rPr>
      </w:pPr>
    </w:p>
    <w:p>
      <w:pPr>
        <w:jc w:val="both"/>
        <w:ind w:left="640" w:right="699" w:firstLine="256"/>
        <w:spacing w:after="0" w:line="248" w:lineRule="auto"/>
        <w:rPr>
          <w:sz w:val="20"/>
          <w:szCs w:val="20"/>
          <w:color w:val="auto"/>
        </w:rPr>
      </w:pPr>
      <w:r>
        <w:rPr>
          <w:rFonts w:ascii="Arial" w:cs="Arial" w:eastAsia="Arial" w:hAnsi="Arial"/>
          <w:sz w:val="14"/>
          <w:szCs w:val="14"/>
          <w:color w:val="auto"/>
        </w:rPr>
        <w:t>Stock option balances, weighted average exercise price, and weighted average fair value of options granted for the year ended December 31, 2021 were adjusted to reflect the 1 for 5 reverse stock split on Class A common stock. Stock options are only exercisable to Class A common stock. See Note 13 “Stockholders’ Equity” for further discussion on stock split.</w:t>
      </w:r>
    </w:p>
    <w:p>
      <w:pPr>
        <w:spacing w:after="0" w:line="156" w:lineRule="exact"/>
        <w:rPr>
          <w:sz w:val="20"/>
          <w:szCs w:val="20"/>
          <w:color w:val="auto"/>
        </w:rPr>
      </w:pPr>
    </w:p>
    <w:p>
      <w:pPr>
        <w:jc w:val="both"/>
        <w:ind w:left="640" w:right="659" w:firstLine="256"/>
        <w:spacing w:after="0" w:line="245" w:lineRule="auto"/>
        <w:rPr>
          <w:sz w:val="20"/>
          <w:szCs w:val="20"/>
          <w:color w:val="auto"/>
        </w:rPr>
      </w:pPr>
      <w:r>
        <w:rPr>
          <w:rFonts w:ascii="Arial" w:cs="Arial" w:eastAsia="Arial" w:hAnsi="Arial"/>
          <w:sz w:val="14"/>
          <w:szCs w:val="14"/>
          <w:color w:val="auto"/>
        </w:rPr>
        <w:t>In 2015, the Company's shareholders approved the 2015 Equity Incentive Plan (the “2015 Option Plan”), which authorized grants of options to purchase up to 2,000,000 shares of common stock. The 2015 Option Plan provided that vesting schedules will be determined upon issuance of options by the Board of Directors or compensation committee. Options granted under the 2015 Option Plan have a 10-year life, in no event shall an option be exercisable after the expiration of 10 years from the grant date. The 2015 Option Plan has a 10-year life and will terminate in 2025. In July 2020, the shareholders of the Company approved to amend the 2015 Option plan authorizing the issuance of an additional 3,000,000 shares of common stock and extending the life of the plan 5 additional years, terminating in 2030. The approved shares after being adjusted to reflect the 1 for 5 reverse stock split totaled 1,000,000 shares. In December 2021, the shareholders of the Company approved to amend the 2015 Option plan authorizing the issuance of an additional 1,400,000 shares of common stock.</w:t>
      </w:r>
    </w:p>
    <w:p>
      <w:pPr>
        <w:spacing w:after="0" w:line="160" w:lineRule="exact"/>
        <w:rPr>
          <w:sz w:val="20"/>
          <w:szCs w:val="20"/>
          <w:color w:val="auto"/>
        </w:rPr>
      </w:pPr>
    </w:p>
    <w:p>
      <w:pPr>
        <w:ind w:left="640" w:right="719" w:firstLine="256"/>
        <w:spacing w:after="0" w:line="252" w:lineRule="auto"/>
        <w:rPr>
          <w:sz w:val="20"/>
          <w:szCs w:val="20"/>
          <w:color w:val="auto"/>
        </w:rPr>
      </w:pPr>
      <w:r>
        <w:rPr>
          <w:rFonts w:ascii="Arial" w:cs="Arial" w:eastAsia="Arial" w:hAnsi="Arial"/>
          <w:sz w:val="14"/>
          <w:szCs w:val="14"/>
          <w:color w:val="auto"/>
        </w:rPr>
        <w:t>At December 31, 2022, there were 1,386,667 shares available for grant under the 2015 Option Plan. At December 31, 2021, there were 1,401,667 shares available for grant under the 2015 Option Plan.</w:t>
      </w:r>
    </w:p>
    <w:p>
      <w:pPr>
        <w:spacing w:after="0" w:line="200" w:lineRule="exact"/>
        <w:rPr>
          <w:sz w:val="20"/>
          <w:szCs w:val="20"/>
          <w:color w:val="auto"/>
        </w:rPr>
      </w:pPr>
    </w:p>
    <w:p>
      <w:pPr>
        <w:spacing w:after="0" w:line="294"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37</w:t>
      </w:r>
      <w:r>
        <w:rPr>
          <w:sz w:val="20"/>
          <w:szCs w:val="20"/>
          <w:color w:val="auto"/>
        </w:rPr>
        <w:tab/>
      </w:r>
      <w:r>
        <w:rPr>
          <w:rFonts w:ascii="Arial" w:cs="Arial" w:eastAsia="Arial" w:hAnsi="Arial"/>
          <w:sz w:val="14"/>
          <w:szCs w:val="14"/>
          <w:color w:val="auto"/>
        </w:rPr>
        <w:t>USCB Financial Holdings, Inc.</w:t>
        <w:tab/>
        <w:t>2022 10-K/A</w:t>
      </w:r>
    </w:p>
    <w:p>
      <w:pPr>
        <w:sectPr>
          <w:pgSz w:w="11900" w:h="16838" w:orient="portrait"/>
          <w:cols w:equalWidth="0" w:num="1">
            <w:col w:w="9019"/>
          </w:cols>
          <w:pgMar w:left="1440" w:top="490" w:right="1440" w:bottom="1440" w:gutter="0" w:footer="0" w:header="0"/>
        </w:sectPr>
      </w:pPr>
    </w:p>
    <w:bookmarkStart w:id="37" w:name="page38"/>
    <w:bookmarkEnd w:id="3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80" w:lineRule="exact"/>
        <w:rPr>
          <w:sz w:val="20"/>
          <w:szCs w:val="20"/>
          <w:color w:val="auto"/>
        </w:rPr>
      </w:pPr>
    </w:p>
    <w:p>
      <w:pPr>
        <w:jc w:val="both"/>
        <w:ind w:left="640" w:right="699" w:firstLine="256"/>
        <w:spacing w:after="0" w:line="245" w:lineRule="auto"/>
        <w:rPr>
          <w:sz w:val="20"/>
          <w:szCs w:val="20"/>
          <w:color w:val="auto"/>
        </w:rPr>
      </w:pPr>
      <w:r>
        <w:rPr>
          <w:rFonts w:ascii="Arial" w:cs="Arial" w:eastAsia="Arial" w:hAnsi="Arial"/>
          <w:sz w:val="14"/>
          <w:szCs w:val="14"/>
          <w:color w:val="auto"/>
        </w:rPr>
        <w:t>The Company recognizes compensation expense based on the estimated grant date fair value method using the Black-Scholes option pricing model and accounts for this expense using a prorated straight-line amortization method over the vesting period of the option. Stock based compensation expense is based on awards that the Company expects will ultimately vest, reduced by estimated forfeitures. Estimated forfeitures consider the voluntary termination trends as well as actual option forfeitures.</w:t>
      </w:r>
    </w:p>
    <w:p>
      <w:pPr>
        <w:spacing w:after="0" w:line="160" w:lineRule="exact"/>
        <w:rPr>
          <w:sz w:val="20"/>
          <w:szCs w:val="20"/>
          <w:color w:val="auto"/>
        </w:rPr>
      </w:pPr>
    </w:p>
    <w:p>
      <w:pPr>
        <w:jc w:val="both"/>
        <w:ind w:left="640" w:right="699" w:firstLine="256"/>
        <w:spacing w:after="0" w:line="248" w:lineRule="auto"/>
        <w:rPr>
          <w:sz w:val="20"/>
          <w:szCs w:val="20"/>
          <w:color w:val="auto"/>
        </w:rPr>
      </w:pPr>
      <w:r>
        <w:rPr>
          <w:rFonts w:ascii="Arial" w:cs="Arial" w:eastAsia="Arial" w:hAnsi="Arial"/>
          <w:sz w:val="14"/>
          <w:szCs w:val="14"/>
          <w:color w:val="auto"/>
        </w:rPr>
        <w:t>The compensation expense is reported under salaries and employee benefits in the accompanying Consolidated Statements of Operations. Compensation expense totaling $523 thousand was recognized for the year ended December 31, 2022 and $287 thousand for the year ended December 31, 2021. There was no related tax benefit for the years ended December 31, 2022 and 2021.</w:t>
      </w:r>
    </w:p>
    <w:p>
      <w:pPr>
        <w:spacing w:after="0" w:line="156" w:lineRule="exact"/>
        <w:rPr>
          <w:sz w:val="20"/>
          <w:szCs w:val="20"/>
          <w:color w:val="auto"/>
        </w:rPr>
      </w:pPr>
    </w:p>
    <w:p>
      <w:pPr>
        <w:jc w:val="both"/>
        <w:ind w:left="640" w:right="699" w:firstLine="256"/>
        <w:spacing w:after="0" w:line="252" w:lineRule="auto"/>
        <w:rPr>
          <w:sz w:val="20"/>
          <w:szCs w:val="20"/>
          <w:color w:val="auto"/>
        </w:rPr>
      </w:pPr>
      <w:r>
        <w:rPr>
          <w:rFonts w:ascii="Arial" w:cs="Arial" w:eastAsia="Arial" w:hAnsi="Arial"/>
          <w:sz w:val="14"/>
          <w:szCs w:val="14"/>
          <w:color w:val="auto"/>
        </w:rPr>
        <w:t>Unrecognized compensation cost remaining on stock-based compensation totaled $ 787 thousand and $1.3 million for the years ended December 31, 2022 and 2021, respectively.</w:t>
      </w:r>
    </w:p>
    <w:p>
      <w:pPr>
        <w:spacing w:after="0" w:line="153" w:lineRule="exact"/>
        <w:rPr>
          <w:sz w:val="20"/>
          <w:szCs w:val="20"/>
          <w:color w:val="auto"/>
        </w:rPr>
      </w:pPr>
    </w:p>
    <w:p>
      <w:pPr>
        <w:jc w:val="both"/>
        <w:ind w:left="640" w:right="639" w:firstLine="256"/>
        <w:spacing w:after="0" w:line="245" w:lineRule="auto"/>
        <w:rPr>
          <w:sz w:val="20"/>
          <w:szCs w:val="20"/>
          <w:color w:val="auto"/>
        </w:rPr>
      </w:pPr>
      <w:r>
        <w:rPr>
          <w:rFonts w:ascii="Arial" w:cs="Arial" w:eastAsia="Arial" w:hAnsi="Arial"/>
          <w:sz w:val="14"/>
          <w:szCs w:val="14"/>
          <w:color w:val="auto"/>
        </w:rPr>
        <w:t>Cash flows resulting from excess tax benefits are required to be classified as a part of cash flows from operating activities. Excess tax benefits are realized tax benefits from tax deductions for exercised options in excess of the deferred tax asset attributable to the compensation cost for such options.</w:t>
      </w:r>
    </w:p>
    <w:p>
      <w:pPr>
        <w:spacing w:after="0" w:line="158" w:lineRule="exact"/>
        <w:rPr>
          <w:sz w:val="20"/>
          <w:szCs w:val="20"/>
          <w:color w:val="auto"/>
        </w:rPr>
      </w:pPr>
    </w:p>
    <w:p>
      <w:pPr>
        <w:jc w:val="both"/>
        <w:ind w:left="640" w:right="719" w:firstLine="256"/>
        <w:spacing w:after="0" w:line="252" w:lineRule="auto"/>
        <w:rPr>
          <w:sz w:val="20"/>
          <w:szCs w:val="20"/>
          <w:color w:val="auto"/>
        </w:rPr>
      </w:pPr>
      <w:r>
        <w:rPr>
          <w:rFonts w:ascii="Arial" w:cs="Arial" w:eastAsia="Arial" w:hAnsi="Arial"/>
          <w:sz w:val="14"/>
          <w:szCs w:val="14"/>
          <w:color w:val="auto"/>
        </w:rPr>
        <w:t>The fair value of options granted was determined using the following weighted-average assumptions at December 31, 2022:</w:t>
      </w:r>
    </w:p>
    <w:p>
      <w:pPr>
        <w:spacing w:after="0" w:line="160" w:lineRule="exact"/>
        <w:rPr>
          <w:sz w:val="20"/>
          <w:szCs w:val="20"/>
          <w:color w:val="auto"/>
        </w:rPr>
      </w:pPr>
    </w:p>
    <w:tbl>
      <w:tblPr>
        <w:tblLayout w:type="fixed"/>
        <w:tblInd w:w="660" w:type="dxa"/>
        <w:tblCellMar>
          <w:top w:w="0" w:type="dxa"/>
          <w:left w:w="0" w:type="dxa"/>
          <w:bottom w:w="0" w:type="dxa"/>
          <w:right w:w="0" w:type="dxa"/>
        </w:tblCellMar>
      </w:tblPr>
      <w:tr>
        <w:trPr>
          <w:trHeight w:val="155"/>
        </w:trPr>
        <w:tc>
          <w:tcPr>
            <w:tcW w:w="3720" w:type="dxa"/>
            <w:vAlign w:val="bottom"/>
          </w:tcPr>
          <w:p>
            <w:pPr>
              <w:jc w:val="center"/>
              <w:spacing w:after="0"/>
              <w:rPr>
                <w:sz w:val="20"/>
                <w:szCs w:val="20"/>
                <w:color w:val="auto"/>
              </w:rPr>
            </w:pPr>
            <w:r>
              <w:rPr>
                <w:rFonts w:ascii="Arial" w:cs="Arial" w:eastAsia="Arial" w:hAnsi="Arial"/>
                <w:sz w:val="13"/>
                <w:szCs w:val="13"/>
                <w:b w:val="1"/>
                <w:bCs w:val="1"/>
                <w:color w:val="auto"/>
                <w:w w:val="98"/>
              </w:rPr>
              <w:t>Assumption</w:t>
            </w:r>
          </w:p>
        </w:tc>
        <w:tc>
          <w:tcPr>
            <w:tcW w:w="3820" w:type="dxa"/>
            <w:vAlign w:val="bottom"/>
            <w:gridSpan w:val="4"/>
          </w:tcPr>
          <w:p>
            <w:pPr>
              <w:jc w:val="center"/>
              <w:spacing w:after="0"/>
              <w:rPr>
                <w:sz w:val="20"/>
                <w:szCs w:val="20"/>
                <w:color w:val="auto"/>
              </w:rPr>
            </w:pPr>
            <w:r>
              <w:rPr>
                <w:rFonts w:ascii="Arial" w:cs="Arial" w:eastAsia="Arial" w:hAnsi="Arial"/>
                <w:sz w:val="13"/>
                <w:szCs w:val="13"/>
                <w:b w:val="1"/>
                <w:bCs w:val="1"/>
                <w:color w:val="auto"/>
              </w:rPr>
              <w:t>2022</w:t>
            </w:r>
          </w:p>
        </w:tc>
      </w:tr>
      <w:tr>
        <w:trPr>
          <w:trHeight w:val="160"/>
        </w:trPr>
        <w:tc>
          <w:tcPr>
            <w:tcW w:w="3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8"/>
              </w:rPr>
              <w:t>Risk-free interest rate</w:t>
            </w:r>
          </w:p>
        </w:tc>
        <w:tc>
          <w:tcPr>
            <w:tcW w:w="2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3740" w:type="dxa"/>
            <w:vAlign w:val="bottom"/>
            <w:tcBorders>
              <w:top w:val="single" w:sz="8" w:color="auto"/>
            </w:tcBorders>
            <w:shd w:val="clear" w:color="auto" w:fill="CCEEFF"/>
          </w:tcPr>
          <w:p>
            <w:pPr>
              <w:jc w:val="center"/>
              <w:ind w:right="16"/>
              <w:spacing w:after="0"/>
              <w:rPr>
                <w:sz w:val="20"/>
                <w:szCs w:val="20"/>
                <w:color w:val="auto"/>
              </w:rPr>
            </w:pPr>
            <w:r>
              <w:rPr>
                <w:rFonts w:ascii="Arial" w:cs="Arial" w:eastAsia="Arial" w:hAnsi="Arial"/>
                <w:sz w:val="13"/>
                <w:szCs w:val="13"/>
                <w:color w:val="auto"/>
              </w:rPr>
              <w:t>2.34%</w:t>
            </w:r>
          </w:p>
        </w:tc>
      </w:tr>
      <w:tr>
        <w:trPr>
          <w:trHeight w:val="168"/>
        </w:trPr>
        <w:tc>
          <w:tcPr>
            <w:tcW w:w="3720" w:type="dxa"/>
            <w:vAlign w:val="bottom"/>
          </w:tcPr>
          <w:p>
            <w:pPr>
              <w:jc w:val="center"/>
              <w:spacing w:after="0"/>
              <w:rPr>
                <w:sz w:val="20"/>
                <w:szCs w:val="20"/>
                <w:color w:val="auto"/>
              </w:rPr>
            </w:pPr>
            <w:r>
              <w:rPr>
                <w:rFonts w:ascii="Arial" w:cs="Arial" w:eastAsia="Arial" w:hAnsi="Arial"/>
                <w:sz w:val="13"/>
                <w:szCs w:val="13"/>
                <w:color w:val="auto"/>
                <w:w w:val="97"/>
              </w:rPr>
              <w:t>Expected term</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740" w:type="dxa"/>
            <w:vAlign w:val="bottom"/>
          </w:tcPr>
          <w:p>
            <w:pPr>
              <w:ind w:left="1580"/>
              <w:spacing w:after="0"/>
              <w:rPr>
                <w:sz w:val="20"/>
                <w:szCs w:val="20"/>
                <w:color w:val="auto"/>
              </w:rPr>
            </w:pPr>
            <w:r>
              <w:rPr>
                <w:rFonts w:ascii="Arial" w:cs="Arial" w:eastAsia="Arial" w:hAnsi="Arial"/>
                <w:sz w:val="13"/>
                <w:szCs w:val="13"/>
                <w:color w:val="auto"/>
              </w:rPr>
              <w:t>10 years</w:t>
            </w:r>
          </w:p>
        </w:tc>
      </w:tr>
      <w:tr>
        <w:trPr>
          <w:trHeight w:val="153"/>
        </w:trPr>
        <w:tc>
          <w:tcPr>
            <w:tcW w:w="3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97"/>
              </w:rPr>
              <w:t>Expected stock price volatility</w:t>
            </w:r>
          </w:p>
        </w:tc>
        <w:tc>
          <w:tcPr>
            <w:tcW w:w="80" w:type="dxa"/>
            <w:vAlign w:val="bottom"/>
            <w:tcBorders>
              <w:bottom w:val="single" w:sz="8" w:color="CCEEFF"/>
            </w:tcBorders>
            <w:gridSpan w:val="3"/>
            <w:shd w:val="clear" w:color="auto" w:fill="CCEEFF"/>
          </w:tcPr>
          <w:p>
            <w:pPr>
              <w:spacing w:after="0"/>
              <w:rPr>
                <w:sz w:val="13"/>
                <w:szCs w:val="13"/>
                <w:color w:val="auto"/>
              </w:rPr>
            </w:pPr>
          </w:p>
        </w:tc>
        <w:tc>
          <w:tcPr>
            <w:tcW w:w="3740" w:type="dxa"/>
            <w:vAlign w:val="bottom"/>
            <w:tcBorders>
              <w:bottom w:val="single" w:sz="8" w:color="CCEEFF"/>
            </w:tcBorders>
            <w:shd w:val="clear" w:color="auto" w:fill="CCEEFF"/>
          </w:tcPr>
          <w:p>
            <w:pPr>
              <w:jc w:val="center"/>
              <w:ind w:right="16"/>
              <w:spacing w:after="0"/>
              <w:rPr>
                <w:sz w:val="20"/>
                <w:szCs w:val="20"/>
                <w:color w:val="auto"/>
              </w:rPr>
            </w:pPr>
            <w:r>
              <w:rPr>
                <w:rFonts w:ascii="Arial" w:cs="Arial" w:eastAsia="Arial" w:hAnsi="Arial"/>
                <w:sz w:val="13"/>
                <w:szCs w:val="13"/>
                <w:color w:val="auto"/>
                <w:w w:val="99"/>
              </w:rPr>
              <w:t>10%</w:t>
            </w:r>
          </w:p>
        </w:tc>
      </w:tr>
      <w:tr>
        <w:trPr>
          <w:trHeight w:val="166"/>
        </w:trPr>
        <w:tc>
          <w:tcPr>
            <w:tcW w:w="3720" w:type="dxa"/>
            <w:vAlign w:val="bottom"/>
          </w:tcPr>
          <w:p>
            <w:pPr>
              <w:jc w:val="center"/>
              <w:spacing w:after="0"/>
              <w:rPr>
                <w:sz w:val="20"/>
                <w:szCs w:val="20"/>
                <w:color w:val="auto"/>
              </w:rPr>
            </w:pPr>
            <w:r>
              <w:rPr>
                <w:rFonts w:ascii="Arial" w:cs="Arial" w:eastAsia="Arial" w:hAnsi="Arial"/>
                <w:sz w:val="13"/>
                <w:szCs w:val="13"/>
                <w:color w:val="auto"/>
                <w:w w:val="96"/>
              </w:rPr>
              <w:t>Dividend yield</w:t>
            </w:r>
          </w:p>
        </w:tc>
        <w:tc>
          <w:tcPr>
            <w:tcW w:w="3820" w:type="dxa"/>
            <w:vAlign w:val="bottom"/>
            <w:gridSpan w:val="4"/>
          </w:tcPr>
          <w:p>
            <w:pPr>
              <w:jc w:val="center"/>
              <w:spacing w:after="0"/>
              <w:rPr>
                <w:sz w:val="20"/>
                <w:szCs w:val="20"/>
                <w:color w:val="auto"/>
              </w:rPr>
            </w:pPr>
            <w:r>
              <w:rPr>
                <w:rFonts w:ascii="Arial" w:cs="Arial" w:eastAsia="Arial" w:hAnsi="Arial"/>
                <w:sz w:val="13"/>
                <w:szCs w:val="13"/>
                <w:color w:val="auto"/>
                <w:w w:val="95"/>
              </w:rPr>
              <w:t>0%</w:t>
            </w:r>
          </w:p>
        </w:tc>
      </w:tr>
    </w:tbl>
    <w:p>
      <w:pPr>
        <w:spacing w:after="0" w:line="165"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following table presents a summary of stock options for the years ended December 31, 2022 and 2021:</w:t>
      </w:r>
    </w:p>
    <w:p>
      <w:pPr>
        <w:spacing w:after="0" w:line="390" w:lineRule="exact"/>
        <w:rPr>
          <w:sz w:val="20"/>
          <w:szCs w:val="20"/>
          <w:color w:val="auto"/>
        </w:rPr>
      </w:pPr>
    </w:p>
    <w:tbl>
      <w:tblPr>
        <w:tblLayout w:type="fixed"/>
        <w:tblInd w:w="62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gridSpan w:val="3"/>
          </w:tcPr>
          <w:p>
            <w:pPr>
              <w:jc w:val="right"/>
              <w:spacing w:after="0"/>
              <w:rPr>
                <w:sz w:val="20"/>
                <w:szCs w:val="20"/>
                <w:color w:val="auto"/>
              </w:rPr>
            </w:pPr>
            <w:r>
              <w:rPr>
                <w:rFonts w:ascii="Arial" w:cs="Arial" w:eastAsia="Arial" w:hAnsi="Arial"/>
                <w:sz w:val="13"/>
                <w:szCs w:val="13"/>
                <w:b w:val="1"/>
                <w:bCs w:val="1"/>
                <w:color w:val="auto"/>
                <w:w w:val="98"/>
              </w:rPr>
              <w:t>Weighted Average</w:t>
            </w:r>
          </w:p>
        </w:tc>
        <w:tc>
          <w:tcPr>
            <w:tcW w:w="40" w:type="dxa"/>
            <w:vAlign w:val="bottom"/>
          </w:tcPr>
          <w:p>
            <w:pPr>
              <w:spacing w:after="0"/>
              <w:rPr>
                <w:sz w:val="13"/>
                <w:szCs w:val="13"/>
                <w:color w:val="auto"/>
              </w:rPr>
            </w:pPr>
          </w:p>
        </w:tc>
        <w:tc>
          <w:tcPr>
            <w:tcW w:w="1260" w:type="dxa"/>
            <w:vAlign w:val="bottom"/>
            <w:gridSpan w:val="5"/>
          </w:tcPr>
          <w:p>
            <w:pPr>
              <w:ind w:left="20"/>
              <w:spacing w:after="0"/>
              <w:rPr>
                <w:sz w:val="20"/>
                <w:szCs w:val="20"/>
                <w:color w:val="auto"/>
              </w:rPr>
            </w:pPr>
            <w:r>
              <w:rPr>
                <w:rFonts w:ascii="Arial" w:cs="Arial" w:eastAsia="Arial" w:hAnsi="Arial"/>
                <w:sz w:val="13"/>
                <w:szCs w:val="13"/>
                <w:b w:val="1"/>
                <w:bCs w:val="1"/>
                <w:color w:val="auto"/>
              </w:rPr>
              <w:t>Aggregate Intrinsic</w:t>
            </w:r>
          </w:p>
        </w:tc>
      </w:tr>
      <w:tr>
        <w:trPr>
          <w:trHeight w:val="149"/>
        </w:trPr>
        <w:tc>
          <w:tcPr>
            <w:tcW w:w="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gridSpan w:val="2"/>
          </w:tcPr>
          <w:p>
            <w:pPr>
              <w:jc w:val="right"/>
              <w:spacing w:after="0"/>
              <w:rPr>
                <w:sz w:val="20"/>
                <w:szCs w:val="20"/>
                <w:color w:val="auto"/>
              </w:rPr>
            </w:pPr>
            <w:r>
              <w:rPr>
                <w:rFonts w:ascii="Arial" w:cs="Arial" w:eastAsia="Arial" w:hAnsi="Arial"/>
                <w:sz w:val="13"/>
                <w:szCs w:val="13"/>
                <w:b w:val="1"/>
                <w:bCs w:val="1"/>
                <w:color w:val="auto"/>
                <w:w w:val="96"/>
              </w:rPr>
              <w:t>Weighted Average</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tcPr>
          <w:p>
            <w:pPr>
              <w:jc w:val="right"/>
              <w:ind w:right="196"/>
              <w:spacing w:after="0"/>
              <w:rPr>
                <w:sz w:val="20"/>
                <w:szCs w:val="20"/>
                <w:color w:val="auto"/>
              </w:rPr>
            </w:pPr>
            <w:r>
              <w:rPr>
                <w:rFonts w:ascii="Arial" w:cs="Arial" w:eastAsia="Arial" w:hAnsi="Arial"/>
                <w:sz w:val="13"/>
                <w:szCs w:val="13"/>
                <w:b w:val="1"/>
                <w:bCs w:val="1"/>
                <w:color w:val="auto"/>
              </w:rPr>
              <w:t>Remaining</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ind w:left="160"/>
              <w:spacing w:after="0"/>
              <w:rPr>
                <w:sz w:val="20"/>
                <w:szCs w:val="20"/>
                <w:color w:val="auto"/>
              </w:rPr>
            </w:pPr>
            <w:r>
              <w:rPr>
                <w:rFonts w:ascii="Arial" w:cs="Arial" w:eastAsia="Arial" w:hAnsi="Arial"/>
                <w:sz w:val="13"/>
                <w:szCs w:val="13"/>
                <w:b w:val="1"/>
                <w:bCs w:val="1"/>
                <w:color w:val="auto"/>
              </w:rPr>
              <w:t>Value (in</w:t>
            </w:r>
          </w:p>
        </w:tc>
      </w:tr>
      <w:tr>
        <w:trPr>
          <w:trHeight w:val="173"/>
        </w:trPr>
        <w:tc>
          <w:tcPr>
            <w:tcW w:w="4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Stock Options</w:t>
            </w:r>
          </w:p>
        </w:tc>
        <w:tc>
          <w:tcPr>
            <w:tcW w:w="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w w:val="98"/>
              </w:rPr>
              <w:t>Exercise Price</w:t>
            </w:r>
          </w:p>
        </w:tc>
        <w:tc>
          <w:tcPr>
            <w:tcW w:w="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7"/>
              </w:rPr>
              <w:t>Contractual Years</w:t>
            </w:r>
          </w:p>
        </w:tc>
        <w:tc>
          <w:tcPr>
            <w:tcW w:w="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thousands)</w:t>
            </w:r>
          </w:p>
        </w:tc>
        <w:tc>
          <w:tcPr>
            <w:tcW w:w="20" w:type="dxa"/>
            <w:vAlign w:val="bottom"/>
          </w:tcPr>
          <w:p>
            <w:pPr>
              <w:spacing w:after="0"/>
              <w:rPr>
                <w:sz w:val="15"/>
                <w:szCs w:val="15"/>
                <w:color w:val="auto"/>
              </w:rPr>
            </w:pPr>
          </w:p>
        </w:tc>
      </w:tr>
      <w:tr>
        <w:trPr>
          <w:trHeight w:val="141"/>
        </w:trPr>
        <w:tc>
          <w:tcPr>
            <w:tcW w:w="40" w:type="dxa"/>
            <w:vAlign w:val="bottom"/>
          </w:tcPr>
          <w:p>
            <w:pPr>
              <w:spacing w:after="0"/>
              <w:rPr>
                <w:sz w:val="12"/>
                <w:szCs w:val="12"/>
                <w:color w:val="auto"/>
              </w:rPr>
            </w:pPr>
          </w:p>
        </w:tc>
        <w:tc>
          <w:tcPr>
            <w:tcW w:w="2800" w:type="dxa"/>
            <w:vAlign w:val="bottom"/>
            <w:tcBorders>
              <w:top w:val="single" w:sz="8" w:color="CCEEFF"/>
            </w:tcBorders>
            <w:gridSpan w:val="2"/>
            <w:shd w:val="clear" w:color="auto" w:fill="CCEEFF"/>
          </w:tcPr>
          <w:p>
            <w:pPr>
              <w:spacing w:after="0" w:line="137" w:lineRule="exact"/>
              <w:rPr>
                <w:sz w:val="20"/>
                <w:szCs w:val="20"/>
                <w:color w:val="auto"/>
              </w:rPr>
            </w:pPr>
            <w:r>
              <w:rPr>
                <w:rFonts w:ascii="Arial" w:cs="Arial" w:eastAsia="Arial" w:hAnsi="Arial"/>
                <w:sz w:val="13"/>
                <w:szCs w:val="13"/>
                <w:color w:val="auto"/>
              </w:rPr>
              <w:t>Balance at January 1, 2022</w:t>
            </w:r>
          </w:p>
        </w:tc>
        <w:tc>
          <w:tcPr>
            <w:tcW w:w="11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959,667</w:t>
            </w:r>
          </w:p>
        </w:tc>
        <w:tc>
          <w:tcPr>
            <w:tcW w:w="4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10.87</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1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8.4</w:t>
            </w:r>
          </w:p>
        </w:tc>
        <w:tc>
          <w:tcPr>
            <w:tcW w:w="4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71"/>
        </w:trPr>
        <w:tc>
          <w:tcPr>
            <w:tcW w:w="2840" w:type="dxa"/>
            <w:vAlign w:val="bottom"/>
            <w:gridSpan w:val="3"/>
          </w:tcPr>
          <w:p>
            <w:pPr>
              <w:spacing w:after="0"/>
              <w:rPr>
                <w:sz w:val="20"/>
                <w:szCs w:val="20"/>
                <w:color w:val="auto"/>
              </w:rPr>
            </w:pPr>
            <w:r>
              <w:rPr>
                <w:rFonts w:ascii="Arial" w:cs="Arial" w:eastAsia="Arial" w:hAnsi="Arial"/>
                <w:sz w:val="13"/>
                <w:szCs w:val="13"/>
                <w:color w:val="auto"/>
              </w:rPr>
              <w:t>Granted</w:t>
            </w:r>
          </w:p>
        </w:tc>
        <w:tc>
          <w:tcPr>
            <w:tcW w:w="1120" w:type="dxa"/>
            <w:vAlign w:val="bottom"/>
          </w:tcPr>
          <w:p>
            <w:pPr>
              <w:jc w:val="right"/>
              <w:spacing w:after="0"/>
              <w:rPr>
                <w:sz w:val="20"/>
                <w:szCs w:val="20"/>
                <w:color w:val="auto"/>
              </w:rPr>
            </w:pPr>
            <w:r>
              <w:rPr>
                <w:rFonts w:ascii="Arial" w:cs="Arial" w:eastAsia="Arial" w:hAnsi="Arial"/>
                <w:sz w:val="13"/>
                <w:szCs w:val="13"/>
                <w:color w:val="auto"/>
              </w:rPr>
              <w:t>15,000</w:t>
            </w: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14.03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0"/>
        </w:trPr>
        <w:tc>
          <w:tcPr>
            <w:tcW w:w="40" w:type="dxa"/>
            <w:vAlign w:val="bottom"/>
          </w:tcPr>
          <w:p>
            <w:pPr>
              <w:spacing w:after="0"/>
              <w:rPr>
                <w:sz w:val="13"/>
                <w:szCs w:val="13"/>
                <w:color w:val="auto"/>
              </w:rPr>
            </w:pPr>
          </w:p>
        </w:tc>
        <w:tc>
          <w:tcPr>
            <w:tcW w:w="2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Exercised</w:t>
            </w:r>
          </w:p>
        </w:tc>
        <w:tc>
          <w:tcPr>
            <w:tcW w:w="2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(9,000)</w:t>
            </w:r>
          </w:p>
        </w:tc>
        <w:tc>
          <w:tcPr>
            <w:tcW w:w="4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11.35</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r>
      <w:tr>
        <w:trPr>
          <w:trHeight w:val="212"/>
        </w:trPr>
        <w:tc>
          <w:tcPr>
            <w:tcW w:w="2840" w:type="dxa"/>
            <w:vAlign w:val="bottom"/>
            <w:gridSpan w:val="3"/>
          </w:tcPr>
          <w:p>
            <w:pPr>
              <w:spacing w:after="0"/>
              <w:rPr>
                <w:sz w:val="20"/>
                <w:szCs w:val="20"/>
                <w:color w:val="auto"/>
              </w:rPr>
            </w:pPr>
            <w:r>
              <w:rPr>
                <w:rFonts w:ascii="Arial" w:cs="Arial" w:eastAsia="Arial" w:hAnsi="Arial"/>
                <w:sz w:val="13"/>
                <w:szCs w:val="13"/>
                <w:color w:val="auto"/>
              </w:rPr>
              <w:t>Balance at December 31, 2022</w:t>
            </w:r>
          </w:p>
        </w:tc>
        <w:tc>
          <w:tcPr>
            <w:tcW w:w="1120" w:type="dxa"/>
            <w:vAlign w:val="bottom"/>
          </w:tcPr>
          <w:p>
            <w:pPr>
              <w:jc w:val="right"/>
              <w:spacing w:after="0"/>
              <w:rPr>
                <w:sz w:val="20"/>
                <w:szCs w:val="20"/>
                <w:color w:val="auto"/>
              </w:rPr>
            </w:pPr>
            <w:r>
              <w:rPr>
                <w:rFonts w:ascii="Arial" w:cs="Arial" w:eastAsia="Arial" w:hAnsi="Arial"/>
                <w:sz w:val="13"/>
                <w:szCs w:val="13"/>
                <w:color w:val="auto"/>
              </w:rPr>
              <w:t>965,667</w:t>
            </w: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10.91</w:t>
            </w:r>
          </w:p>
        </w:tc>
        <w:tc>
          <w:tcPr>
            <w:tcW w:w="1220" w:type="dxa"/>
            <w:vAlign w:val="bottom"/>
            <w:gridSpan w:val="5"/>
          </w:tcPr>
          <w:p>
            <w:pPr>
              <w:jc w:val="right"/>
              <w:spacing w:after="0"/>
              <w:rPr>
                <w:sz w:val="20"/>
                <w:szCs w:val="20"/>
                <w:color w:val="auto"/>
              </w:rPr>
            </w:pPr>
            <w:r>
              <w:rPr>
                <w:rFonts w:ascii="Arial" w:cs="Arial" w:eastAsia="Arial" w:hAnsi="Arial"/>
                <w:sz w:val="13"/>
                <w:szCs w:val="13"/>
                <w:color w:val="auto"/>
              </w:rPr>
              <w:t>7.4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21"/>
        </w:trPr>
        <w:tc>
          <w:tcPr>
            <w:tcW w:w="40" w:type="dxa"/>
            <w:vAlign w:val="bottom"/>
          </w:tcPr>
          <w:p>
            <w:pPr>
              <w:spacing w:after="0"/>
              <w:rPr>
                <w:sz w:val="10"/>
                <w:szCs w:val="10"/>
                <w:color w:val="auto"/>
              </w:rPr>
            </w:pPr>
          </w:p>
        </w:tc>
        <w:tc>
          <w:tcPr>
            <w:tcW w:w="2800" w:type="dxa"/>
            <w:vAlign w:val="bottom"/>
            <w:tcBorders>
              <w:top w:val="single" w:sz="8" w:color="CCEEFF"/>
            </w:tcBorders>
            <w:gridSpan w:val="2"/>
            <w:shd w:val="clear" w:color="auto" w:fill="CCEEFF"/>
          </w:tcPr>
          <w:p>
            <w:pPr>
              <w:spacing w:after="0"/>
              <w:rPr>
                <w:sz w:val="10"/>
                <w:szCs w:val="10"/>
                <w:color w:val="auto"/>
              </w:rPr>
            </w:pPr>
          </w:p>
        </w:tc>
        <w:tc>
          <w:tcPr>
            <w:tcW w:w="11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gridSpan w:val="2"/>
            <w:shd w:val="clear" w:color="auto" w:fill="CCEEFF"/>
          </w:tcPr>
          <w:p>
            <w:pPr>
              <w:spacing w:after="0"/>
              <w:rPr>
                <w:sz w:val="10"/>
                <w:szCs w:val="10"/>
                <w:color w:val="auto"/>
              </w:rPr>
            </w:pPr>
          </w:p>
        </w:tc>
        <w:tc>
          <w:tcPr>
            <w:tcW w:w="1080" w:type="dxa"/>
            <w:vAlign w:val="bottom"/>
            <w:tcBorders>
              <w:top w:val="single" w:sz="8" w:color="CCEEFF"/>
            </w:tcBorders>
            <w:shd w:val="clear" w:color="auto" w:fill="CCEEFF"/>
          </w:tcPr>
          <w:p>
            <w:pPr>
              <w:spacing w:after="0"/>
              <w:rPr>
                <w:sz w:val="10"/>
                <w:szCs w:val="10"/>
                <w:color w:val="auto"/>
              </w:rPr>
            </w:pPr>
          </w:p>
        </w:tc>
        <w:tc>
          <w:tcPr>
            <w:tcW w:w="1220" w:type="dxa"/>
            <w:vAlign w:val="bottom"/>
            <w:tcBorders>
              <w:top w:val="single" w:sz="8" w:color="CCEEFF"/>
            </w:tcBorders>
            <w:gridSpan w:val="5"/>
            <w:shd w:val="clear" w:color="auto" w:fill="CCEEFF"/>
          </w:tcPr>
          <w:p>
            <w:pPr>
              <w:spacing w:after="0"/>
              <w:rPr>
                <w:sz w:val="10"/>
                <w:szCs w:val="10"/>
                <w:color w:val="auto"/>
              </w:rPr>
            </w:pPr>
          </w:p>
        </w:tc>
        <w:tc>
          <w:tcPr>
            <w:tcW w:w="220" w:type="dxa"/>
            <w:vAlign w:val="bottom"/>
            <w:tcBorders>
              <w:top w:val="single" w:sz="8" w:color="CCEEFF"/>
            </w:tcBorders>
            <w:gridSpan w:val="4"/>
            <w:shd w:val="clear" w:color="auto" w:fill="CCEEFF"/>
          </w:tcPr>
          <w:p>
            <w:pPr>
              <w:spacing w:after="0"/>
              <w:rPr>
                <w:sz w:val="10"/>
                <w:szCs w:val="10"/>
                <w:color w:val="auto"/>
              </w:rPr>
            </w:pPr>
          </w:p>
        </w:tc>
        <w:tc>
          <w:tcPr>
            <w:tcW w:w="10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r>
      <w:tr>
        <w:trPr>
          <w:trHeight w:val="171"/>
        </w:trPr>
        <w:tc>
          <w:tcPr>
            <w:tcW w:w="2840" w:type="dxa"/>
            <w:vAlign w:val="bottom"/>
            <w:gridSpan w:val="3"/>
          </w:tcPr>
          <w:p>
            <w:pPr>
              <w:spacing w:after="0"/>
              <w:rPr>
                <w:sz w:val="20"/>
                <w:szCs w:val="20"/>
                <w:color w:val="auto"/>
              </w:rPr>
            </w:pPr>
            <w:r>
              <w:rPr>
                <w:rFonts w:ascii="Arial" w:cs="Arial" w:eastAsia="Arial" w:hAnsi="Arial"/>
                <w:sz w:val="13"/>
                <w:szCs w:val="13"/>
                <w:color w:val="auto"/>
              </w:rPr>
              <w:t>Exercisable at December 31, 2022</w:t>
            </w:r>
          </w:p>
        </w:tc>
        <w:tc>
          <w:tcPr>
            <w:tcW w:w="1120" w:type="dxa"/>
            <w:vAlign w:val="bottom"/>
          </w:tcPr>
          <w:p>
            <w:pPr>
              <w:jc w:val="right"/>
              <w:spacing w:after="0"/>
              <w:rPr>
                <w:sz w:val="20"/>
                <w:szCs w:val="20"/>
                <w:color w:val="auto"/>
              </w:rPr>
            </w:pPr>
            <w:r>
              <w:rPr>
                <w:rFonts w:ascii="Arial" w:cs="Arial" w:eastAsia="Arial" w:hAnsi="Arial"/>
                <w:sz w:val="13"/>
                <w:szCs w:val="13"/>
                <w:color w:val="auto"/>
              </w:rPr>
              <w:t>560,000</w:t>
            </w: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10.18</w:t>
            </w:r>
          </w:p>
        </w:tc>
        <w:tc>
          <w:tcPr>
            <w:tcW w:w="1220" w:type="dxa"/>
            <w:vAlign w:val="bottom"/>
            <w:gridSpan w:val="5"/>
          </w:tcPr>
          <w:p>
            <w:pPr>
              <w:jc w:val="right"/>
              <w:spacing w:after="0"/>
              <w:rPr>
                <w:sz w:val="20"/>
                <w:szCs w:val="20"/>
                <w:color w:val="auto"/>
              </w:rPr>
            </w:pPr>
            <w:r>
              <w:rPr>
                <w:rFonts w:ascii="Arial" w:cs="Arial" w:eastAsia="Arial" w:hAnsi="Arial"/>
                <w:sz w:val="13"/>
                <w:szCs w:val="13"/>
                <w:color w:val="auto"/>
              </w:rPr>
              <w:t>6.4</w:t>
            </w:r>
          </w:p>
        </w:tc>
        <w:tc>
          <w:tcPr>
            <w:tcW w:w="220" w:type="dxa"/>
            <w:vAlign w:val="bottom"/>
            <w:gridSpan w:val="4"/>
          </w:tcPr>
          <w:p>
            <w:pPr>
              <w:ind w:left="60"/>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16"/>
              <w:spacing w:after="0"/>
              <w:rPr>
                <w:sz w:val="20"/>
                <w:szCs w:val="20"/>
                <w:color w:val="auto"/>
              </w:rPr>
            </w:pPr>
            <w:r>
              <w:rPr>
                <w:rFonts w:ascii="Arial" w:cs="Arial" w:eastAsia="Arial" w:hAnsi="Arial"/>
                <w:sz w:val="13"/>
                <w:szCs w:val="13"/>
                <w:color w:val="auto"/>
              </w:rPr>
              <w:t>1,131</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2840" w:type="dxa"/>
            <w:vAlign w:val="bottom"/>
            <w:gridSpan w:val="3"/>
          </w:tcPr>
          <w:p>
            <w:pPr>
              <w:spacing w:after="0"/>
              <w:rPr>
                <w:sz w:val="20"/>
                <w:szCs w:val="20"/>
                <w:color w:val="auto"/>
              </w:rPr>
            </w:pPr>
            <w:r>
              <w:rPr>
                <w:rFonts w:ascii="Arial" w:cs="Arial" w:eastAsia="Arial" w:hAnsi="Arial"/>
                <w:sz w:val="13"/>
                <w:szCs w:val="13"/>
                <w:color w:val="auto"/>
              </w:rPr>
              <w:t>Balance at January 1, 2021</w:t>
            </w:r>
          </w:p>
        </w:tc>
        <w:tc>
          <w:tcPr>
            <w:tcW w:w="1120" w:type="dxa"/>
            <w:vAlign w:val="bottom"/>
          </w:tcPr>
          <w:p>
            <w:pPr>
              <w:jc w:val="right"/>
              <w:spacing w:after="0"/>
              <w:rPr>
                <w:sz w:val="20"/>
                <w:szCs w:val="20"/>
                <w:color w:val="auto"/>
              </w:rPr>
            </w:pPr>
            <w:r>
              <w:rPr>
                <w:rFonts w:ascii="Arial" w:cs="Arial" w:eastAsia="Arial" w:hAnsi="Arial"/>
                <w:sz w:val="13"/>
                <w:szCs w:val="13"/>
                <w:color w:val="auto"/>
              </w:rPr>
              <w:t>339,667</w:t>
            </w: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9.37</w:t>
            </w:r>
          </w:p>
        </w:tc>
        <w:tc>
          <w:tcPr>
            <w:tcW w:w="1220" w:type="dxa"/>
            <w:vAlign w:val="bottom"/>
            <w:gridSpan w:val="5"/>
          </w:tcPr>
          <w:p>
            <w:pPr>
              <w:jc w:val="right"/>
              <w:spacing w:after="0"/>
              <w:rPr>
                <w:sz w:val="20"/>
                <w:szCs w:val="20"/>
                <w:color w:val="auto"/>
              </w:rPr>
            </w:pPr>
            <w:r>
              <w:rPr>
                <w:rFonts w:ascii="Arial" w:cs="Arial" w:eastAsia="Arial" w:hAnsi="Arial"/>
                <w:sz w:val="13"/>
                <w:szCs w:val="13"/>
                <w:color w:val="auto"/>
              </w:rPr>
              <w:t>7.1</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0"/>
        </w:trPr>
        <w:tc>
          <w:tcPr>
            <w:tcW w:w="40" w:type="dxa"/>
            <w:vAlign w:val="bottom"/>
          </w:tcPr>
          <w:p>
            <w:pPr>
              <w:spacing w:after="0"/>
              <w:rPr>
                <w:sz w:val="13"/>
                <w:szCs w:val="13"/>
                <w:color w:val="auto"/>
              </w:rPr>
            </w:pPr>
          </w:p>
        </w:tc>
        <w:tc>
          <w:tcPr>
            <w:tcW w:w="2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Granted</w:t>
            </w:r>
          </w:p>
        </w:tc>
        <w:tc>
          <w:tcPr>
            <w:tcW w:w="2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620,000</w:t>
            </w:r>
          </w:p>
        </w:tc>
        <w:tc>
          <w:tcPr>
            <w:tcW w:w="4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11.69</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r>
      <w:tr>
        <w:trPr>
          <w:trHeight w:val="212"/>
        </w:trPr>
        <w:tc>
          <w:tcPr>
            <w:tcW w:w="2840" w:type="dxa"/>
            <w:vAlign w:val="bottom"/>
            <w:gridSpan w:val="3"/>
          </w:tcPr>
          <w:p>
            <w:pPr>
              <w:spacing w:after="0"/>
              <w:rPr>
                <w:sz w:val="20"/>
                <w:szCs w:val="20"/>
                <w:color w:val="auto"/>
              </w:rPr>
            </w:pPr>
            <w:r>
              <w:rPr>
                <w:rFonts w:ascii="Arial" w:cs="Arial" w:eastAsia="Arial" w:hAnsi="Arial"/>
                <w:sz w:val="13"/>
                <w:szCs w:val="13"/>
                <w:color w:val="auto"/>
              </w:rPr>
              <w:t>Balance at December 31, 2021</w:t>
            </w:r>
          </w:p>
        </w:tc>
        <w:tc>
          <w:tcPr>
            <w:tcW w:w="1120" w:type="dxa"/>
            <w:vAlign w:val="bottom"/>
          </w:tcPr>
          <w:p>
            <w:pPr>
              <w:jc w:val="right"/>
              <w:spacing w:after="0"/>
              <w:rPr>
                <w:sz w:val="20"/>
                <w:szCs w:val="20"/>
                <w:color w:val="auto"/>
              </w:rPr>
            </w:pPr>
            <w:r>
              <w:rPr>
                <w:rFonts w:ascii="Arial" w:cs="Arial" w:eastAsia="Arial" w:hAnsi="Arial"/>
                <w:sz w:val="13"/>
                <w:szCs w:val="13"/>
                <w:color w:val="auto"/>
              </w:rPr>
              <w:t>959,667</w:t>
            </w: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10.87</w:t>
            </w:r>
          </w:p>
        </w:tc>
        <w:tc>
          <w:tcPr>
            <w:tcW w:w="1220" w:type="dxa"/>
            <w:vAlign w:val="bottom"/>
            <w:gridSpan w:val="5"/>
          </w:tcPr>
          <w:p>
            <w:pPr>
              <w:jc w:val="right"/>
              <w:spacing w:after="0"/>
              <w:rPr>
                <w:sz w:val="20"/>
                <w:szCs w:val="20"/>
                <w:color w:val="auto"/>
              </w:rPr>
            </w:pPr>
            <w:r>
              <w:rPr>
                <w:rFonts w:ascii="Arial" w:cs="Arial" w:eastAsia="Arial" w:hAnsi="Arial"/>
                <w:sz w:val="13"/>
                <w:szCs w:val="13"/>
                <w:color w:val="auto"/>
              </w:rPr>
              <w:t>8.4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21"/>
        </w:trPr>
        <w:tc>
          <w:tcPr>
            <w:tcW w:w="40" w:type="dxa"/>
            <w:vAlign w:val="bottom"/>
          </w:tcPr>
          <w:p>
            <w:pPr>
              <w:spacing w:after="0"/>
              <w:rPr>
                <w:sz w:val="10"/>
                <w:szCs w:val="10"/>
                <w:color w:val="auto"/>
              </w:rPr>
            </w:pPr>
          </w:p>
        </w:tc>
        <w:tc>
          <w:tcPr>
            <w:tcW w:w="2800" w:type="dxa"/>
            <w:vAlign w:val="bottom"/>
            <w:tcBorders>
              <w:top w:val="single" w:sz="8" w:color="CCEEFF"/>
            </w:tcBorders>
            <w:gridSpan w:val="2"/>
            <w:shd w:val="clear" w:color="auto" w:fill="CCEEFF"/>
          </w:tcPr>
          <w:p>
            <w:pPr>
              <w:spacing w:after="0"/>
              <w:rPr>
                <w:sz w:val="10"/>
                <w:szCs w:val="10"/>
                <w:color w:val="auto"/>
              </w:rPr>
            </w:pPr>
          </w:p>
        </w:tc>
        <w:tc>
          <w:tcPr>
            <w:tcW w:w="11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gridSpan w:val="2"/>
            <w:shd w:val="clear" w:color="auto" w:fill="CCEEFF"/>
          </w:tcPr>
          <w:p>
            <w:pPr>
              <w:spacing w:after="0"/>
              <w:rPr>
                <w:sz w:val="10"/>
                <w:szCs w:val="10"/>
                <w:color w:val="auto"/>
              </w:rPr>
            </w:pPr>
          </w:p>
        </w:tc>
        <w:tc>
          <w:tcPr>
            <w:tcW w:w="1080" w:type="dxa"/>
            <w:vAlign w:val="bottom"/>
            <w:tcBorders>
              <w:top w:val="single" w:sz="8" w:color="CCEEFF"/>
            </w:tcBorders>
            <w:shd w:val="clear" w:color="auto" w:fill="CCEEFF"/>
          </w:tcPr>
          <w:p>
            <w:pPr>
              <w:spacing w:after="0"/>
              <w:rPr>
                <w:sz w:val="10"/>
                <w:szCs w:val="10"/>
                <w:color w:val="auto"/>
              </w:rPr>
            </w:pPr>
          </w:p>
        </w:tc>
        <w:tc>
          <w:tcPr>
            <w:tcW w:w="1220" w:type="dxa"/>
            <w:vAlign w:val="bottom"/>
            <w:tcBorders>
              <w:top w:val="single" w:sz="8" w:color="CCEEFF"/>
            </w:tcBorders>
            <w:gridSpan w:val="5"/>
            <w:shd w:val="clear" w:color="auto" w:fill="CCEEFF"/>
          </w:tcPr>
          <w:p>
            <w:pPr>
              <w:spacing w:after="0"/>
              <w:rPr>
                <w:sz w:val="10"/>
                <w:szCs w:val="10"/>
                <w:color w:val="auto"/>
              </w:rPr>
            </w:pPr>
          </w:p>
        </w:tc>
        <w:tc>
          <w:tcPr>
            <w:tcW w:w="220" w:type="dxa"/>
            <w:vAlign w:val="bottom"/>
            <w:tcBorders>
              <w:top w:val="single" w:sz="8" w:color="CCEEFF"/>
            </w:tcBorders>
            <w:gridSpan w:val="4"/>
            <w:shd w:val="clear" w:color="auto" w:fill="CCEEFF"/>
          </w:tcPr>
          <w:p>
            <w:pPr>
              <w:spacing w:after="0"/>
              <w:rPr>
                <w:sz w:val="10"/>
                <w:szCs w:val="10"/>
                <w:color w:val="auto"/>
              </w:rPr>
            </w:pPr>
          </w:p>
        </w:tc>
        <w:tc>
          <w:tcPr>
            <w:tcW w:w="10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r>
      <w:tr>
        <w:trPr>
          <w:trHeight w:val="177"/>
        </w:trPr>
        <w:tc>
          <w:tcPr>
            <w:tcW w:w="2840" w:type="dxa"/>
            <w:vAlign w:val="bottom"/>
            <w:gridSpan w:val="3"/>
          </w:tcPr>
          <w:p>
            <w:pPr>
              <w:spacing w:after="0"/>
              <w:rPr>
                <w:sz w:val="20"/>
                <w:szCs w:val="20"/>
                <w:color w:val="auto"/>
              </w:rPr>
            </w:pPr>
            <w:r>
              <w:rPr>
                <w:rFonts w:ascii="Arial" w:cs="Arial" w:eastAsia="Arial" w:hAnsi="Arial"/>
                <w:sz w:val="13"/>
                <w:szCs w:val="13"/>
                <w:color w:val="auto"/>
              </w:rPr>
              <w:t>Exercisable at December 31, 2021</w:t>
            </w:r>
          </w:p>
        </w:tc>
        <w:tc>
          <w:tcPr>
            <w:tcW w:w="1120" w:type="dxa"/>
            <w:vAlign w:val="bottom"/>
          </w:tcPr>
          <w:p>
            <w:pPr>
              <w:jc w:val="right"/>
              <w:spacing w:after="0"/>
              <w:rPr>
                <w:sz w:val="20"/>
                <w:szCs w:val="20"/>
                <w:color w:val="auto"/>
              </w:rPr>
            </w:pPr>
            <w:r>
              <w:rPr>
                <w:rFonts w:ascii="Arial" w:cs="Arial" w:eastAsia="Arial" w:hAnsi="Arial"/>
                <w:sz w:val="13"/>
                <w:szCs w:val="13"/>
                <w:color w:val="auto"/>
              </w:rPr>
              <w:t>319,667</w:t>
            </w: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9.07</w:t>
            </w:r>
          </w:p>
        </w:tc>
        <w:tc>
          <w:tcPr>
            <w:tcW w:w="1220" w:type="dxa"/>
            <w:vAlign w:val="bottom"/>
            <w:gridSpan w:val="5"/>
          </w:tcPr>
          <w:p>
            <w:pPr>
              <w:jc w:val="right"/>
              <w:spacing w:after="0"/>
              <w:rPr>
                <w:sz w:val="20"/>
                <w:szCs w:val="20"/>
                <w:color w:val="auto"/>
              </w:rPr>
            </w:pPr>
            <w:r>
              <w:rPr>
                <w:rFonts w:ascii="Arial" w:cs="Arial" w:eastAsia="Arial" w:hAnsi="Arial"/>
                <w:sz w:val="13"/>
                <w:szCs w:val="13"/>
                <w:color w:val="auto"/>
              </w:rPr>
              <w:t>6.0</w:t>
            </w:r>
          </w:p>
        </w:tc>
        <w:tc>
          <w:tcPr>
            <w:tcW w:w="220" w:type="dxa"/>
            <w:vAlign w:val="bottom"/>
            <w:gridSpan w:val="4"/>
          </w:tcPr>
          <w:p>
            <w:pPr>
              <w:ind w:left="60"/>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663</w:t>
            </w:r>
          </w:p>
        </w:tc>
        <w:tc>
          <w:tcPr>
            <w:tcW w:w="20" w:type="dxa"/>
            <w:vAlign w:val="bottom"/>
          </w:tcPr>
          <w:p>
            <w:pPr>
              <w:spacing w:after="0"/>
              <w:rPr>
                <w:sz w:val="15"/>
                <w:szCs w:val="15"/>
                <w:color w:val="auto"/>
              </w:rPr>
            </w:pPr>
          </w:p>
        </w:tc>
      </w:tr>
    </w:tbl>
    <w:p>
      <w:pPr>
        <w:spacing w:after="0" w:line="325" w:lineRule="exact"/>
        <w:rPr>
          <w:sz w:val="20"/>
          <w:szCs w:val="20"/>
          <w:color w:val="auto"/>
        </w:rPr>
      </w:pPr>
    </w:p>
    <w:p>
      <w:pPr>
        <w:jc w:val="both"/>
        <w:ind w:left="640" w:right="699" w:firstLine="256"/>
        <w:spacing w:after="0" w:line="253" w:lineRule="auto"/>
        <w:rPr>
          <w:sz w:val="20"/>
          <w:szCs w:val="20"/>
          <w:color w:val="auto"/>
        </w:rPr>
      </w:pPr>
      <w:r>
        <w:rPr>
          <w:rFonts w:ascii="Arial" w:cs="Arial" w:eastAsia="Arial" w:hAnsi="Arial"/>
          <w:sz w:val="14"/>
          <w:szCs w:val="14"/>
          <w:color w:val="auto"/>
        </w:rPr>
        <w:t>The aggregate intrinsic value in the table above represents the total pre-tax intrinsic value (the difference between the valuation of the Company’s stock and the exercise price, multiplied by the number of options considered in-the-money) that would have been received by the option holders had all option holders exercised their options.</w:t>
      </w:r>
    </w:p>
    <w:p>
      <w:pPr>
        <w:spacing w:after="0" w:line="142" w:lineRule="exact"/>
        <w:rPr>
          <w:sz w:val="20"/>
          <w:szCs w:val="20"/>
          <w:color w:val="auto"/>
        </w:rPr>
      </w:pPr>
    </w:p>
    <w:p>
      <w:pPr>
        <w:jc w:val="both"/>
        <w:ind w:left="640" w:right="699" w:firstLine="256"/>
        <w:spacing w:after="0" w:line="268" w:lineRule="auto"/>
        <w:rPr>
          <w:sz w:val="20"/>
          <w:szCs w:val="20"/>
          <w:color w:val="auto"/>
        </w:rPr>
      </w:pPr>
      <w:r>
        <w:rPr>
          <w:rFonts w:ascii="Arial" w:cs="Arial" w:eastAsia="Arial" w:hAnsi="Arial"/>
          <w:sz w:val="14"/>
          <w:szCs w:val="14"/>
          <w:color w:val="auto"/>
        </w:rPr>
        <w:t>The weighted average fair value of options granted for the years ended December 31, 2022 and 2021 was $ 3.45 and $2.32, respectively.</w:t>
      </w:r>
    </w:p>
    <w:p>
      <w:pPr>
        <w:spacing w:after="0" w:line="131" w:lineRule="exact"/>
        <w:rPr>
          <w:sz w:val="20"/>
          <w:szCs w:val="20"/>
          <w:color w:val="auto"/>
        </w:rPr>
      </w:pPr>
    </w:p>
    <w:p>
      <w:pPr>
        <w:ind w:left="900"/>
        <w:spacing w:after="0"/>
        <w:rPr>
          <w:sz w:val="20"/>
          <w:szCs w:val="20"/>
          <w:color w:val="auto"/>
        </w:rPr>
      </w:pPr>
      <w:r>
        <w:rPr>
          <w:rFonts w:ascii="Arial" w:cs="Arial" w:eastAsia="Arial" w:hAnsi="Arial"/>
          <w:sz w:val="14"/>
          <w:szCs w:val="14"/>
          <w:color w:val="auto"/>
        </w:rPr>
        <w:t>There were no restricted stock awards outstanding as of December 31, 2021 or 2022.</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4"/>
          <w:szCs w:val="14"/>
          <w:color w:val="auto"/>
        </w:rPr>
        <w:t>There are no equity compensation plans of the Company that have not been approved by the shareholders.</w:t>
      </w:r>
    </w:p>
    <w:p>
      <w:pPr>
        <w:spacing w:after="0" w:line="372"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38</w:t>
      </w:r>
      <w:r>
        <w:rPr>
          <w:sz w:val="20"/>
          <w:szCs w:val="20"/>
          <w:color w:val="auto"/>
        </w:rPr>
        <w:tab/>
      </w:r>
      <w:r>
        <w:rPr>
          <w:rFonts w:ascii="Arial" w:cs="Arial" w:eastAsia="Arial" w:hAnsi="Arial"/>
          <w:sz w:val="14"/>
          <w:szCs w:val="14"/>
          <w:color w:val="auto"/>
        </w:rPr>
        <w:t>USCB Financial Holdings, Inc.</w:t>
        <w:tab/>
        <w:t>2022 10-K/A</w:t>
      </w:r>
    </w:p>
    <w:p>
      <w:pPr>
        <w:sectPr>
          <w:pgSz w:w="11900" w:h="16838" w:orient="portrait"/>
          <w:cols w:equalWidth="0" w:num="1">
            <w:col w:w="9019"/>
          </w:cols>
          <w:pgMar w:left="1440" w:top="490" w:right="1440" w:bottom="1440" w:gutter="0" w:footer="0" w:header="0"/>
        </w:sectPr>
      </w:pPr>
    </w:p>
    <w:bookmarkStart w:id="38" w:name="page39"/>
    <w:bookmarkEnd w:id="3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62" w:lineRule="exact"/>
        <w:rPr>
          <w:sz w:val="20"/>
          <w:szCs w:val="20"/>
          <w:color w:val="auto"/>
        </w:rPr>
      </w:pPr>
    </w:p>
    <w:p>
      <w:pPr>
        <w:ind w:left="1040" w:hanging="398"/>
        <w:spacing w:after="0"/>
        <w:tabs>
          <w:tab w:leader="none" w:pos="1040" w:val="left"/>
        </w:tabs>
        <w:numPr>
          <w:ilvl w:val="0"/>
          <w:numId w:val="16"/>
        </w:numPr>
        <w:rPr>
          <w:rFonts w:ascii="Arial" w:cs="Arial" w:eastAsia="Arial" w:hAnsi="Arial"/>
          <w:sz w:val="14"/>
          <w:szCs w:val="14"/>
          <w:b w:val="1"/>
          <w:bCs w:val="1"/>
          <w:color w:val="auto"/>
        </w:rPr>
      </w:pPr>
      <w:r>
        <w:rPr>
          <w:rFonts w:ascii="Arial" w:cs="Arial" w:eastAsia="Arial" w:hAnsi="Arial"/>
          <w:sz w:val="14"/>
          <w:szCs w:val="14"/>
          <w:b w:val="1"/>
          <w:bCs w:val="1"/>
          <w:color w:val="auto"/>
        </w:rPr>
        <w:t>OFF-BALANCE SHEET ARRANGEMENTS</w:t>
      </w:r>
    </w:p>
    <w:p>
      <w:pPr>
        <w:spacing w:after="0" w:line="220" w:lineRule="exact"/>
        <w:rPr>
          <w:sz w:val="20"/>
          <w:szCs w:val="20"/>
          <w:color w:val="auto"/>
        </w:rPr>
      </w:pPr>
    </w:p>
    <w:p>
      <w:pPr>
        <w:jc w:val="both"/>
        <w:ind w:left="640" w:right="699" w:firstLine="256"/>
        <w:spacing w:after="0" w:line="247" w:lineRule="auto"/>
        <w:rPr>
          <w:sz w:val="20"/>
          <w:szCs w:val="20"/>
          <w:color w:val="auto"/>
        </w:rPr>
      </w:pPr>
      <w:r>
        <w:rPr>
          <w:rFonts w:ascii="Arial" w:cs="Arial" w:eastAsia="Arial" w:hAnsi="Arial"/>
          <w:sz w:val="14"/>
          <w:szCs w:val="14"/>
          <w:color w:val="auto"/>
        </w:rPr>
        <w:t>The Company is a party to financial instruments with off-balance-sheet risk in the normal course of business in order to meet the financial needs of its customers and to reduce its own exposure to fluctuations in interest rates. These financial instruments include unfunded commitments under lines of credit, commitments to extend credit, standby and commercial letters of credit. Those instruments involve, to varying degrees, elements of credit and interest rate risk in excess of the amount recognized in the Company’s Consolidated Balance Sheets. The Company uses the same credit policies in making commitments and conditional obligations as it does for on-balance-sheet instruments.</w:t>
      </w:r>
    </w:p>
    <w:p>
      <w:pPr>
        <w:spacing w:after="0" w:line="147" w:lineRule="exact"/>
        <w:rPr>
          <w:sz w:val="20"/>
          <w:szCs w:val="20"/>
          <w:color w:val="auto"/>
        </w:rPr>
      </w:pPr>
    </w:p>
    <w:p>
      <w:pPr>
        <w:jc w:val="both"/>
        <w:ind w:left="640" w:right="719" w:firstLine="256"/>
        <w:spacing w:after="0" w:line="268" w:lineRule="auto"/>
        <w:rPr>
          <w:sz w:val="20"/>
          <w:szCs w:val="20"/>
          <w:color w:val="auto"/>
        </w:rPr>
      </w:pPr>
      <w:r>
        <w:rPr>
          <w:rFonts w:ascii="Arial" w:cs="Arial" w:eastAsia="Arial" w:hAnsi="Arial"/>
          <w:sz w:val="14"/>
          <w:szCs w:val="14"/>
          <w:color w:val="auto"/>
        </w:rPr>
        <w:t>The Company's exposure to credit loss in the event of nonperformance by the other party to the financial instruments for unused lines of credit, and standby letters of credit is represented by the contractual amount of these commitments.</w:t>
      </w:r>
    </w:p>
    <w:p>
      <w:pPr>
        <w:spacing w:after="0" w:line="131" w:lineRule="exact"/>
        <w:rPr>
          <w:sz w:val="20"/>
          <w:szCs w:val="20"/>
          <w:color w:val="auto"/>
        </w:rPr>
      </w:pPr>
    </w:p>
    <w:p>
      <w:pPr>
        <w:ind w:left="900"/>
        <w:spacing w:after="0"/>
        <w:rPr>
          <w:sz w:val="20"/>
          <w:szCs w:val="20"/>
          <w:color w:val="auto"/>
        </w:rPr>
      </w:pPr>
      <w:r>
        <w:rPr>
          <w:rFonts w:ascii="Arial" w:cs="Arial" w:eastAsia="Arial" w:hAnsi="Arial"/>
          <w:sz w:val="14"/>
          <w:szCs w:val="14"/>
          <w:color w:val="auto"/>
        </w:rPr>
        <w:t>A summary of the amounts of the Company's financial instruments with off-balance sheet risk are shown below at</w:t>
      </w:r>
    </w:p>
    <w:p>
      <w:pPr>
        <w:spacing w:after="0" w:line="10" w:lineRule="exact"/>
        <w:rPr>
          <w:sz w:val="20"/>
          <w:szCs w:val="20"/>
          <w:color w:val="auto"/>
        </w:rPr>
      </w:pPr>
    </w:p>
    <w:p>
      <w:pPr>
        <w:ind w:left="640"/>
        <w:spacing w:after="0"/>
        <w:rPr>
          <w:sz w:val="20"/>
          <w:szCs w:val="20"/>
          <w:color w:val="auto"/>
        </w:rPr>
      </w:pPr>
      <w:r>
        <w:rPr>
          <w:rFonts w:ascii="Arial" w:cs="Arial" w:eastAsia="Arial" w:hAnsi="Arial"/>
          <w:sz w:val="14"/>
          <w:szCs w:val="14"/>
          <w:color w:val="auto"/>
        </w:rPr>
        <w:t>December 31, 2022 and 2021 (in thousands):</w:t>
      </w:r>
    </w:p>
    <w:p>
      <w:pPr>
        <w:spacing w:after="0" w:line="166" w:lineRule="exact"/>
        <w:rPr>
          <w:sz w:val="20"/>
          <w:szCs w:val="20"/>
          <w:color w:val="auto"/>
        </w:rPr>
      </w:pPr>
    </w:p>
    <w:tbl>
      <w:tblPr>
        <w:tblLayout w:type="fixed"/>
        <w:tblInd w:w="620" w:type="dxa"/>
        <w:tblCellMar>
          <w:top w:w="0" w:type="dxa"/>
          <w:left w:w="0" w:type="dxa"/>
          <w:bottom w:w="0" w:type="dxa"/>
          <w:right w:w="0" w:type="dxa"/>
        </w:tblCellMar>
      </w:tblPr>
      <w:tr>
        <w:trPr>
          <w:trHeight w:val="164"/>
        </w:trPr>
        <w:tc>
          <w:tcPr>
            <w:tcW w:w="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5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76"/>
              <w:spacing w:after="0"/>
              <w:rPr>
                <w:sz w:val="20"/>
                <w:szCs w:val="20"/>
                <w:color w:val="auto"/>
              </w:rPr>
            </w:pPr>
            <w:r>
              <w:rPr>
                <w:rFonts w:ascii="Arial" w:cs="Arial" w:eastAsia="Arial" w:hAnsi="Arial"/>
                <w:sz w:val="13"/>
                <w:szCs w:val="13"/>
                <w:b w:val="1"/>
                <w:bCs w:val="1"/>
                <w:color w:val="auto"/>
              </w:rPr>
              <w:t>2021</w:t>
            </w:r>
          </w:p>
        </w:tc>
        <w:tc>
          <w:tcPr>
            <w:tcW w:w="20" w:type="dxa"/>
            <w:vAlign w:val="bottom"/>
          </w:tcPr>
          <w:p>
            <w:pPr>
              <w:spacing w:after="0"/>
              <w:rPr>
                <w:sz w:val="14"/>
                <w:szCs w:val="14"/>
                <w:color w:val="auto"/>
              </w:rPr>
            </w:pPr>
          </w:p>
        </w:tc>
      </w:tr>
      <w:tr>
        <w:trPr>
          <w:trHeight w:val="151"/>
        </w:trPr>
        <w:tc>
          <w:tcPr>
            <w:tcW w:w="40" w:type="dxa"/>
            <w:vAlign w:val="bottom"/>
          </w:tcPr>
          <w:p>
            <w:pPr>
              <w:spacing w:after="0"/>
              <w:rPr>
                <w:sz w:val="13"/>
                <w:szCs w:val="13"/>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3"/>
                <w:szCs w:val="13"/>
                <w:color w:val="auto"/>
              </w:rPr>
              <w:t>Commitments to grant loans and unfunded lines of credit</w:t>
            </w:r>
          </w:p>
        </w:tc>
        <w:tc>
          <w:tcPr>
            <w:tcW w:w="1760" w:type="dxa"/>
            <w:vAlign w:val="bottom"/>
            <w:gridSpan w:val="2"/>
            <w:shd w:val="clear" w:color="auto" w:fill="CCEEFF"/>
          </w:tcPr>
          <w:p>
            <w:pPr>
              <w:jc w:val="right"/>
              <w:ind w:right="696"/>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95,461</w:t>
            </w: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134,877</w:t>
            </w:r>
          </w:p>
        </w:tc>
        <w:tc>
          <w:tcPr>
            <w:tcW w:w="20" w:type="dxa"/>
            <w:vAlign w:val="bottom"/>
            <w:shd w:val="clear" w:color="auto" w:fill="CCEEFF"/>
          </w:tcPr>
          <w:p>
            <w:pPr>
              <w:spacing w:after="0"/>
              <w:rPr>
                <w:sz w:val="13"/>
                <w:szCs w:val="13"/>
                <w:color w:val="auto"/>
              </w:rPr>
            </w:pPr>
          </w:p>
        </w:tc>
      </w:tr>
      <w:tr>
        <w:trPr>
          <w:trHeight w:val="171"/>
        </w:trPr>
        <w:tc>
          <w:tcPr>
            <w:tcW w:w="4120" w:type="dxa"/>
            <w:vAlign w:val="bottom"/>
            <w:gridSpan w:val="2"/>
          </w:tcPr>
          <w:p>
            <w:pPr>
              <w:spacing w:after="0"/>
              <w:rPr>
                <w:sz w:val="20"/>
                <w:szCs w:val="20"/>
                <w:color w:val="auto"/>
              </w:rPr>
            </w:pPr>
            <w:r>
              <w:rPr>
                <w:rFonts w:ascii="Arial" w:cs="Arial" w:eastAsia="Arial" w:hAnsi="Arial"/>
                <w:sz w:val="13"/>
                <w:szCs w:val="13"/>
                <w:color w:val="auto"/>
              </w:rPr>
              <w:t>Standby and commercial letters of credit</w:t>
            </w:r>
          </w:p>
        </w:tc>
        <w:tc>
          <w:tcPr>
            <w:tcW w:w="9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4,320</w:t>
            </w:r>
          </w:p>
        </w:tc>
        <w:tc>
          <w:tcPr>
            <w:tcW w:w="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6,420</w:t>
            </w:r>
          </w:p>
        </w:tc>
        <w:tc>
          <w:tcPr>
            <w:tcW w:w="20" w:type="dxa"/>
            <w:vAlign w:val="bottom"/>
          </w:tcPr>
          <w:p>
            <w:pPr>
              <w:spacing w:after="0"/>
              <w:rPr>
                <w:sz w:val="14"/>
                <w:szCs w:val="14"/>
                <w:color w:val="auto"/>
              </w:rPr>
            </w:pPr>
          </w:p>
        </w:tc>
      </w:tr>
      <w:tr>
        <w:trPr>
          <w:trHeight w:val="161"/>
        </w:trPr>
        <w:tc>
          <w:tcPr>
            <w:tcW w:w="40" w:type="dxa"/>
            <w:vAlign w:val="bottom"/>
          </w:tcPr>
          <w:p>
            <w:pPr>
              <w:spacing w:after="0"/>
              <w:rPr>
                <w:sz w:val="14"/>
                <w:szCs w:val="14"/>
                <w:color w:val="auto"/>
              </w:rPr>
            </w:pPr>
          </w:p>
        </w:tc>
        <w:tc>
          <w:tcPr>
            <w:tcW w:w="40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Total</w:t>
            </w:r>
          </w:p>
        </w:tc>
        <w:tc>
          <w:tcPr>
            <w:tcW w:w="1760" w:type="dxa"/>
            <w:vAlign w:val="bottom"/>
            <w:gridSpan w:val="2"/>
            <w:shd w:val="clear" w:color="auto" w:fill="CCEEFF"/>
          </w:tcPr>
          <w:p>
            <w:pPr>
              <w:jc w:val="right"/>
              <w:ind w:right="696"/>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99,781</w:t>
            </w: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141,297</w:t>
            </w:r>
          </w:p>
        </w:tc>
        <w:tc>
          <w:tcPr>
            <w:tcW w:w="20" w:type="dxa"/>
            <w:vAlign w:val="bottom"/>
            <w:shd w:val="clear" w:color="auto" w:fill="CCEEFF"/>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left="640" w:right="739" w:firstLine="256"/>
        <w:spacing w:after="0" w:line="252" w:lineRule="auto"/>
        <w:rPr>
          <w:sz w:val="20"/>
          <w:szCs w:val="20"/>
          <w:color w:val="auto"/>
        </w:rPr>
      </w:pPr>
      <w:r>
        <w:rPr>
          <w:rFonts w:ascii="Arial" w:cs="Arial" w:eastAsia="Arial" w:hAnsi="Arial"/>
          <w:sz w:val="14"/>
          <w:szCs w:val="14"/>
          <w:color w:val="auto"/>
        </w:rPr>
        <w:t>Commitments to extend credit are agreements to lend to a customer as long as there is no violation of any condition established in the contract. Commitments generally have fixed expiration dates or other termination clauses.</w:t>
      </w:r>
    </w:p>
    <w:p>
      <w:pPr>
        <w:spacing w:after="0" w:line="153" w:lineRule="exact"/>
        <w:rPr>
          <w:sz w:val="20"/>
          <w:szCs w:val="20"/>
          <w:color w:val="auto"/>
        </w:rPr>
      </w:pPr>
    </w:p>
    <w:p>
      <w:pPr>
        <w:jc w:val="both"/>
        <w:ind w:left="640" w:right="699" w:firstLine="256"/>
        <w:spacing w:after="0" w:line="253" w:lineRule="auto"/>
        <w:rPr>
          <w:sz w:val="20"/>
          <w:szCs w:val="20"/>
          <w:color w:val="auto"/>
        </w:rPr>
      </w:pPr>
      <w:r>
        <w:rPr>
          <w:rFonts w:ascii="Arial" w:cs="Arial" w:eastAsia="Arial" w:hAnsi="Arial"/>
          <w:sz w:val="14"/>
          <w:szCs w:val="14"/>
          <w:color w:val="auto"/>
        </w:rPr>
        <w:t>Unfunded lines of credit and revolving credit lines are commitments for possible future extensions of credit to existing customers. These lines of credit are uncollateralized and usually do not contain a specified maturity date and ultimately may not be drawn upon to the total extent to which the Company is committed.</w:t>
      </w:r>
    </w:p>
    <w:p>
      <w:pPr>
        <w:spacing w:after="0" w:line="142" w:lineRule="exact"/>
        <w:rPr>
          <w:sz w:val="20"/>
          <w:szCs w:val="20"/>
          <w:color w:val="auto"/>
        </w:rPr>
      </w:pPr>
    </w:p>
    <w:p>
      <w:pPr>
        <w:jc w:val="both"/>
        <w:ind w:left="640" w:right="699" w:firstLine="256"/>
        <w:spacing w:after="0" w:line="248" w:lineRule="auto"/>
        <w:rPr>
          <w:sz w:val="20"/>
          <w:szCs w:val="20"/>
          <w:color w:val="auto"/>
        </w:rPr>
      </w:pPr>
      <w:r>
        <w:rPr>
          <w:rFonts w:ascii="Arial" w:cs="Arial" w:eastAsia="Arial" w:hAnsi="Arial"/>
          <w:sz w:val="14"/>
          <w:szCs w:val="14"/>
          <w:color w:val="auto"/>
        </w:rPr>
        <w:t>Standby and commercial letters of credit are conditional commitments issued by the Company to guarantee the performance of a customer to a third party. Those letters of credit are primarily issued to support public and private borrowing arrangements. Essentially all letters of credit have fixed maturity dates and many of them expire without being drawn upon, they do not generally present a significant liquidity risk to the Company.</w:t>
      </w:r>
    </w:p>
    <w:p>
      <w:pPr>
        <w:spacing w:after="0" w:line="138" w:lineRule="exact"/>
        <w:rPr>
          <w:sz w:val="20"/>
          <w:szCs w:val="20"/>
          <w:color w:val="auto"/>
        </w:rPr>
      </w:pPr>
    </w:p>
    <w:p>
      <w:pPr>
        <w:ind w:left="1040" w:hanging="398"/>
        <w:spacing w:after="0"/>
        <w:tabs>
          <w:tab w:leader="none" w:pos="1040" w:val="left"/>
        </w:tabs>
        <w:numPr>
          <w:ilvl w:val="0"/>
          <w:numId w:val="17"/>
        </w:numPr>
        <w:rPr>
          <w:rFonts w:ascii="Arial" w:cs="Arial" w:eastAsia="Arial" w:hAnsi="Arial"/>
          <w:sz w:val="14"/>
          <w:szCs w:val="14"/>
          <w:b w:val="1"/>
          <w:bCs w:val="1"/>
          <w:color w:val="auto"/>
        </w:rPr>
      </w:pPr>
      <w:r>
        <w:rPr>
          <w:rFonts w:ascii="Arial" w:cs="Arial" w:eastAsia="Arial" w:hAnsi="Arial"/>
          <w:sz w:val="14"/>
          <w:szCs w:val="14"/>
          <w:b w:val="1"/>
          <w:bCs w:val="1"/>
          <w:color w:val="auto"/>
        </w:rPr>
        <w:t>DERIVATIVES</w:t>
      </w:r>
    </w:p>
    <w:p>
      <w:pPr>
        <w:spacing w:after="0" w:line="220" w:lineRule="exact"/>
        <w:rPr>
          <w:sz w:val="20"/>
          <w:szCs w:val="20"/>
          <w:color w:val="auto"/>
        </w:rPr>
      </w:pPr>
    </w:p>
    <w:p>
      <w:pPr>
        <w:jc w:val="both"/>
        <w:ind w:left="640" w:right="719" w:firstLine="256"/>
        <w:spacing w:after="0" w:line="248" w:lineRule="auto"/>
        <w:rPr>
          <w:sz w:val="20"/>
          <w:szCs w:val="20"/>
          <w:color w:val="auto"/>
        </w:rPr>
      </w:pPr>
      <w:r>
        <w:rPr>
          <w:rFonts w:ascii="Arial" w:cs="Arial" w:eastAsia="Arial" w:hAnsi="Arial"/>
          <w:sz w:val="14"/>
          <w:szCs w:val="14"/>
          <w:color w:val="auto"/>
        </w:rPr>
        <w:t>The Company utilizes interest rate swap agreements as part of its asset liability management strategy to help manage its interest rate risk position. The notional amount of the interest rate swaps do not represent amounts exchanged by the parties. The amounts exchanged are determined by reference to the notional amount and the other terms of the individual interest rate swap agreements.</w:t>
      </w:r>
    </w:p>
    <w:p>
      <w:pPr>
        <w:spacing w:after="0" w:line="156" w:lineRule="exact"/>
        <w:rPr>
          <w:sz w:val="20"/>
          <w:szCs w:val="20"/>
          <w:color w:val="auto"/>
        </w:rPr>
      </w:pPr>
    </w:p>
    <w:p>
      <w:pPr>
        <w:jc w:val="both"/>
        <w:ind w:left="640" w:right="699" w:firstLine="256"/>
        <w:spacing w:after="0" w:line="244" w:lineRule="auto"/>
        <w:rPr>
          <w:sz w:val="20"/>
          <w:szCs w:val="20"/>
          <w:color w:val="auto"/>
        </w:rPr>
      </w:pPr>
      <w:r>
        <w:rPr>
          <w:rFonts w:ascii="Arial" w:cs="Arial" w:eastAsia="Arial" w:hAnsi="Arial"/>
          <w:sz w:val="14"/>
          <w:szCs w:val="14"/>
          <w:color w:val="auto"/>
        </w:rPr>
        <w:t>The Company enters into interest rate swaps with its loan customers. The Company had 15 and 18 interest rate swaps with loan customers with a notional amount of $33.9 million and $39.2 million at December 31, 2022 and 2021, respectively. These interest rate swaps have a maturity date between 2025 and 2051. The Company entered into corresponding and offsetting derivatives with third parties. The fair value of liability on these derivatives requires the Company to provide the counterparty with funds to be held as collateral which the Company reports as other assets under the Consolidated Balance Sheets. While these derivatives represent economic hedges, it does not qualify as hedges for accounting purposes.</w:t>
      </w:r>
    </w:p>
    <w:p>
      <w:pPr>
        <w:spacing w:after="0" w:line="160" w:lineRule="exact"/>
        <w:rPr>
          <w:sz w:val="20"/>
          <w:szCs w:val="20"/>
          <w:color w:val="auto"/>
        </w:rPr>
      </w:pPr>
    </w:p>
    <w:p>
      <w:pPr>
        <w:ind w:left="900"/>
        <w:spacing w:after="0"/>
        <w:rPr>
          <w:sz w:val="20"/>
          <w:szCs w:val="20"/>
          <w:color w:val="auto"/>
        </w:rPr>
      </w:pPr>
      <w:r>
        <w:rPr>
          <w:rFonts w:ascii="Arial" w:cs="Arial" w:eastAsia="Arial" w:hAnsi="Arial"/>
          <w:sz w:val="14"/>
          <w:szCs w:val="14"/>
          <w:color w:val="auto"/>
        </w:rPr>
        <w:t>The following table reflects the Company’s customer related interest rate swaps for the dates indicated (in thousands):</w:t>
      </w:r>
    </w:p>
    <w:p>
      <w:pPr>
        <w:spacing w:after="0" w:line="177" w:lineRule="exact"/>
        <w:rPr>
          <w:sz w:val="20"/>
          <w:szCs w:val="20"/>
          <w:color w:val="auto"/>
        </w:rPr>
      </w:pPr>
    </w:p>
    <w:tbl>
      <w:tblPr>
        <w:tblLayout w:type="fixed"/>
        <w:tblInd w:w="620" w:type="dxa"/>
        <w:tblCellMar>
          <w:top w:w="0" w:type="dxa"/>
          <w:left w:w="0" w:type="dxa"/>
          <w:bottom w:w="0" w:type="dxa"/>
          <w:right w:w="0" w:type="dxa"/>
        </w:tblCellMar>
      </w:tblPr>
      <w:tr>
        <w:trPr>
          <w:trHeight w:val="164"/>
        </w:trPr>
        <w:tc>
          <w:tcPr>
            <w:tcW w:w="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vMerge w:val="restart"/>
          </w:tcPr>
          <w:p>
            <w:pPr>
              <w:jc w:val="right"/>
              <w:ind w:right="56"/>
              <w:spacing w:after="0"/>
              <w:rPr>
                <w:sz w:val="20"/>
                <w:szCs w:val="20"/>
                <w:color w:val="auto"/>
              </w:rPr>
            </w:pPr>
            <w:r>
              <w:rPr>
                <w:rFonts w:ascii="Arial" w:cs="Arial" w:eastAsia="Arial" w:hAnsi="Arial"/>
                <w:sz w:val="13"/>
                <w:szCs w:val="13"/>
                <w:b w:val="1"/>
                <w:bCs w:val="1"/>
                <w:color w:val="auto"/>
                <w:w w:val="99"/>
              </w:rPr>
              <w:t>Notional</w:t>
            </w:r>
          </w:p>
        </w:tc>
        <w:tc>
          <w:tcPr>
            <w:tcW w:w="60" w:type="dxa"/>
            <w:vAlign w:val="bottom"/>
          </w:tcPr>
          <w:p>
            <w:pPr>
              <w:spacing w:after="0"/>
              <w:rPr>
                <w:sz w:val="14"/>
                <w:szCs w:val="14"/>
                <w:color w:val="auto"/>
              </w:rPr>
            </w:pPr>
          </w:p>
        </w:tc>
        <w:tc>
          <w:tcPr>
            <w:tcW w:w="720" w:type="dxa"/>
            <w:vAlign w:val="bottom"/>
            <w:gridSpan w:val="2"/>
            <w:vMerge w:val="restart"/>
          </w:tcPr>
          <w:p>
            <w:pPr>
              <w:jc w:val="right"/>
              <w:ind w:right="36"/>
              <w:spacing w:after="0"/>
              <w:rPr>
                <w:sz w:val="20"/>
                <w:szCs w:val="20"/>
                <w:color w:val="auto"/>
              </w:rPr>
            </w:pPr>
            <w:r>
              <w:rPr>
                <w:rFonts w:ascii="Arial" w:cs="Arial" w:eastAsia="Arial" w:hAnsi="Arial"/>
                <w:sz w:val="13"/>
                <w:szCs w:val="13"/>
                <w:b w:val="1"/>
                <w:bCs w:val="1"/>
                <w:color w:val="auto"/>
              </w:rPr>
              <w:t>Collateral</w:t>
            </w:r>
          </w:p>
        </w:tc>
        <w:tc>
          <w:tcPr>
            <w:tcW w:w="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356"/>
              <w:spacing w:after="0"/>
              <w:rPr>
                <w:sz w:val="20"/>
                <w:szCs w:val="20"/>
                <w:color w:val="auto"/>
              </w:rPr>
            </w:pPr>
            <w:r>
              <w:rPr>
                <w:rFonts w:ascii="Arial" w:cs="Arial" w:eastAsia="Arial" w:hAnsi="Arial"/>
                <w:sz w:val="13"/>
                <w:szCs w:val="13"/>
                <w:b w:val="1"/>
                <w:bCs w:val="1"/>
                <w:color w:val="auto"/>
              </w:rPr>
              <w:t>Fair 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40" w:type="dxa"/>
            <w:vAlign w:val="bottom"/>
          </w:tcPr>
          <w:p>
            <w:pPr>
              <w:spacing w:after="0"/>
              <w:rPr>
                <w:sz w:val="9"/>
                <w:szCs w:val="9"/>
                <w:color w:val="auto"/>
              </w:rPr>
            </w:pPr>
          </w:p>
        </w:tc>
        <w:tc>
          <w:tcPr>
            <w:tcW w:w="30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40" w:type="dxa"/>
            <w:vAlign w:val="bottom"/>
          </w:tcPr>
          <w:p>
            <w:pPr>
              <w:spacing w:after="0"/>
              <w:rPr>
                <w:sz w:val="14"/>
                <w:szCs w:val="14"/>
                <w:color w:val="auto"/>
              </w:rPr>
            </w:pPr>
          </w:p>
        </w:tc>
        <w:tc>
          <w:tcPr>
            <w:tcW w:w="30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Amount</w:t>
            </w: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auto"/>
                <w:w w:val="97"/>
              </w:rPr>
              <w:t>Amount</w:t>
            </w:r>
          </w:p>
        </w:tc>
        <w:tc>
          <w:tcPr>
            <w:tcW w:w="40" w:type="dxa"/>
            <w:vAlign w:val="bottom"/>
            <w:tcBorders>
              <w:bottom w:val="single" w:sz="8" w:color="CCEEFF"/>
            </w:tcBorders>
          </w:tcPr>
          <w:p>
            <w:pPr>
              <w:spacing w:after="0"/>
              <w:rPr>
                <w:sz w:val="14"/>
                <w:szCs w:val="1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Balance Sheet Location</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Asset</w:t>
            </w: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auto"/>
                <w:w w:val="97"/>
              </w:rPr>
              <w:t>Liability</w:t>
            </w:r>
          </w:p>
        </w:tc>
        <w:tc>
          <w:tcPr>
            <w:tcW w:w="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3020" w:type="dxa"/>
            <w:vAlign w:val="bottom"/>
            <w:shd w:val="clear" w:color="auto" w:fill="CCEEFF"/>
          </w:tcPr>
          <w:p>
            <w:pPr>
              <w:jc w:val="right"/>
              <w:ind w:right="1796"/>
              <w:spacing w:after="0"/>
              <w:rPr>
                <w:sz w:val="20"/>
                <w:szCs w:val="20"/>
                <w:color w:val="auto"/>
              </w:rPr>
            </w:pPr>
            <w:r>
              <w:rPr>
                <w:rFonts w:ascii="Arial" w:cs="Arial" w:eastAsia="Arial" w:hAnsi="Arial"/>
                <w:sz w:val="13"/>
                <w:szCs w:val="13"/>
                <w:b w:val="1"/>
                <w:bCs w:val="1"/>
                <w:color w:val="auto"/>
                <w:w w:val="93"/>
              </w:rPr>
              <w:t>December 31, 2022:</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3020" w:type="dxa"/>
            <w:vAlign w:val="bottom"/>
          </w:tcPr>
          <w:p>
            <w:pPr>
              <w:jc w:val="right"/>
              <w:spacing w:after="0"/>
              <w:rPr>
                <w:sz w:val="20"/>
                <w:szCs w:val="20"/>
                <w:color w:val="auto"/>
              </w:rPr>
            </w:pPr>
            <w:r>
              <w:rPr>
                <w:rFonts w:ascii="Arial" w:cs="Arial" w:eastAsia="Arial" w:hAnsi="Arial"/>
                <w:sz w:val="13"/>
                <w:szCs w:val="13"/>
                <w:color w:val="auto"/>
                <w:w w:val="99"/>
              </w:rPr>
              <w:t>Derivatives not designated as hedging instruments: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302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Interest rate swaps related to customer loans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33,893</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1,278</w:t>
            </w:r>
          </w:p>
        </w:tc>
        <w:tc>
          <w:tcPr>
            <w:tcW w:w="166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8"/>
              </w:rPr>
              <w:t>Other assets/Other liabilities</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5,011</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5,011</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3020" w:type="dxa"/>
            <w:vAlign w:val="bottom"/>
          </w:tcPr>
          <w:p>
            <w:pPr>
              <w:jc w:val="right"/>
              <w:ind w:right="1796"/>
              <w:spacing w:after="0"/>
              <w:rPr>
                <w:sz w:val="20"/>
                <w:szCs w:val="20"/>
                <w:color w:val="auto"/>
              </w:rPr>
            </w:pPr>
            <w:r>
              <w:rPr>
                <w:rFonts w:ascii="Arial" w:cs="Arial" w:eastAsia="Arial" w:hAnsi="Arial"/>
                <w:sz w:val="13"/>
                <w:szCs w:val="13"/>
                <w:b w:val="1"/>
                <w:bCs w:val="1"/>
                <w:color w:val="auto"/>
                <w:w w:val="93"/>
              </w:rPr>
              <w:t>December 31, 2021:</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0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Derivatives not designated as hedging instruments:</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3020" w:type="dxa"/>
            <w:vAlign w:val="bottom"/>
          </w:tcPr>
          <w:p>
            <w:pPr>
              <w:jc w:val="right"/>
              <w:ind w:right="236"/>
              <w:spacing w:after="0"/>
              <w:rPr>
                <w:sz w:val="20"/>
                <w:szCs w:val="20"/>
                <w:color w:val="auto"/>
              </w:rPr>
            </w:pPr>
            <w:r>
              <w:rPr>
                <w:rFonts w:ascii="Arial" w:cs="Arial" w:eastAsia="Arial" w:hAnsi="Arial"/>
                <w:sz w:val="13"/>
                <w:szCs w:val="13"/>
                <w:color w:val="auto"/>
              </w:rPr>
              <w:t>Interest rate swaps related to customer loans</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39,156</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6"/>
              <w:spacing w:after="0"/>
              <w:rPr>
                <w:sz w:val="20"/>
                <w:szCs w:val="20"/>
                <w:color w:val="auto"/>
              </w:rPr>
            </w:pPr>
            <w:r>
              <w:rPr>
                <w:rFonts w:ascii="Arial" w:cs="Arial" w:eastAsia="Arial" w:hAnsi="Arial"/>
                <w:sz w:val="13"/>
                <w:szCs w:val="13"/>
                <w:color w:val="auto"/>
              </w:rPr>
              <w:t>1,260</w:t>
            </w:r>
          </w:p>
        </w:tc>
        <w:tc>
          <w:tcPr>
            <w:tcW w:w="1660" w:type="dxa"/>
            <w:vAlign w:val="bottom"/>
            <w:gridSpan w:val="2"/>
          </w:tcPr>
          <w:p>
            <w:pPr>
              <w:jc w:val="center"/>
              <w:spacing w:after="0"/>
              <w:rPr>
                <w:sz w:val="20"/>
                <w:szCs w:val="20"/>
                <w:color w:val="auto"/>
              </w:rPr>
            </w:pPr>
            <w:r>
              <w:rPr>
                <w:rFonts w:ascii="Arial" w:cs="Arial" w:eastAsia="Arial" w:hAnsi="Arial"/>
                <w:sz w:val="13"/>
                <w:szCs w:val="13"/>
                <w:color w:val="auto"/>
                <w:w w:val="98"/>
              </w:rPr>
              <w:t>Other assets/Other liabilities</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1,434</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1,434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99"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39</w:t>
      </w:r>
      <w:r>
        <w:rPr>
          <w:sz w:val="20"/>
          <w:szCs w:val="20"/>
          <w:color w:val="auto"/>
        </w:rPr>
        <w:tab/>
      </w:r>
      <w:r>
        <w:rPr>
          <w:rFonts w:ascii="Arial" w:cs="Arial" w:eastAsia="Arial" w:hAnsi="Arial"/>
          <w:sz w:val="14"/>
          <w:szCs w:val="14"/>
          <w:color w:val="auto"/>
        </w:rPr>
        <w:t>USCB Financial Holdings, Inc.</w:t>
        <w:tab/>
        <w:t>2022 10-K/A</w:t>
      </w:r>
    </w:p>
    <w:p>
      <w:pPr>
        <w:sectPr>
          <w:pgSz w:w="11900" w:h="16838" w:orient="portrait"/>
          <w:cols w:equalWidth="0" w:num="1">
            <w:col w:w="9019"/>
          </w:cols>
          <w:pgMar w:left="1440" w:top="490" w:right="1440" w:bottom="1440" w:gutter="0" w:footer="0" w:header="0"/>
        </w:sectPr>
      </w:pPr>
    </w:p>
    <w:bookmarkStart w:id="39" w:name="page40"/>
    <w:bookmarkEnd w:id="3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62" w:lineRule="exact"/>
        <w:rPr>
          <w:sz w:val="20"/>
          <w:szCs w:val="20"/>
          <w:color w:val="auto"/>
        </w:rPr>
      </w:pPr>
    </w:p>
    <w:p>
      <w:pPr>
        <w:ind w:left="1040" w:hanging="398"/>
        <w:spacing w:after="0"/>
        <w:tabs>
          <w:tab w:leader="none" w:pos="1040" w:val="left"/>
        </w:tabs>
        <w:numPr>
          <w:ilvl w:val="0"/>
          <w:numId w:val="18"/>
        </w:numPr>
        <w:rPr>
          <w:rFonts w:ascii="Arial" w:cs="Arial" w:eastAsia="Arial" w:hAnsi="Arial"/>
          <w:sz w:val="14"/>
          <w:szCs w:val="14"/>
          <w:b w:val="1"/>
          <w:bCs w:val="1"/>
          <w:color w:val="auto"/>
        </w:rPr>
      </w:pPr>
      <w:r>
        <w:rPr>
          <w:rFonts w:ascii="Arial" w:cs="Arial" w:eastAsia="Arial" w:hAnsi="Arial"/>
          <w:sz w:val="14"/>
          <w:szCs w:val="14"/>
          <w:b w:val="1"/>
          <w:bCs w:val="1"/>
          <w:color w:val="auto"/>
        </w:rPr>
        <w:t>FAIR VALUE MEASUREMENTS</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Determination of Fair Value</w:t>
      </w:r>
    </w:p>
    <w:p>
      <w:pPr>
        <w:spacing w:after="0" w:line="188" w:lineRule="exact"/>
        <w:rPr>
          <w:sz w:val="20"/>
          <w:szCs w:val="20"/>
          <w:color w:val="auto"/>
        </w:rPr>
      </w:pPr>
    </w:p>
    <w:p>
      <w:pPr>
        <w:jc w:val="both"/>
        <w:ind w:left="640" w:right="699" w:firstLine="256"/>
        <w:spacing w:after="0" w:line="245" w:lineRule="auto"/>
        <w:rPr>
          <w:sz w:val="20"/>
          <w:szCs w:val="20"/>
          <w:color w:val="auto"/>
        </w:rPr>
      </w:pPr>
      <w:r>
        <w:rPr>
          <w:rFonts w:ascii="Arial" w:cs="Arial" w:eastAsia="Arial" w:hAnsi="Arial"/>
          <w:sz w:val="14"/>
          <w:szCs w:val="14"/>
          <w:color w:val="auto"/>
        </w:rPr>
        <w:t>The Company uses fair value measurements to record fair-value adjustments to certain assets and liabilities and to determine fair value disclosures. In accordance with the fair value measurements accounting guidance, the fair value of a financial instrument is the price that would be received to sell an asset or paid to transfer a liability in an orderly transaction between market participants at the measurement date. Fair value is best determined based upon quoted market prices. However, in many instances, there are no quoted market prices for the Company's various financial instruments. In cases where quoted market prices are not available, fair values are based on estimates using present value or other valuation techniques. Those techniques are significantly affected by the assumptions used, including the discount rate and estimates of future cash flows. Accordingly, the fair value estimates may not be realized in an immediate settlement of the instrument.</w:t>
      </w:r>
    </w:p>
    <w:p>
      <w:pPr>
        <w:spacing w:after="0" w:line="158" w:lineRule="exact"/>
        <w:rPr>
          <w:sz w:val="20"/>
          <w:szCs w:val="20"/>
          <w:color w:val="auto"/>
        </w:rPr>
      </w:pPr>
    </w:p>
    <w:p>
      <w:pPr>
        <w:jc w:val="both"/>
        <w:ind w:left="640" w:right="699" w:firstLine="256"/>
        <w:spacing w:after="0" w:line="246" w:lineRule="auto"/>
        <w:rPr>
          <w:sz w:val="20"/>
          <w:szCs w:val="20"/>
          <w:color w:val="auto"/>
        </w:rPr>
      </w:pPr>
      <w:r>
        <w:rPr>
          <w:rFonts w:ascii="Arial" w:cs="Arial" w:eastAsia="Arial" w:hAnsi="Arial"/>
          <w:sz w:val="14"/>
          <w:szCs w:val="14"/>
          <w:color w:val="auto"/>
        </w:rPr>
        <w:t>The fair value guidance provides a consistent definition of fair value, which focuses on exit price in an orderly transaction (that is, not a forced liquidation or distressed sale) between market participants at the measurement date under current market conditions. If there has been a significant decrease in the volume and level of activity for the asset or liability, a change in valuation technique or the use of multiple valuation techniques may be appropriate. In such instances, determining the price at which willing market participants would transact at the measurement date under current market conditions depends on the facts and circumstances and requires the use of significant judgment. The fair value is a reasonable point within the range that is most representative of fair value under current market conditions.</w:t>
      </w:r>
    </w:p>
    <w:p>
      <w:pPr>
        <w:spacing w:after="0" w:line="129"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Fair Value Hierarchy</w:t>
      </w:r>
    </w:p>
    <w:p>
      <w:pPr>
        <w:spacing w:after="0" w:line="188" w:lineRule="exact"/>
        <w:rPr>
          <w:sz w:val="20"/>
          <w:szCs w:val="20"/>
          <w:color w:val="auto"/>
        </w:rPr>
      </w:pPr>
    </w:p>
    <w:p>
      <w:pPr>
        <w:jc w:val="both"/>
        <w:ind w:left="640" w:right="719" w:firstLine="256"/>
        <w:spacing w:after="0" w:line="253" w:lineRule="auto"/>
        <w:rPr>
          <w:sz w:val="20"/>
          <w:szCs w:val="20"/>
          <w:color w:val="auto"/>
        </w:rPr>
      </w:pPr>
      <w:r>
        <w:rPr>
          <w:rFonts w:ascii="Arial" w:cs="Arial" w:eastAsia="Arial" w:hAnsi="Arial"/>
          <w:sz w:val="14"/>
          <w:szCs w:val="14"/>
          <w:color w:val="auto"/>
        </w:rPr>
        <w:t>In accordance with this guidance, the Company groups its financial assets and financial liabilities generally measured at fair value in three levels, based on the markets in which the assets and liabilities are traded, and the reliability of the assumptions used to determine fair value.</w:t>
      </w:r>
    </w:p>
    <w:p>
      <w:pPr>
        <w:spacing w:after="0" w:line="124" w:lineRule="exact"/>
        <w:rPr>
          <w:sz w:val="20"/>
          <w:szCs w:val="20"/>
          <w:color w:val="auto"/>
        </w:rPr>
      </w:pPr>
    </w:p>
    <w:p>
      <w:pPr>
        <w:jc w:val="both"/>
        <w:ind w:left="1160" w:right="699"/>
        <w:spacing w:after="0" w:line="257" w:lineRule="auto"/>
        <w:rPr>
          <w:sz w:val="20"/>
          <w:szCs w:val="20"/>
          <w:color w:val="auto"/>
        </w:rPr>
      </w:pPr>
      <w:r>
        <w:rPr>
          <w:rFonts w:ascii="Arial" w:cs="Arial" w:eastAsia="Arial" w:hAnsi="Arial"/>
          <w:sz w:val="14"/>
          <w:szCs w:val="14"/>
          <w:b w:val="1"/>
          <w:bCs w:val="1"/>
          <w:color w:val="auto"/>
        </w:rPr>
        <w:t xml:space="preserve">Level 1 </w:t>
      </w:r>
      <w:r>
        <w:rPr>
          <w:rFonts w:ascii="Arial" w:cs="Arial" w:eastAsia="Arial" w:hAnsi="Arial"/>
          <w:sz w:val="14"/>
          <w:szCs w:val="14"/>
          <w:color w:val="auto"/>
        </w:rPr>
        <w:t>- Valuation is based on quoted prices in active markets for identical assets or liabilities that the reporting</w:t>
      </w:r>
      <w:r>
        <w:rPr>
          <w:rFonts w:ascii="Arial" w:cs="Arial" w:eastAsia="Arial" w:hAnsi="Arial"/>
          <w:sz w:val="14"/>
          <w:szCs w:val="14"/>
          <w:b w:val="1"/>
          <w:bCs w:val="1"/>
          <w:color w:val="auto"/>
        </w:rPr>
        <w:t xml:space="preserve"> </w:t>
      </w:r>
      <w:r>
        <w:rPr>
          <w:rFonts w:ascii="Arial" w:cs="Arial" w:eastAsia="Arial" w:hAnsi="Arial"/>
          <w:sz w:val="14"/>
          <w:szCs w:val="14"/>
          <w:color w:val="auto"/>
        </w:rPr>
        <w:t>entity has the ability to access at the measurement date. Level 1 assets and liabilities generally include debt and equity securities that are traded in an active exchange market. Valuations are obtained from readily available pricing sources for market transactions involving identical assets or liabilities.</w:t>
      </w:r>
    </w:p>
    <w:p>
      <w:pPr>
        <w:spacing w:after="0" w:line="132" w:lineRule="exact"/>
        <w:rPr>
          <w:sz w:val="20"/>
          <w:szCs w:val="20"/>
          <w:color w:val="auto"/>
        </w:rPr>
      </w:pPr>
    </w:p>
    <w:p>
      <w:pPr>
        <w:jc w:val="both"/>
        <w:ind w:left="1160" w:right="699"/>
        <w:spacing w:after="0" w:line="257" w:lineRule="auto"/>
        <w:rPr>
          <w:sz w:val="20"/>
          <w:szCs w:val="20"/>
          <w:color w:val="auto"/>
        </w:rPr>
      </w:pPr>
      <w:r>
        <w:rPr>
          <w:rFonts w:ascii="Arial" w:cs="Arial" w:eastAsia="Arial" w:hAnsi="Arial"/>
          <w:sz w:val="14"/>
          <w:szCs w:val="14"/>
          <w:b w:val="1"/>
          <w:bCs w:val="1"/>
          <w:color w:val="auto"/>
        </w:rPr>
        <w:t xml:space="preserve">Level 2 </w:t>
      </w:r>
      <w:r>
        <w:rPr>
          <w:rFonts w:ascii="Arial" w:cs="Arial" w:eastAsia="Arial" w:hAnsi="Arial"/>
          <w:sz w:val="14"/>
          <w:szCs w:val="14"/>
          <w:color w:val="auto"/>
        </w:rPr>
        <w:t>- Valuation is based on inputs other than quoted prices included within Level 1 that are observable for the</w:t>
      </w:r>
      <w:r>
        <w:rPr>
          <w:rFonts w:ascii="Arial" w:cs="Arial" w:eastAsia="Arial" w:hAnsi="Arial"/>
          <w:sz w:val="14"/>
          <w:szCs w:val="14"/>
          <w:b w:val="1"/>
          <w:bCs w:val="1"/>
          <w:color w:val="auto"/>
        </w:rPr>
        <w:t xml:space="preserve"> </w:t>
      </w:r>
      <w:r>
        <w:rPr>
          <w:rFonts w:ascii="Arial" w:cs="Arial" w:eastAsia="Arial" w:hAnsi="Arial"/>
          <w:sz w:val="14"/>
          <w:szCs w:val="14"/>
          <w:color w:val="auto"/>
        </w:rPr>
        <w:t>asset or liability, either directly or indirectly. The valuation may be based on quoted prices for similar assets or liabilities; quoted prices in markets that are not active; or other inputs that are observable or can be corroborated by observable market data for substantially the full term of the asset or liability.</w:t>
      </w:r>
    </w:p>
    <w:p>
      <w:pPr>
        <w:spacing w:after="0" w:line="132" w:lineRule="exact"/>
        <w:rPr>
          <w:sz w:val="20"/>
          <w:szCs w:val="20"/>
          <w:color w:val="auto"/>
        </w:rPr>
      </w:pPr>
    </w:p>
    <w:p>
      <w:pPr>
        <w:jc w:val="both"/>
        <w:ind w:left="1160" w:right="719"/>
        <w:spacing w:after="0" w:line="257" w:lineRule="auto"/>
        <w:rPr>
          <w:sz w:val="20"/>
          <w:szCs w:val="20"/>
          <w:color w:val="auto"/>
        </w:rPr>
      </w:pPr>
      <w:r>
        <w:rPr>
          <w:rFonts w:ascii="Arial" w:cs="Arial" w:eastAsia="Arial" w:hAnsi="Arial"/>
          <w:sz w:val="14"/>
          <w:szCs w:val="14"/>
          <w:b w:val="1"/>
          <w:bCs w:val="1"/>
          <w:color w:val="auto"/>
        </w:rPr>
        <w:t xml:space="preserve">Level 3 </w:t>
      </w:r>
      <w:r>
        <w:rPr>
          <w:rFonts w:ascii="Arial" w:cs="Arial" w:eastAsia="Arial" w:hAnsi="Arial"/>
          <w:sz w:val="14"/>
          <w:szCs w:val="14"/>
          <w:color w:val="auto"/>
        </w:rPr>
        <w:t>- Valuation is based on unobservable inputs that are supported by little or no market activity and that are</w:t>
      </w:r>
      <w:r>
        <w:rPr>
          <w:rFonts w:ascii="Arial" w:cs="Arial" w:eastAsia="Arial" w:hAnsi="Arial"/>
          <w:sz w:val="14"/>
          <w:szCs w:val="14"/>
          <w:b w:val="1"/>
          <w:bCs w:val="1"/>
          <w:color w:val="auto"/>
        </w:rPr>
        <w:t xml:space="preserve"> </w:t>
      </w:r>
      <w:r>
        <w:rPr>
          <w:rFonts w:ascii="Arial" w:cs="Arial" w:eastAsia="Arial" w:hAnsi="Arial"/>
          <w:sz w:val="14"/>
          <w:szCs w:val="14"/>
          <w:color w:val="auto"/>
        </w:rPr>
        <w:t>significant to the fair value of the assets or liabilities. Level 3 assets and liabilities include financial instruments whose value is determined using pricing models, discounted cash flow methodologies, or similar techniques, as well as instruments for which determination of fair value requires significant management judgment or estimation.</w:t>
      </w:r>
    </w:p>
    <w:p>
      <w:pPr>
        <w:spacing w:after="0" w:line="139" w:lineRule="exact"/>
        <w:rPr>
          <w:sz w:val="20"/>
          <w:szCs w:val="20"/>
          <w:color w:val="auto"/>
        </w:rPr>
      </w:pPr>
    </w:p>
    <w:p>
      <w:pPr>
        <w:jc w:val="both"/>
        <w:ind w:left="640" w:right="699" w:firstLine="256"/>
        <w:spacing w:after="0" w:line="268"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w:t>
      </w:r>
    </w:p>
    <w:p>
      <w:pPr>
        <w:spacing w:after="0" w:line="113"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Items Measured at Fair Value on a Recurring Basis</w:t>
      </w:r>
    </w:p>
    <w:p>
      <w:pPr>
        <w:spacing w:after="0" w:line="170" w:lineRule="exact"/>
        <w:rPr>
          <w:sz w:val="20"/>
          <w:szCs w:val="20"/>
          <w:color w:val="auto"/>
        </w:rPr>
      </w:pPr>
    </w:p>
    <w:p>
      <w:pPr>
        <w:jc w:val="both"/>
        <w:ind w:left="640" w:right="699" w:firstLine="256"/>
        <w:spacing w:after="0" w:line="253" w:lineRule="auto"/>
        <w:rPr>
          <w:sz w:val="20"/>
          <w:szCs w:val="20"/>
          <w:color w:val="auto"/>
        </w:rPr>
      </w:pPr>
      <w:r>
        <w:rPr>
          <w:rFonts w:ascii="Arial" w:cs="Arial" w:eastAsia="Arial" w:hAnsi="Arial"/>
          <w:sz w:val="14"/>
          <w:szCs w:val="14"/>
          <w:b w:val="1"/>
          <w:bCs w:val="1"/>
          <w:color w:val="auto"/>
        </w:rPr>
        <w:t xml:space="preserve">Investment securities: </w:t>
      </w:r>
      <w:r>
        <w:rPr>
          <w:rFonts w:ascii="Arial" w:cs="Arial" w:eastAsia="Arial" w:hAnsi="Arial"/>
          <w:sz w:val="14"/>
          <w:szCs w:val="14"/>
          <w:color w:val="auto"/>
        </w:rPr>
        <w:t>When instruments are traded in secondary markets and quoted market prices do not exist for</w:t>
      </w:r>
      <w:r>
        <w:rPr>
          <w:rFonts w:ascii="Arial" w:cs="Arial" w:eastAsia="Arial" w:hAnsi="Arial"/>
          <w:sz w:val="14"/>
          <w:szCs w:val="14"/>
          <w:b w:val="1"/>
          <w:bCs w:val="1"/>
          <w:color w:val="auto"/>
        </w:rPr>
        <w:t xml:space="preserve"> </w:t>
      </w:r>
      <w:r>
        <w:rPr>
          <w:rFonts w:ascii="Arial" w:cs="Arial" w:eastAsia="Arial" w:hAnsi="Arial"/>
          <w:sz w:val="14"/>
          <w:szCs w:val="14"/>
          <w:color w:val="auto"/>
        </w:rPr>
        <w:t>such securities, management generally relies on prices obtained from independent vendors or third-party broker-dealers. Management reviews pricing methodologies provided by the vendors and third-party broker-dealers in order to determine if observable market information is being utilized. Securities measured with pricing provided by independent vendors or third-party broker-dealers are classified within Level 2 of the hierarchy and often involve using quoted market prices for similar securities, pricing models or discounted cash flow analyses utilizing inputs observable in the market where available.</w:t>
      </w:r>
    </w:p>
    <w:p>
      <w:pPr>
        <w:spacing w:after="0" w:line="123" w:lineRule="exact"/>
        <w:rPr>
          <w:sz w:val="20"/>
          <w:szCs w:val="20"/>
          <w:color w:val="auto"/>
        </w:rPr>
      </w:pPr>
    </w:p>
    <w:p>
      <w:pPr>
        <w:jc w:val="both"/>
        <w:ind w:left="640" w:right="719" w:firstLine="256"/>
        <w:spacing w:after="0" w:line="295" w:lineRule="auto"/>
        <w:rPr>
          <w:sz w:val="20"/>
          <w:szCs w:val="20"/>
          <w:color w:val="auto"/>
        </w:rPr>
      </w:pPr>
      <w:r>
        <w:rPr>
          <w:rFonts w:ascii="Arial" w:cs="Arial" w:eastAsia="Arial" w:hAnsi="Arial"/>
          <w:sz w:val="14"/>
          <w:szCs w:val="14"/>
          <w:b w:val="1"/>
          <w:bCs w:val="1"/>
          <w:color w:val="auto"/>
        </w:rPr>
        <w:t xml:space="preserve">Derivatives: </w:t>
      </w:r>
      <w:r>
        <w:rPr>
          <w:rFonts w:ascii="Arial" w:cs="Arial" w:eastAsia="Arial" w:hAnsi="Arial"/>
          <w:sz w:val="14"/>
          <w:szCs w:val="14"/>
          <w:color w:val="auto"/>
        </w:rPr>
        <w:t>The fair value of derivatives are measured with pricing provided by third-party participants and are</w:t>
      </w:r>
      <w:r>
        <w:rPr>
          <w:rFonts w:ascii="Arial" w:cs="Arial" w:eastAsia="Arial" w:hAnsi="Arial"/>
          <w:sz w:val="14"/>
          <w:szCs w:val="14"/>
          <w:b w:val="1"/>
          <w:bCs w:val="1"/>
          <w:color w:val="auto"/>
        </w:rPr>
        <w:t xml:space="preserve"> </w:t>
      </w:r>
      <w:r>
        <w:rPr>
          <w:rFonts w:ascii="Arial" w:cs="Arial" w:eastAsia="Arial" w:hAnsi="Arial"/>
          <w:sz w:val="14"/>
          <w:szCs w:val="14"/>
          <w:color w:val="auto"/>
        </w:rPr>
        <w:t>classified within Level 2 of the hierarchy.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40</w:t>
      </w:r>
      <w:r>
        <w:rPr>
          <w:sz w:val="20"/>
          <w:szCs w:val="20"/>
          <w:color w:val="auto"/>
        </w:rPr>
        <w:tab/>
      </w:r>
      <w:r>
        <w:rPr>
          <w:rFonts w:ascii="Arial" w:cs="Arial" w:eastAsia="Arial" w:hAnsi="Arial"/>
          <w:sz w:val="14"/>
          <w:szCs w:val="14"/>
          <w:color w:val="auto"/>
        </w:rPr>
        <w:t>USCB Financial Holdings, Inc.</w:t>
        <w:tab/>
        <w:t>2022 10-K/A</w:t>
      </w:r>
    </w:p>
    <w:p>
      <w:pPr>
        <w:sectPr>
          <w:pgSz w:w="11900" w:h="16838" w:orient="portrait"/>
          <w:cols w:equalWidth="0" w:num="1">
            <w:col w:w="9019"/>
          </w:cols>
          <w:pgMar w:left="1440" w:top="490" w:right="1440" w:bottom="1440" w:gutter="0" w:footer="0" w:header="0"/>
        </w:sectPr>
      </w:pPr>
    </w:p>
    <w:bookmarkStart w:id="40" w:name="page41"/>
    <w:bookmarkEnd w:id="40"/>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80" w:lineRule="exact"/>
        <w:rPr>
          <w:sz w:val="20"/>
          <w:szCs w:val="20"/>
          <w:color w:val="auto"/>
        </w:rPr>
      </w:pPr>
    </w:p>
    <w:p>
      <w:pPr>
        <w:jc w:val="both"/>
        <w:ind w:left="640" w:right="699" w:firstLine="256"/>
        <w:spacing w:after="0" w:line="252" w:lineRule="auto"/>
        <w:rPr>
          <w:sz w:val="20"/>
          <w:szCs w:val="20"/>
          <w:color w:val="auto"/>
        </w:rPr>
      </w:pPr>
      <w:r>
        <w:rPr>
          <w:rFonts w:ascii="Arial" w:cs="Arial" w:eastAsia="Arial" w:hAnsi="Arial"/>
          <w:sz w:val="14"/>
          <w:szCs w:val="14"/>
          <w:color w:val="auto"/>
        </w:rPr>
        <w:t>The following table represents the Company's assets measured at fair value on a recurring basis at December 31, 2022 and 2021 for each of the fair value hierarchy levels (in thousands):</w:t>
      </w:r>
    </w:p>
    <w:p>
      <w:pPr>
        <w:spacing w:after="0" w:line="160" w:lineRule="exact"/>
        <w:rPr>
          <w:sz w:val="20"/>
          <w:szCs w:val="20"/>
          <w:color w:val="auto"/>
        </w:rPr>
      </w:pPr>
    </w:p>
    <w:tbl>
      <w:tblPr>
        <w:tblLayout w:type="fixed"/>
        <w:tblInd w:w="620" w:type="dxa"/>
        <w:tblCellMar>
          <w:top w:w="0" w:type="dxa"/>
          <w:left w:w="0" w:type="dxa"/>
          <w:bottom w:w="0" w:type="dxa"/>
          <w:right w:w="0" w:type="dxa"/>
        </w:tblCellMar>
      </w:tblPr>
      <w:tr>
        <w:trPr>
          <w:trHeight w:val="153"/>
        </w:trPr>
        <w:tc>
          <w:tcPr>
            <w:tcW w:w="4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3"/>
          </w:tcPr>
          <w:p>
            <w:pPr>
              <w:jc w:val="right"/>
              <w:ind w:right="121"/>
              <w:spacing w:after="0"/>
              <w:rPr>
                <w:sz w:val="20"/>
                <w:szCs w:val="20"/>
                <w:color w:val="auto"/>
              </w:rPr>
            </w:pPr>
            <w:r>
              <w:rPr>
                <w:rFonts w:ascii="Arial" w:cs="Arial" w:eastAsia="Arial" w:hAnsi="Arial"/>
                <w:sz w:val="13"/>
                <w:szCs w:val="13"/>
                <w:b w:val="1"/>
                <w:bCs w:val="1"/>
                <w:color w:val="auto"/>
              </w:rPr>
              <w:t>2022</w:t>
            </w:r>
          </w:p>
        </w:tc>
        <w:tc>
          <w:tcPr>
            <w:tcW w:w="2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3"/>
          </w:tcPr>
          <w:p>
            <w:pPr>
              <w:jc w:val="right"/>
              <w:ind w:right="115"/>
              <w:spacing w:after="0"/>
              <w:rPr>
                <w:sz w:val="20"/>
                <w:szCs w:val="20"/>
                <w:color w:val="auto"/>
              </w:rPr>
            </w:pPr>
            <w:r>
              <w:rPr>
                <w:rFonts w:ascii="Arial" w:cs="Arial" w:eastAsia="Arial" w:hAnsi="Arial"/>
                <w:sz w:val="13"/>
                <w:szCs w:val="13"/>
                <w:b w:val="1"/>
                <w:bCs w:val="1"/>
                <w:color w:val="auto"/>
              </w:rPr>
              <w:t>2021</w:t>
            </w:r>
          </w:p>
        </w:tc>
        <w:tc>
          <w:tcPr>
            <w:tcW w:w="2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3"/>
          </w:tcPr>
          <w:p>
            <w:pPr>
              <w:jc w:val="right"/>
              <w:ind w:right="132"/>
              <w:spacing w:after="0"/>
              <w:rPr>
                <w:sz w:val="20"/>
                <w:szCs w:val="20"/>
                <w:color w:val="auto"/>
              </w:rPr>
            </w:pPr>
            <w:r>
              <w:rPr>
                <w:rFonts w:ascii="Arial" w:cs="Arial" w:eastAsia="Arial" w:hAnsi="Arial"/>
                <w:sz w:val="13"/>
                <w:szCs w:val="13"/>
                <w:b w:val="1"/>
                <w:bCs w:val="1"/>
                <w:color w:val="auto"/>
                <w:w w:val="90"/>
              </w:rPr>
              <w:t>Level 1</w:t>
            </w:r>
          </w:p>
        </w:tc>
        <w:tc>
          <w:tcPr>
            <w:tcW w:w="640" w:type="dxa"/>
            <w:vAlign w:val="bottom"/>
          </w:tcPr>
          <w:p>
            <w:pPr>
              <w:jc w:val="right"/>
              <w:ind w:right="116"/>
              <w:spacing w:after="0"/>
              <w:rPr>
                <w:sz w:val="20"/>
                <w:szCs w:val="20"/>
                <w:color w:val="auto"/>
              </w:rPr>
            </w:pPr>
            <w:r>
              <w:rPr>
                <w:rFonts w:ascii="Arial" w:cs="Arial" w:eastAsia="Arial" w:hAnsi="Arial"/>
                <w:sz w:val="13"/>
                <w:szCs w:val="13"/>
                <w:b w:val="1"/>
                <w:bCs w:val="1"/>
                <w:color w:val="auto"/>
                <w:w w:val="99"/>
              </w:rPr>
              <w:t>Level 2</w:t>
            </w:r>
          </w:p>
        </w:tc>
        <w:tc>
          <w:tcPr>
            <w:tcW w:w="40" w:type="dxa"/>
            <w:vAlign w:val="bottom"/>
          </w:tcPr>
          <w:p>
            <w:pPr>
              <w:spacing w:after="0"/>
              <w:rPr>
                <w:sz w:val="14"/>
                <w:szCs w:val="14"/>
                <w:color w:val="auto"/>
              </w:rPr>
            </w:pPr>
          </w:p>
        </w:tc>
        <w:tc>
          <w:tcPr>
            <w:tcW w:w="640" w:type="dxa"/>
            <w:vAlign w:val="bottom"/>
            <w:gridSpan w:val="4"/>
          </w:tcPr>
          <w:p>
            <w:pPr>
              <w:jc w:val="right"/>
              <w:ind w:right="200"/>
              <w:spacing w:after="0"/>
              <w:rPr>
                <w:sz w:val="20"/>
                <w:szCs w:val="20"/>
                <w:color w:val="auto"/>
              </w:rPr>
            </w:pPr>
            <w:r>
              <w:rPr>
                <w:rFonts w:ascii="Arial" w:cs="Arial" w:eastAsia="Arial" w:hAnsi="Arial"/>
                <w:sz w:val="13"/>
                <w:szCs w:val="13"/>
                <w:b w:val="1"/>
                <w:bCs w:val="1"/>
                <w:color w:val="auto"/>
                <w:w w:val="95"/>
              </w:rPr>
              <w:t>Level 3</w:t>
            </w:r>
          </w:p>
        </w:tc>
        <w:tc>
          <w:tcPr>
            <w:tcW w:w="620" w:type="dxa"/>
            <w:vAlign w:val="bottom"/>
          </w:tcPr>
          <w:p>
            <w:pPr>
              <w:jc w:val="right"/>
              <w:ind w:right="196"/>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4"/>
                <w:szCs w:val="14"/>
                <w:color w:val="auto"/>
              </w:rPr>
            </w:pPr>
          </w:p>
        </w:tc>
        <w:tc>
          <w:tcPr>
            <w:tcW w:w="520" w:type="dxa"/>
            <w:vAlign w:val="bottom"/>
            <w:gridSpan w:val="2"/>
          </w:tcPr>
          <w:p>
            <w:pPr>
              <w:jc w:val="right"/>
              <w:ind w:right="16"/>
              <w:spacing w:after="0"/>
              <w:rPr>
                <w:sz w:val="20"/>
                <w:szCs w:val="20"/>
                <w:color w:val="auto"/>
              </w:rPr>
            </w:pPr>
            <w:r>
              <w:rPr>
                <w:rFonts w:ascii="Arial" w:cs="Arial" w:eastAsia="Arial" w:hAnsi="Arial"/>
                <w:sz w:val="13"/>
                <w:szCs w:val="13"/>
                <w:b w:val="1"/>
                <w:bCs w:val="1"/>
                <w:color w:val="auto"/>
                <w:w w:val="95"/>
              </w:rPr>
              <w:t>Level 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right"/>
              <w:ind w:right="116"/>
              <w:spacing w:after="0"/>
              <w:rPr>
                <w:sz w:val="20"/>
                <w:szCs w:val="20"/>
                <w:color w:val="auto"/>
              </w:rPr>
            </w:pPr>
            <w:r>
              <w:rPr>
                <w:rFonts w:ascii="Arial" w:cs="Arial" w:eastAsia="Arial" w:hAnsi="Arial"/>
                <w:sz w:val="13"/>
                <w:szCs w:val="13"/>
                <w:b w:val="1"/>
                <w:bCs w:val="1"/>
                <w:color w:val="auto"/>
                <w:w w:val="99"/>
              </w:rPr>
              <w:t>Level 2</w:t>
            </w:r>
          </w:p>
        </w:tc>
        <w:tc>
          <w:tcPr>
            <w:tcW w:w="40" w:type="dxa"/>
            <w:vAlign w:val="bottom"/>
          </w:tcPr>
          <w:p>
            <w:pPr>
              <w:spacing w:after="0"/>
              <w:rPr>
                <w:sz w:val="14"/>
                <w:szCs w:val="14"/>
                <w:color w:val="auto"/>
              </w:rPr>
            </w:pPr>
          </w:p>
        </w:tc>
        <w:tc>
          <w:tcPr>
            <w:tcW w:w="520" w:type="dxa"/>
            <w:vAlign w:val="bottom"/>
            <w:gridSpan w:val="2"/>
          </w:tcPr>
          <w:p>
            <w:pPr>
              <w:jc w:val="right"/>
              <w:ind w:right="16"/>
              <w:spacing w:after="0"/>
              <w:rPr>
                <w:sz w:val="20"/>
                <w:szCs w:val="20"/>
                <w:color w:val="auto"/>
              </w:rPr>
            </w:pPr>
            <w:r>
              <w:rPr>
                <w:rFonts w:ascii="Arial" w:cs="Arial" w:eastAsia="Arial" w:hAnsi="Arial"/>
                <w:sz w:val="13"/>
                <w:szCs w:val="13"/>
                <w:b w:val="1"/>
                <w:bCs w:val="1"/>
                <w:color w:val="auto"/>
                <w:w w:val="95"/>
              </w:rPr>
              <w:t>Level 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96"/>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Investment securities available for sale:</w:t>
            </w:r>
          </w:p>
        </w:tc>
        <w:tc>
          <w:tcPr>
            <w:tcW w:w="100" w:type="dxa"/>
            <w:vAlign w:val="bottom"/>
            <w:tcBorders>
              <w:top w:val="single" w:sz="8" w:color="CCEEFF"/>
              <w:right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right w:val="single" w:sz="8" w:color="CCEEFF"/>
            </w:tcBorders>
            <w:shd w:val="clear" w:color="auto" w:fill="CCEEFF"/>
          </w:tcPr>
          <w:p>
            <w:pPr>
              <w:spacing w:after="0"/>
              <w:rPr>
                <w:sz w:val="13"/>
                <w:szCs w:val="13"/>
                <w:color w:val="auto"/>
              </w:rPr>
            </w:pPr>
          </w:p>
        </w:tc>
        <w:tc>
          <w:tcPr>
            <w:tcW w:w="100" w:type="dxa"/>
            <w:vAlign w:val="bottom"/>
            <w:tcBorders>
              <w:top w:val="single" w:sz="8" w:color="CCEEFF"/>
              <w:right w:val="single" w:sz="8" w:color="CCEEFF"/>
            </w:tcBorders>
            <w:shd w:val="clear" w:color="auto" w:fill="CCEEFF"/>
          </w:tcPr>
          <w:p>
            <w:pPr>
              <w:spacing w:after="0"/>
              <w:rPr>
                <w:sz w:val="13"/>
                <w:szCs w:val="13"/>
                <w:color w:val="auto"/>
              </w:rPr>
            </w:pPr>
          </w:p>
        </w:tc>
        <w:tc>
          <w:tcPr>
            <w:tcW w:w="640" w:type="dxa"/>
            <w:vAlign w:val="bottom"/>
            <w:tcBorders>
              <w:top w:val="single" w:sz="8" w:color="auto"/>
              <w:right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right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right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right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right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460" w:type="dxa"/>
            <w:vAlign w:val="bottom"/>
          </w:tcPr>
          <w:p>
            <w:pPr>
              <w:ind w:left="60"/>
              <w:spacing w:after="0"/>
              <w:rPr>
                <w:sz w:val="20"/>
                <w:szCs w:val="20"/>
                <w:color w:val="auto"/>
              </w:rPr>
            </w:pPr>
            <w:r>
              <w:rPr>
                <w:rFonts w:ascii="Arial" w:cs="Arial" w:eastAsia="Arial" w:hAnsi="Arial"/>
                <w:sz w:val="13"/>
                <w:szCs w:val="13"/>
                <w:color w:val="auto"/>
              </w:rPr>
              <w:t>U.S. Government Agency</w:t>
            </w:r>
          </w:p>
        </w:tc>
        <w:tc>
          <w:tcPr>
            <w:tcW w:w="300" w:type="dxa"/>
            <w:vAlign w:val="bottom"/>
            <w:gridSpan w:val="2"/>
          </w:tcPr>
          <w:p>
            <w:pPr>
              <w:jc w:val="right"/>
              <w:ind w:right="116"/>
              <w:spacing w:after="0"/>
              <w:rPr>
                <w:sz w:val="20"/>
                <w:szCs w:val="20"/>
                <w:color w:val="auto"/>
              </w:rPr>
            </w:pPr>
            <w:r>
              <w:rPr>
                <w:rFonts w:ascii="Arial" w:cs="Arial" w:eastAsia="Arial" w:hAnsi="Arial"/>
                <w:sz w:val="13"/>
                <w:szCs w:val="13"/>
                <w:color w:val="auto"/>
              </w:rPr>
              <w:t>$</w:t>
            </w:r>
          </w:p>
        </w:tc>
        <w:tc>
          <w:tcPr>
            <w:tcW w:w="400" w:type="dxa"/>
            <w:vAlign w:val="bottom"/>
            <w:gridSpan w:val="2"/>
          </w:tcPr>
          <w:p>
            <w:pPr>
              <w:ind w:left="180"/>
              <w:spacing w:after="0"/>
              <w:rPr>
                <w:sz w:val="20"/>
                <w:szCs w:val="20"/>
                <w:color w:val="auto"/>
              </w:rPr>
            </w:pPr>
            <w:r>
              <w:rPr>
                <w:rFonts w:ascii="Arial" w:cs="Arial" w:eastAsia="Arial" w:hAnsi="Arial"/>
                <w:sz w:val="13"/>
                <w:szCs w:val="13"/>
                <w:color w:val="auto"/>
              </w:rPr>
              <w:t>- $</w:t>
            </w:r>
          </w:p>
        </w:tc>
        <w:tc>
          <w:tcPr>
            <w:tcW w:w="640" w:type="dxa"/>
            <w:vAlign w:val="bottom"/>
          </w:tcPr>
          <w:p>
            <w:pPr>
              <w:jc w:val="right"/>
              <w:ind w:right="16"/>
              <w:spacing w:after="0"/>
              <w:rPr>
                <w:sz w:val="20"/>
                <w:szCs w:val="20"/>
                <w:color w:val="auto"/>
              </w:rPr>
            </w:pPr>
            <w:r>
              <w:rPr>
                <w:rFonts w:ascii="Arial" w:cs="Arial" w:eastAsia="Arial" w:hAnsi="Arial"/>
                <w:sz w:val="13"/>
                <w:szCs w:val="13"/>
                <w:color w:val="auto"/>
              </w:rPr>
              <w:t>8,655</w:t>
            </w:r>
          </w:p>
        </w:tc>
        <w:tc>
          <w:tcPr>
            <w:tcW w:w="280" w:type="dxa"/>
            <w:vAlign w:val="bottom"/>
            <w:gridSpan w:val="2"/>
          </w:tcPr>
          <w:p>
            <w:pPr>
              <w:jc w:val="right"/>
              <w:ind w:right="161"/>
              <w:spacing w:after="0"/>
              <w:rPr>
                <w:sz w:val="20"/>
                <w:szCs w:val="20"/>
                <w:color w:val="auto"/>
              </w:rPr>
            </w:pPr>
            <w:r>
              <w:rPr>
                <w:rFonts w:ascii="Arial" w:cs="Arial" w:eastAsia="Arial" w:hAnsi="Arial"/>
                <w:sz w:val="13"/>
                <w:szCs w:val="13"/>
                <w:color w:val="auto"/>
                <w:w w:val="82"/>
              </w:rPr>
              <w:t>$</w:t>
            </w:r>
          </w:p>
        </w:tc>
        <w:tc>
          <w:tcPr>
            <w:tcW w:w="400" w:type="dxa"/>
            <w:vAlign w:val="bottom"/>
            <w:gridSpan w:val="3"/>
          </w:tcPr>
          <w:p>
            <w:pPr>
              <w:ind w:left="160"/>
              <w:spacing w:after="0"/>
              <w:rPr>
                <w:sz w:val="20"/>
                <w:szCs w:val="20"/>
                <w:color w:val="auto"/>
              </w:rPr>
            </w:pPr>
            <w:r>
              <w:rPr>
                <w:rFonts w:ascii="Arial" w:cs="Arial" w:eastAsia="Arial" w:hAnsi="Arial"/>
                <w:sz w:val="13"/>
                <w:szCs w:val="13"/>
                <w:color w:val="auto"/>
              </w:rPr>
              <w:t>- $</w:t>
            </w: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8,655</w:t>
            </w:r>
          </w:p>
        </w:tc>
        <w:tc>
          <w:tcPr>
            <w:tcW w:w="240" w:type="dxa"/>
            <w:vAlign w:val="bottom"/>
            <w:gridSpan w:val="2"/>
          </w:tcPr>
          <w:p>
            <w:pPr>
              <w:jc w:val="right"/>
              <w:ind w:right="116"/>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00" w:type="dxa"/>
            <w:vAlign w:val="bottom"/>
            <w:gridSpan w:val="2"/>
          </w:tcPr>
          <w:p>
            <w:pPr>
              <w:jc w:val="right"/>
              <w:ind w:right="35"/>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10,520</w:t>
            </w:r>
          </w:p>
        </w:tc>
        <w:tc>
          <w:tcPr>
            <w:tcW w:w="280" w:type="dxa"/>
            <w:vAlign w:val="bottom"/>
            <w:gridSpan w:val="2"/>
          </w:tcPr>
          <w:p>
            <w:pPr>
              <w:jc w:val="right"/>
              <w:ind w:right="155"/>
              <w:spacing w:after="0"/>
              <w:rPr>
                <w:sz w:val="20"/>
                <w:szCs w:val="20"/>
                <w:color w:val="auto"/>
              </w:rPr>
            </w:pPr>
            <w:r>
              <w:rPr>
                <w:rFonts w:ascii="Arial" w:cs="Arial" w:eastAsia="Arial" w:hAnsi="Arial"/>
                <w:sz w:val="13"/>
                <w:szCs w:val="13"/>
                <w:color w:val="auto"/>
                <w:w w:val="82"/>
              </w:rPr>
              <w:t>$</w:t>
            </w:r>
          </w:p>
        </w:tc>
        <w:tc>
          <w:tcPr>
            <w:tcW w:w="2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20" w:type="dxa"/>
            <w:vAlign w:val="bottom"/>
            <w:gridSpan w:val="2"/>
          </w:tcPr>
          <w:p>
            <w:pPr>
              <w:jc w:val="right"/>
              <w:ind w:right="6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10,520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4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Collateralized mortgage obligations</w:t>
            </w:r>
          </w:p>
        </w:tc>
        <w:tc>
          <w:tcPr>
            <w:tcW w:w="10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CCEEFF"/>
            </w:tcBorders>
            <w:shd w:val="clear" w:color="auto" w:fill="CCEEFF"/>
          </w:tcPr>
          <w:p>
            <w:pPr>
              <w:spacing w:after="0"/>
              <w:rPr>
                <w:sz w:val="14"/>
                <w:szCs w:val="14"/>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95,541</w:t>
            </w:r>
          </w:p>
        </w:tc>
        <w:tc>
          <w:tcPr>
            <w:tcW w:w="4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95,541</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156,829</w:t>
            </w:r>
          </w:p>
        </w:tc>
        <w:tc>
          <w:tcPr>
            <w:tcW w:w="4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156,829</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460" w:type="dxa"/>
            <w:vAlign w:val="bottom"/>
          </w:tcPr>
          <w:p>
            <w:pPr>
              <w:ind w:left="60"/>
              <w:spacing w:after="0"/>
              <w:rPr>
                <w:sz w:val="20"/>
                <w:szCs w:val="20"/>
                <w:color w:val="auto"/>
              </w:rPr>
            </w:pPr>
            <w:r>
              <w:rPr>
                <w:rFonts w:ascii="Arial" w:cs="Arial" w:eastAsia="Arial" w:hAnsi="Arial"/>
                <w:sz w:val="13"/>
                <w:szCs w:val="13"/>
                <w:color w:val="auto"/>
              </w:rPr>
              <w:t>Mortgage-backed securities - Residential</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ind w:lef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60,879</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ind w:lef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60,879</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118,842</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118,842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460" w:type="dxa"/>
            <w:vAlign w:val="bottom"/>
            <w:shd w:val="clear" w:color="auto" w:fill="CCEEFF"/>
          </w:tcPr>
          <w:p>
            <w:pPr>
              <w:ind w:left="100"/>
              <w:spacing w:after="0"/>
              <w:rPr>
                <w:sz w:val="20"/>
                <w:szCs w:val="20"/>
                <w:color w:val="auto"/>
              </w:rPr>
            </w:pPr>
            <w:r>
              <w:rPr>
                <w:rFonts w:ascii="Arial" w:cs="Arial" w:eastAsia="Arial" w:hAnsi="Arial"/>
                <w:sz w:val="13"/>
                <w:szCs w:val="13"/>
                <w:color w:val="auto"/>
                <w:w w:val="97"/>
              </w:rPr>
              <w:t>Mortgage-backed securities - Commercial</w:t>
            </w:r>
          </w:p>
        </w:tc>
        <w:tc>
          <w:tcPr>
            <w:tcW w:w="10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CCEEFF"/>
            </w:tcBorders>
            <w:shd w:val="clear" w:color="auto" w:fill="CCEEFF"/>
          </w:tcPr>
          <w:p>
            <w:pPr>
              <w:spacing w:after="0"/>
              <w:rPr>
                <w:sz w:val="14"/>
                <w:szCs w:val="14"/>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27,954</w:t>
            </w:r>
          </w:p>
        </w:tc>
        <w:tc>
          <w:tcPr>
            <w:tcW w:w="4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27,954</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50,117</w:t>
            </w:r>
          </w:p>
        </w:tc>
        <w:tc>
          <w:tcPr>
            <w:tcW w:w="4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50,117</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460" w:type="dxa"/>
            <w:vAlign w:val="bottom"/>
          </w:tcPr>
          <w:p>
            <w:pPr>
              <w:ind w:left="60"/>
              <w:spacing w:after="0"/>
              <w:rPr>
                <w:sz w:val="20"/>
                <w:szCs w:val="20"/>
                <w:color w:val="auto"/>
              </w:rPr>
            </w:pPr>
            <w:r>
              <w:rPr>
                <w:rFonts w:ascii="Arial" w:cs="Arial" w:eastAsia="Arial" w:hAnsi="Arial"/>
                <w:sz w:val="13"/>
                <w:szCs w:val="13"/>
                <w:color w:val="auto"/>
              </w:rPr>
              <w:t>Municipal securities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ind w:lef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18,483</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ind w:lef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18,483</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24,276</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6"/>
              <w:spacing w:after="0"/>
              <w:rPr>
                <w:sz w:val="20"/>
                <w:szCs w:val="20"/>
                <w:color w:val="auto"/>
              </w:rPr>
            </w:pPr>
            <w:r>
              <w:rPr>
                <w:rFonts w:ascii="Arial" w:cs="Arial" w:eastAsia="Arial" w:hAnsi="Arial"/>
                <w:sz w:val="13"/>
                <w:szCs w:val="13"/>
                <w:color w:val="auto"/>
              </w:rPr>
              <w:t>24,276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4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Bank subordinated debt securities</w:t>
            </w:r>
          </w:p>
        </w:tc>
        <w:tc>
          <w:tcPr>
            <w:tcW w:w="10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CCEEFF"/>
            </w:tcBorders>
            <w:shd w:val="clear" w:color="auto" w:fill="CCEEFF"/>
          </w:tcPr>
          <w:p>
            <w:pPr>
              <w:spacing w:after="0"/>
              <w:rPr>
                <w:sz w:val="14"/>
                <w:szCs w:val="14"/>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14,919</w:t>
            </w:r>
          </w:p>
        </w:tc>
        <w:tc>
          <w:tcPr>
            <w:tcW w:w="4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14,919</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28,408</w:t>
            </w:r>
          </w:p>
        </w:tc>
        <w:tc>
          <w:tcPr>
            <w:tcW w:w="4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28,408</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460" w:type="dxa"/>
            <w:vAlign w:val="bottom"/>
            <w:tcBorders>
              <w:bottom w:val="single" w:sz="8" w:color="CCEEFF"/>
            </w:tcBorders>
          </w:tcPr>
          <w:p>
            <w:pPr>
              <w:ind w:left="60"/>
              <w:spacing w:after="0"/>
              <w:rPr>
                <w:sz w:val="20"/>
                <w:szCs w:val="20"/>
                <w:color w:val="auto"/>
              </w:rPr>
            </w:pPr>
            <w:r>
              <w:rPr>
                <w:rFonts w:ascii="Arial" w:cs="Arial" w:eastAsia="Arial" w:hAnsi="Arial"/>
                <w:sz w:val="13"/>
                <w:szCs w:val="13"/>
                <w:color w:val="auto"/>
              </w:rPr>
              <w:t>Corporate bonds</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ind w:lef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3,709</w:t>
            </w:r>
          </w:p>
        </w:tc>
        <w:tc>
          <w:tcPr>
            <w:tcW w:w="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ind w:left="16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3,709</w:t>
            </w: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12,550</w:t>
            </w:r>
          </w:p>
        </w:tc>
        <w:tc>
          <w:tcPr>
            <w:tcW w:w="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12,550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3"/>
                <w:szCs w:val="13"/>
                <w:color w:val="auto"/>
              </w:rPr>
              <w:t>Total</w:t>
            </w:r>
          </w:p>
        </w:tc>
        <w:tc>
          <w:tcPr>
            <w:tcW w:w="10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CCEEFF"/>
            </w:tcBorders>
            <w:shd w:val="clear" w:color="auto" w:fill="CCEEFF"/>
          </w:tcPr>
          <w:p>
            <w:pPr>
              <w:spacing w:after="0"/>
              <w:rPr>
                <w:sz w:val="13"/>
                <w:szCs w:val="13"/>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230,140</w:t>
            </w:r>
          </w:p>
        </w:tc>
        <w:tc>
          <w:tcPr>
            <w:tcW w:w="40" w:type="dxa"/>
            <w:vAlign w:val="bottom"/>
            <w:tcBorders>
              <w:righ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230,140</w:t>
            </w: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0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401,542</w:t>
            </w:r>
          </w:p>
        </w:tc>
        <w:tc>
          <w:tcPr>
            <w:tcW w:w="40" w:type="dxa"/>
            <w:vAlign w:val="bottom"/>
            <w:tcBorders>
              <w:righ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8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shd w:val="clear" w:color="auto" w:fill="CCEEFF"/>
              </w:rPr>
              <w:t>401,542</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500" w:type="dxa"/>
            <w:vAlign w:val="bottom"/>
            <w:gridSpan w:val="2"/>
          </w:tcPr>
          <w:p>
            <w:pPr>
              <w:spacing w:after="0"/>
              <w:rPr>
                <w:sz w:val="20"/>
                <w:szCs w:val="20"/>
                <w:color w:val="auto"/>
              </w:rPr>
            </w:pPr>
            <w:r>
              <w:rPr>
                <w:rFonts w:ascii="Arial" w:cs="Arial" w:eastAsia="Arial" w:hAnsi="Arial"/>
                <w:sz w:val="13"/>
                <w:szCs w:val="13"/>
                <w:color w:val="auto"/>
              </w:rPr>
              <w:t>Derivative assets</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ind w:lef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5,011</w:t>
            </w:r>
          </w:p>
        </w:tc>
        <w:tc>
          <w:tcPr>
            <w:tcW w:w="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ind w:lef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5,011</w:t>
            </w: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1,434</w:t>
            </w:r>
          </w:p>
        </w:tc>
        <w:tc>
          <w:tcPr>
            <w:tcW w:w="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1,434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assets at fair value</w:t>
            </w:r>
          </w:p>
        </w:tc>
        <w:tc>
          <w:tcPr>
            <w:tcW w:w="300" w:type="dxa"/>
            <w:vAlign w:val="bottom"/>
            <w:gridSpan w:val="2"/>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3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235,151</w:t>
            </w:r>
          </w:p>
        </w:tc>
        <w:tc>
          <w:tcPr>
            <w:tcW w:w="4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jc w:val="right"/>
              <w:ind w:right="161"/>
              <w:spacing w:after="0"/>
              <w:rPr>
                <w:sz w:val="20"/>
                <w:szCs w:val="20"/>
                <w:color w:val="auto"/>
              </w:rPr>
            </w:pPr>
            <w:r>
              <w:rPr>
                <w:rFonts w:ascii="Arial" w:cs="Arial" w:eastAsia="Arial" w:hAnsi="Arial"/>
                <w:sz w:val="5"/>
                <w:szCs w:val="5"/>
                <w:color w:val="auto"/>
                <w:w w:val="70"/>
              </w:rPr>
              <w:t>$</w:t>
            </w:r>
          </w:p>
        </w:tc>
        <w:tc>
          <w:tcPr>
            <w:tcW w:w="2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1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w w:val="71"/>
              </w:rPr>
              <w:t>$</w:t>
            </w:r>
          </w:p>
        </w:tc>
        <w:tc>
          <w:tcPr>
            <w:tcW w:w="62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235,151</w:t>
            </w:r>
          </w:p>
        </w:tc>
        <w:tc>
          <w:tcPr>
            <w:tcW w:w="240" w:type="dxa"/>
            <w:vAlign w:val="bottom"/>
            <w:gridSpan w:val="2"/>
            <w:shd w:val="clear" w:color="auto" w:fill="CCEEFF"/>
          </w:tcPr>
          <w:p>
            <w:pPr>
              <w:jc w:val="right"/>
              <w:ind w:right="116"/>
              <w:spacing w:after="0"/>
              <w:rPr>
                <w:sz w:val="20"/>
                <w:szCs w:val="20"/>
                <w:color w:val="auto"/>
              </w:rPr>
            </w:pPr>
            <w:r>
              <w:rPr>
                <w:rFonts w:ascii="Arial" w:cs="Arial" w:eastAsia="Arial" w:hAnsi="Arial"/>
                <w:sz w:val="10"/>
                <w:szCs w:val="10"/>
                <w:color w:val="auto"/>
                <w:w w:val="71"/>
              </w:rPr>
              <w:t>$</w:t>
            </w:r>
          </w:p>
        </w:tc>
        <w:tc>
          <w:tcPr>
            <w:tcW w:w="30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4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jc w:val="right"/>
              <w:ind w:right="35"/>
              <w:spacing w:after="0"/>
              <w:rPr>
                <w:sz w:val="20"/>
                <w:szCs w:val="20"/>
                <w:color w:val="auto"/>
              </w:rPr>
            </w:pPr>
            <w:r>
              <w:rPr>
                <w:rFonts w:ascii="Arial" w:cs="Arial" w:eastAsia="Arial" w:hAnsi="Arial"/>
                <w:sz w:val="1"/>
                <w:szCs w:val="1"/>
                <w:color w:val="auto"/>
                <w:w w:val="4294967288"/>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402,976</w:t>
            </w:r>
          </w:p>
        </w:tc>
        <w:tc>
          <w:tcPr>
            <w:tcW w:w="4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jc w:val="right"/>
              <w:ind w:right="155"/>
              <w:spacing w:after="0"/>
              <w:rPr>
                <w:sz w:val="20"/>
                <w:szCs w:val="20"/>
                <w:color w:val="auto"/>
              </w:rPr>
            </w:pPr>
            <w:r>
              <w:rPr>
                <w:rFonts w:ascii="Arial" w:cs="Arial" w:eastAsia="Arial" w:hAnsi="Arial"/>
                <w:sz w:val="5"/>
                <w:szCs w:val="5"/>
                <w:color w:val="auto"/>
                <w:w w:val="70"/>
              </w:rPr>
              <w:t>$</w:t>
            </w:r>
          </w:p>
        </w:tc>
        <w:tc>
          <w:tcPr>
            <w:tcW w:w="28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402,976</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2500" w:type="dxa"/>
            <w:vAlign w:val="bottom"/>
            <w:gridSpan w:val="2"/>
          </w:tcPr>
          <w:p>
            <w:pPr>
              <w:spacing w:after="0" w:line="121" w:lineRule="exact"/>
              <w:rPr>
                <w:sz w:val="20"/>
                <w:szCs w:val="20"/>
                <w:color w:val="auto"/>
              </w:rPr>
            </w:pPr>
            <w:r>
              <w:rPr>
                <w:rFonts w:ascii="Arial" w:cs="Arial" w:eastAsia="Arial" w:hAnsi="Arial"/>
                <w:sz w:val="13"/>
                <w:szCs w:val="13"/>
                <w:color w:val="auto"/>
              </w:rPr>
              <w:t>Derivative liabilities</w:t>
            </w:r>
          </w:p>
        </w:tc>
        <w:tc>
          <w:tcPr>
            <w:tcW w:w="300" w:type="dxa"/>
            <w:vAlign w:val="bottom"/>
            <w:gridSpan w:val="2"/>
          </w:tcPr>
          <w:p>
            <w:pPr>
              <w:jc w:val="right"/>
              <w:ind w:right="116"/>
              <w:spacing w:after="0" w:line="121" w:lineRule="exact"/>
              <w:rPr>
                <w:sz w:val="20"/>
                <w:szCs w:val="20"/>
                <w:color w:val="auto"/>
              </w:rPr>
            </w:pPr>
            <w:r>
              <w:rPr>
                <w:rFonts w:ascii="Arial" w:cs="Arial" w:eastAsia="Arial" w:hAnsi="Arial"/>
                <w:sz w:val="13"/>
                <w:szCs w:val="13"/>
                <w:color w:val="auto"/>
              </w:rPr>
              <w:t>$</w:t>
            </w:r>
          </w:p>
        </w:tc>
        <w:tc>
          <w:tcPr>
            <w:tcW w:w="400" w:type="dxa"/>
            <w:vAlign w:val="bottom"/>
            <w:gridSpan w:val="2"/>
          </w:tcPr>
          <w:p>
            <w:pPr>
              <w:ind w:left="180"/>
              <w:spacing w:after="0" w:line="121" w:lineRule="exact"/>
              <w:rPr>
                <w:sz w:val="20"/>
                <w:szCs w:val="20"/>
                <w:color w:val="auto"/>
              </w:rPr>
            </w:pPr>
            <w:r>
              <w:rPr>
                <w:rFonts w:ascii="Arial" w:cs="Arial" w:eastAsia="Arial" w:hAnsi="Arial"/>
                <w:sz w:val="13"/>
                <w:szCs w:val="13"/>
                <w:color w:val="auto"/>
              </w:rPr>
              <w:t>- $</w:t>
            </w:r>
          </w:p>
        </w:tc>
        <w:tc>
          <w:tcPr>
            <w:tcW w:w="640" w:type="dxa"/>
            <w:vAlign w:val="bottom"/>
          </w:tcPr>
          <w:p>
            <w:pPr>
              <w:jc w:val="right"/>
              <w:ind w:right="16"/>
              <w:spacing w:after="0" w:line="121" w:lineRule="exact"/>
              <w:rPr>
                <w:sz w:val="20"/>
                <w:szCs w:val="20"/>
                <w:color w:val="auto"/>
              </w:rPr>
            </w:pPr>
            <w:r>
              <w:rPr>
                <w:rFonts w:ascii="Arial" w:cs="Arial" w:eastAsia="Arial" w:hAnsi="Arial"/>
                <w:sz w:val="13"/>
                <w:szCs w:val="13"/>
                <w:color w:val="auto"/>
              </w:rPr>
              <w:t>5,011</w:t>
            </w:r>
          </w:p>
        </w:tc>
        <w:tc>
          <w:tcPr>
            <w:tcW w:w="280" w:type="dxa"/>
            <w:vAlign w:val="bottom"/>
            <w:gridSpan w:val="2"/>
          </w:tcPr>
          <w:p>
            <w:pPr>
              <w:jc w:val="right"/>
              <w:ind w:right="161"/>
              <w:spacing w:after="0" w:line="121" w:lineRule="exact"/>
              <w:rPr>
                <w:sz w:val="20"/>
                <w:szCs w:val="20"/>
                <w:color w:val="auto"/>
              </w:rPr>
            </w:pPr>
            <w:r>
              <w:rPr>
                <w:rFonts w:ascii="Arial" w:cs="Arial" w:eastAsia="Arial" w:hAnsi="Arial"/>
                <w:sz w:val="13"/>
                <w:szCs w:val="13"/>
                <w:color w:val="auto"/>
                <w:w w:val="82"/>
              </w:rPr>
              <w:t>$</w:t>
            </w:r>
          </w:p>
        </w:tc>
        <w:tc>
          <w:tcPr>
            <w:tcW w:w="400" w:type="dxa"/>
            <w:vAlign w:val="bottom"/>
            <w:gridSpan w:val="3"/>
          </w:tcPr>
          <w:p>
            <w:pPr>
              <w:ind w:left="160"/>
              <w:spacing w:after="0" w:line="121" w:lineRule="exact"/>
              <w:rPr>
                <w:sz w:val="20"/>
                <w:szCs w:val="20"/>
                <w:color w:val="auto"/>
              </w:rPr>
            </w:pPr>
            <w:r>
              <w:rPr>
                <w:rFonts w:ascii="Arial" w:cs="Arial" w:eastAsia="Arial" w:hAnsi="Arial"/>
                <w:sz w:val="13"/>
                <w:szCs w:val="13"/>
                <w:color w:val="auto"/>
              </w:rPr>
              <w:t>- $</w:t>
            </w:r>
          </w:p>
        </w:tc>
        <w:tc>
          <w:tcPr>
            <w:tcW w:w="620" w:type="dxa"/>
            <w:vAlign w:val="bottom"/>
          </w:tcPr>
          <w:p>
            <w:pPr>
              <w:jc w:val="right"/>
              <w:ind w:right="16"/>
              <w:spacing w:after="0" w:line="121" w:lineRule="exact"/>
              <w:rPr>
                <w:sz w:val="20"/>
                <w:szCs w:val="20"/>
                <w:color w:val="auto"/>
              </w:rPr>
            </w:pPr>
            <w:r>
              <w:rPr>
                <w:rFonts w:ascii="Arial" w:cs="Arial" w:eastAsia="Arial" w:hAnsi="Arial"/>
                <w:sz w:val="13"/>
                <w:szCs w:val="13"/>
                <w:color w:val="auto"/>
              </w:rPr>
              <w:t>5,011</w:t>
            </w:r>
          </w:p>
        </w:tc>
        <w:tc>
          <w:tcPr>
            <w:tcW w:w="240" w:type="dxa"/>
            <w:vAlign w:val="bottom"/>
            <w:gridSpan w:val="2"/>
          </w:tcPr>
          <w:p>
            <w:pPr>
              <w:jc w:val="right"/>
              <w:ind w:right="116"/>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ind w:right="16"/>
              <w:spacing w:after="0" w:line="121" w:lineRule="exact"/>
              <w:rPr>
                <w:sz w:val="20"/>
                <w:szCs w:val="20"/>
                <w:color w:val="auto"/>
              </w:rPr>
            </w:pPr>
            <w:r>
              <w:rPr>
                <w:rFonts w:ascii="Arial" w:cs="Arial" w:eastAsia="Arial" w:hAnsi="Arial"/>
                <w:sz w:val="13"/>
                <w:szCs w:val="13"/>
                <w:color w:val="auto"/>
              </w:rPr>
              <w:t>-</w:t>
            </w:r>
          </w:p>
        </w:tc>
        <w:tc>
          <w:tcPr>
            <w:tcW w:w="100" w:type="dxa"/>
            <w:vAlign w:val="bottom"/>
            <w:gridSpan w:val="2"/>
          </w:tcPr>
          <w:p>
            <w:pPr>
              <w:jc w:val="right"/>
              <w:ind w:right="35"/>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1,434</w:t>
            </w:r>
          </w:p>
        </w:tc>
        <w:tc>
          <w:tcPr>
            <w:tcW w:w="280" w:type="dxa"/>
            <w:vAlign w:val="bottom"/>
            <w:gridSpan w:val="2"/>
          </w:tcPr>
          <w:p>
            <w:pPr>
              <w:jc w:val="right"/>
              <w:ind w:right="155"/>
              <w:spacing w:after="0" w:line="121" w:lineRule="exact"/>
              <w:rPr>
                <w:sz w:val="20"/>
                <w:szCs w:val="20"/>
                <w:color w:val="auto"/>
              </w:rPr>
            </w:pPr>
            <w:r>
              <w:rPr>
                <w:rFonts w:ascii="Arial" w:cs="Arial" w:eastAsia="Arial" w:hAnsi="Arial"/>
                <w:sz w:val="13"/>
                <w:szCs w:val="13"/>
                <w:color w:val="auto"/>
                <w:w w:val="82"/>
              </w:rPr>
              <w:t>$</w:t>
            </w:r>
          </w:p>
        </w:tc>
        <w:tc>
          <w:tcPr>
            <w:tcW w:w="280" w:type="dxa"/>
            <w:vAlign w:val="bottom"/>
          </w:tcPr>
          <w:p>
            <w:pPr>
              <w:jc w:val="right"/>
              <w:ind w:right="16"/>
              <w:spacing w:after="0" w:line="121" w:lineRule="exact"/>
              <w:rPr>
                <w:sz w:val="20"/>
                <w:szCs w:val="20"/>
                <w:color w:val="auto"/>
              </w:rPr>
            </w:pPr>
            <w:r>
              <w:rPr>
                <w:rFonts w:ascii="Arial" w:cs="Arial" w:eastAsia="Arial" w:hAnsi="Arial"/>
                <w:sz w:val="13"/>
                <w:szCs w:val="13"/>
                <w:color w:val="auto"/>
              </w:rPr>
              <w:t>-</w:t>
            </w:r>
          </w:p>
        </w:tc>
        <w:tc>
          <w:tcPr>
            <w:tcW w:w="120" w:type="dxa"/>
            <w:vAlign w:val="bottom"/>
            <w:gridSpan w:val="2"/>
          </w:tcPr>
          <w:p>
            <w:pPr>
              <w:jc w:val="right"/>
              <w:ind w:right="6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16"/>
              <w:spacing w:after="0" w:line="121" w:lineRule="exact"/>
              <w:rPr>
                <w:sz w:val="20"/>
                <w:szCs w:val="20"/>
                <w:color w:val="auto"/>
              </w:rPr>
            </w:pPr>
            <w:r>
              <w:rPr>
                <w:rFonts w:ascii="Arial" w:cs="Arial" w:eastAsia="Arial" w:hAnsi="Arial"/>
                <w:sz w:val="13"/>
                <w:szCs w:val="13"/>
                <w:color w:val="auto"/>
              </w:rPr>
              <w:t>1,434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2460" w:type="dxa"/>
            <w:vAlign w:val="bottom"/>
            <w:vMerge w:val="restart"/>
            <w:shd w:val="clear" w:color="auto" w:fill="CCEEFF"/>
          </w:tcPr>
          <w:p>
            <w:pPr>
              <w:spacing w:after="0"/>
              <w:rPr>
                <w:sz w:val="20"/>
                <w:szCs w:val="20"/>
                <w:color w:val="auto"/>
              </w:rPr>
            </w:pPr>
            <w:r>
              <w:rPr>
                <w:rFonts w:ascii="Arial" w:cs="Arial" w:eastAsia="Arial" w:hAnsi="Arial"/>
                <w:sz w:val="13"/>
                <w:szCs w:val="13"/>
                <w:b w:val="1"/>
                <w:bCs w:val="1"/>
                <w:color w:val="auto"/>
              </w:rPr>
              <w:t>Total liabilities at fair value</w:t>
            </w: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0" w:type="dxa"/>
            <w:vAlign w:val="bottom"/>
            <w:vMerge w:val="continue"/>
          </w:tcPr>
          <w:p>
            <w:pPr>
              <w:spacing w:after="0"/>
              <w:rPr>
                <w:sz w:val="14"/>
                <w:szCs w:val="14"/>
                <w:color w:val="auto"/>
              </w:rPr>
            </w:pPr>
          </w:p>
        </w:tc>
        <w:tc>
          <w:tcPr>
            <w:tcW w:w="2460" w:type="dxa"/>
            <w:vAlign w:val="bottom"/>
            <w:vMerge w:val="continue"/>
            <w:shd w:val="clear" w:color="auto" w:fill="CCEEFF"/>
          </w:tcPr>
          <w:p>
            <w:pPr>
              <w:spacing w:after="0"/>
              <w:rPr>
                <w:sz w:val="14"/>
                <w:szCs w:val="14"/>
                <w:color w:val="auto"/>
              </w:rPr>
            </w:pPr>
          </w:p>
        </w:tc>
        <w:tc>
          <w:tcPr>
            <w:tcW w:w="300" w:type="dxa"/>
            <w:vAlign w:val="bottom"/>
            <w:gridSpan w:val="2"/>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3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5,011</w:t>
            </w:r>
          </w:p>
        </w:tc>
        <w:tc>
          <w:tcPr>
            <w:tcW w:w="4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jc w:val="right"/>
              <w:ind w:right="161"/>
              <w:spacing w:after="0"/>
              <w:rPr>
                <w:sz w:val="20"/>
                <w:szCs w:val="20"/>
                <w:color w:val="auto"/>
              </w:rPr>
            </w:pPr>
            <w:r>
              <w:rPr>
                <w:rFonts w:ascii="Arial" w:cs="Arial" w:eastAsia="Arial" w:hAnsi="Arial"/>
                <w:sz w:val="5"/>
                <w:szCs w:val="5"/>
                <w:color w:val="auto"/>
                <w:w w:val="70"/>
              </w:rPr>
              <w:t>$</w:t>
            </w:r>
          </w:p>
        </w:tc>
        <w:tc>
          <w:tcPr>
            <w:tcW w:w="2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1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w w:val="71"/>
              </w:rPr>
              <w:t>$</w:t>
            </w:r>
          </w:p>
        </w:tc>
        <w:tc>
          <w:tcPr>
            <w:tcW w:w="62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5,011</w:t>
            </w:r>
          </w:p>
        </w:tc>
        <w:tc>
          <w:tcPr>
            <w:tcW w:w="240" w:type="dxa"/>
            <w:vAlign w:val="bottom"/>
            <w:gridSpan w:val="2"/>
            <w:shd w:val="clear" w:color="auto" w:fill="CCEEFF"/>
          </w:tcPr>
          <w:p>
            <w:pPr>
              <w:jc w:val="right"/>
              <w:ind w:right="116"/>
              <w:spacing w:after="0"/>
              <w:rPr>
                <w:sz w:val="20"/>
                <w:szCs w:val="20"/>
                <w:color w:val="auto"/>
              </w:rPr>
            </w:pPr>
            <w:r>
              <w:rPr>
                <w:rFonts w:ascii="Arial" w:cs="Arial" w:eastAsia="Arial" w:hAnsi="Arial"/>
                <w:sz w:val="10"/>
                <w:szCs w:val="10"/>
                <w:color w:val="auto"/>
                <w:w w:val="71"/>
              </w:rPr>
              <w:t>$</w:t>
            </w:r>
          </w:p>
        </w:tc>
        <w:tc>
          <w:tcPr>
            <w:tcW w:w="30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00" w:type="dxa"/>
            <w:vAlign w:val="bottom"/>
            <w:gridSpan w:val="2"/>
            <w:shd w:val="clear" w:color="auto" w:fill="CCEEFF"/>
          </w:tcPr>
          <w:p>
            <w:pPr>
              <w:jc w:val="right"/>
              <w:ind w:right="35"/>
              <w:spacing w:after="0"/>
              <w:rPr>
                <w:sz w:val="20"/>
                <w:szCs w:val="20"/>
                <w:color w:val="auto"/>
              </w:rPr>
            </w:pPr>
            <w:r>
              <w:rPr>
                <w:rFonts w:ascii="Arial" w:cs="Arial" w:eastAsia="Arial" w:hAnsi="Arial"/>
                <w:sz w:val="10"/>
                <w:szCs w:val="10"/>
                <w:color w:val="auto"/>
                <w:w w:val="71"/>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1,434</w:t>
            </w:r>
          </w:p>
        </w:tc>
        <w:tc>
          <w:tcPr>
            <w:tcW w:w="280" w:type="dxa"/>
            <w:vAlign w:val="bottom"/>
            <w:gridSpan w:val="2"/>
            <w:shd w:val="clear" w:color="auto" w:fill="CCEEFF"/>
          </w:tcPr>
          <w:p>
            <w:pPr>
              <w:jc w:val="right"/>
              <w:ind w:right="155"/>
              <w:spacing w:after="0"/>
              <w:rPr>
                <w:sz w:val="20"/>
                <w:szCs w:val="20"/>
                <w:color w:val="auto"/>
              </w:rPr>
            </w:pPr>
            <w:r>
              <w:rPr>
                <w:rFonts w:ascii="Arial" w:cs="Arial" w:eastAsia="Arial" w:hAnsi="Arial"/>
                <w:sz w:val="13"/>
                <w:szCs w:val="13"/>
                <w:color w:val="auto"/>
                <w:w w:val="82"/>
              </w:rPr>
              <w:t>$</w:t>
            </w:r>
          </w:p>
        </w:tc>
        <w:tc>
          <w:tcPr>
            <w:tcW w:w="28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1,434</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Items Measured at Fair Value on a Non-recurring Basis</w:t>
      </w:r>
    </w:p>
    <w:p>
      <w:pPr>
        <w:spacing w:after="0" w:line="170" w:lineRule="exact"/>
        <w:rPr>
          <w:sz w:val="20"/>
          <w:szCs w:val="20"/>
          <w:color w:val="auto"/>
        </w:rPr>
      </w:pPr>
    </w:p>
    <w:p>
      <w:pPr>
        <w:jc w:val="both"/>
        <w:ind w:left="640" w:right="679" w:firstLine="256"/>
        <w:spacing w:after="0" w:line="250" w:lineRule="auto"/>
        <w:rPr>
          <w:sz w:val="20"/>
          <w:szCs w:val="20"/>
          <w:color w:val="auto"/>
        </w:rPr>
      </w:pPr>
      <w:r>
        <w:rPr>
          <w:rFonts w:ascii="Arial" w:cs="Arial" w:eastAsia="Arial" w:hAnsi="Arial"/>
          <w:sz w:val="14"/>
          <w:szCs w:val="14"/>
          <w:b w:val="1"/>
          <w:bCs w:val="1"/>
          <w:color w:val="auto"/>
        </w:rPr>
        <w:t xml:space="preserve">Impaired Loans: </w:t>
      </w:r>
      <w:r>
        <w:rPr>
          <w:rFonts w:ascii="Arial" w:cs="Arial" w:eastAsia="Arial" w:hAnsi="Arial"/>
          <w:sz w:val="14"/>
          <w:szCs w:val="14"/>
          <w:color w:val="auto"/>
        </w:rPr>
        <w:t>At December 31, 2022 and 2021, in accordance with provisions of the loan impairment guidance,</w:t>
      </w:r>
      <w:r>
        <w:rPr>
          <w:rFonts w:ascii="Arial" w:cs="Arial" w:eastAsia="Arial" w:hAnsi="Arial"/>
          <w:sz w:val="14"/>
          <w:szCs w:val="14"/>
          <w:b w:val="1"/>
          <w:bCs w:val="1"/>
          <w:color w:val="auto"/>
        </w:rPr>
        <w:t xml:space="preserve"> </w:t>
      </w:r>
      <w:r>
        <w:rPr>
          <w:rFonts w:ascii="Arial" w:cs="Arial" w:eastAsia="Arial" w:hAnsi="Arial"/>
          <w:sz w:val="14"/>
          <w:szCs w:val="14"/>
          <w:color w:val="auto"/>
        </w:rPr>
        <w:t>individual loans with a carrying amount of approximately $3.9 million and $4.4 million, respectively, were written down to their fair value of approximately $3.6 million and $4.0 million, respectively, resulting in an impairment charge of $294 thousand and $360 thousand, respectively, which was included in the allowance for credit losses at December 31, 2022 and 2021, respectively. Loans applicable to write-downs, or impaired loans, are estimated using the present value of expected cash flows or the appraised value of the underlying collateral discounted as necessary due to management's estimates of changes in economic conditions are considered a Level 3 valuation.</w:t>
      </w:r>
    </w:p>
    <w:p>
      <w:pPr>
        <w:spacing w:after="0" w:line="128" w:lineRule="exact"/>
        <w:rPr>
          <w:sz w:val="20"/>
          <w:szCs w:val="20"/>
          <w:color w:val="auto"/>
        </w:rPr>
      </w:pPr>
    </w:p>
    <w:p>
      <w:pPr>
        <w:jc w:val="both"/>
        <w:ind w:left="640" w:right="699" w:firstLine="256"/>
        <w:spacing w:after="0" w:line="250" w:lineRule="auto"/>
        <w:rPr>
          <w:sz w:val="20"/>
          <w:szCs w:val="20"/>
          <w:color w:val="auto"/>
        </w:rPr>
      </w:pPr>
      <w:r>
        <w:rPr>
          <w:rFonts w:ascii="Arial" w:cs="Arial" w:eastAsia="Arial" w:hAnsi="Arial"/>
          <w:sz w:val="14"/>
          <w:szCs w:val="14"/>
          <w:b w:val="1"/>
          <w:bCs w:val="1"/>
          <w:color w:val="auto"/>
        </w:rPr>
        <w:t xml:space="preserve">Other Real Estate: </w:t>
      </w:r>
      <w:r>
        <w:rPr>
          <w:rFonts w:ascii="Arial" w:cs="Arial" w:eastAsia="Arial" w:hAnsi="Arial"/>
          <w:sz w:val="14"/>
          <w:szCs w:val="14"/>
          <w:color w:val="auto"/>
        </w:rPr>
        <w:t>Other real estate owned are valued at the lesser of the third-party appraisals less management's</w:t>
      </w:r>
      <w:r>
        <w:rPr>
          <w:rFonts w:ascii="Arial" w:cs="Arial" w:eastAsia="Arial" w:hAnsi="Arial"/>
          <w:sz w:val="14"/>
          <w:szCs w:val="14"/>
          <w:b w:val="1"/>
          <w:bCs w:val="1"/>
          <w:color w:val="auto"/>
        </w:rPr>
        <w:t xml:space="preserve"> </w:t>
      </w:r>
      <w:r>
        <w:rPr>
          <w:rFonts w:ascii="Arial" w:cs="Arial" w:eastAsia="Arial" w:hAnsi="Arial"/>
          <w:sz w:val="14"/>
          <w:szCs w:val="14"/>
          <w:color w:val="auto"/>
        </w:rPr>
        <w:t>estimate of the costs to sell or the carrying cost of the other real estate owned. Appraisals generally use the market approach valuation technique and use market observable data to formulate an opinion of the fair value of the properties. However, the appraiser uses professional judgment in determining the fair value of the property and the Company may also adjust the value for changes in market conditions subsequent to the valuation date when current appraisals are not available. As a consequence of the carrying cost or the third-party appraisal and adjustments therein, the fair values of the properties are considered a Level 3 valuation.</w:t>
      </w:r>
    </w:p>
    <w:p>
      <w:pPr>
        <w:spacing w:after="0" w:line="156" w:lineRule="exact"/>
        <w:rPr>
          <w:sz w:val="20"/>
          <w:szCs w:val="20"/>
          <w:color w:val="auto"/>
        </w:rPr>
      </w:pPr>
    </w:p>
    <w:p>
      <w:pPr>
        <w:ind w:left="640" w:right="719" w:firstLine="256"/>
        <w:spacing w:after="0" w:line="252" w:lineRule="auto"/>
        <w:rPr>
          <w:sz w:val="20"/>
          <w:szCs w:val="20"/>
          <w:color w:val="auto"/>
        </w:rPr>
      </w:pPr>
      <w:r>
        <w:rPr>
          <w:rFonts w:ascii="Arial" w:cs="Arial" w:eastAsia="Arial" w:hAnsi="Arial"/>
          <w:sz w:val="14"/>
          <w:szCs w:val="14"/>
          <w:color w:val="auto"/>
        </w:rPr>
        <w:t>The following table represents the Company’s assets measured at fair value on a non-recurring basis at December 31, 2022 and 2021 for each of the fair value hierarchy levels (in thousands):</w:t>
      </w:r>
    </w:p>
    <w:p>
      <w:pPr>
        <w:spacing w:after="0" w:line="160" w:lineRule="exact"/>
        <w:rPr>
          <w:sz w:val="20"/>
          <w:szCs w:val="20"/>
          <w:color w:val="auto"/>
        </w:rPr>
      </w:pPr>
    </w:p>
    <w:tbl>
      <w:tblPr>
        <w:tblLayout w:type="fixed"/>
        <w:tblInd w:w="620" w:type="dxa"/>
        <w:tblCellMar>
          <w:top w:w="0" w:type="dxa"/>
          <w:left w:w="0" w:type="dxa"/>
          <w:bottom w:w="0" w:type="dxa"/>
          <w:right w:w="0" w:type="dxa"/>
        </w:tblCellMar>
      </w:tblPr>
      <w:tr>
        <w:trPr>
          <w:trHeight w:val="173"/>
        </w:trPr>
        <w:tc>
          <w:tcPr>
            <w:tcW w:w="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216"/>
              <w:spacing w:after="0"/>
              <w:rPr>
                <w:sz w:val="20"/>
                <w:szCs w:val="20"/>
                <w:color w:val="auto"/>
              </w:rPr>
            </w:pPr>
            <w:r>
              <w:rPr>
                <w:rFonts w:ascii="Arial" w:cs="Arial" w:eastAsia="Arial" w:hAnsi="Arial"/>
                <w:sz w:val="13"/>
                <w:szCs w:val="13"/>
                <w:b w:val="1"/>
                <w:bCs w:val="1"/>
                <w:color w:val="auto"/>
              </w:rPr>
              <w:t>Level 1</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216"/>
              <w:spacing w:after="0"/>
              <w:rPr>
                <w:sz w:val="20"/>
                <w:szCs w:val="20"/>
                <w:color w:val="auto"/>
              </w:rPr>
            </w:pPr>
            <w:r>
              <w:rPr>
                <w:rFonts w:ascii="Arial" w:cs="Arial" w:eastAsia="Arial" w:hAnsi="Arial"/>
                <w:sz w:val="13"/>
                <w:szCs w:val="13"/>
                <w:b w:val="1"/>
                <w:bCs w:val="1"/>
                <w:color w:val="auto"/>
              </w:rPr>
              <w:t>Level 2</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216"/>
              <w:spacing w:after="0"/>
              <w:rPr>
                <w:sz w:val="20"/>
                <w:szCs w:val="20"/>
                <w:color w:val="auto"/>
              </w:rPr>
            </w:pPr>
            <w:r>
              <w:rPr>
                <w:rFonts w:ascii="Arial" w:cs="Arial" w:eastAsia="Arial" w:hAnsi="Arial"/>
                <w:sz w:val="13"/>
                <w:szCs w:val="13"/>
                <w:b w:val="1"/>
                <w:bCs w:val="1"/>
                <w:color w:val="auto"/>
              </w:rPr>
              <w:t>Level 3</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ind w:left="1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6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3"/>
                <w:szCs w:val="13"/>
                <w:b w:val="1"/>
                <w:bCs w:val="1"/>
                <w:color w:val="auto"/>
              </w:rPr>
              <w:t>December 31, 2022:</w:t>
            </w:r>
          </w:p>
        </w:tc>
        <w:tc>
          <w:tcPr>
            <w:tcW w:w="13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00" w:type="dxa"/>
            <w:vAlign w:val="bottom"/>
            <w:gridSpan w:val="2"/>
          </w:tcPr>
          <w:p>
            <w:pPr>
              <w:spacing w:after="0"/>
              <w:rPr>
                <w:sz w:val="20"/>
                <w:szCs w:val="20"/>
                <w:color w:val="auto"/>
              </w:rPr>
            </w:pPr>
            <w:r>
              <w:rPr>
                <w:rFonts w:ascii="Arial" w:cs="Arial" w:eastAsia="Arial" w:hAnsi="Arial"/>
                <w:sz w:val="13"/>
                <w:szCs w:val="13"/>
                <w:color w:val="auto"/>
              </w:rPr>
              <w:t>Impaired loans</w:t>
            </w:r>
          </w:p>
        </w:tc>
        <w:tc>
          <w:tcPr>
            <w:tcW w:w="148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3"/>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3"/>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3,639</w:t>
            </w:r>
          </w:p>
        </w:tc>
        <w:tc>
          <w:tcPr>
            <w:tcW w:w="22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6"/>
              <w:spacing w:after="0"/>
              <w:rPr>
                <w:sz w:val="20"/>
                <w:szCs w:val="20"/>
                <w:color w:val="auto"/>
              </w:rPr>
            </w:pPr>
            <w:r>
              <w:rPr>
                <w:rFonts w:ascii="Arial" w:cs="Arial" w:eastAsia="Arial" w:hAnsi="Arial"/>
                <w:sz w:val="13"/>
                <w:szCs w:val="13"/>
                <w:color w:val="auto"/>
              </w:rPr>
              <w:t>3,639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vMerge w:val="restart"/>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2460" w:type="dxa"/>
            <w:vAlign w:val="bottom"/>
          </w:tcPr>
          <w:p>
            <w:pPr>
              <w:spacing w:after="0"/>
              <w:rPr>
                <w:sz w:val="20"/>
                <w:szCs w:val="20"/>
                <w:color w:val="auto"/>
              </w:rPr>
            </w:pPr>
            <w:r>
              <w:rPr>
                <w:rFonts w:ascii="Arial" w:cs="Arial" w:eastAsia="Arial" w:hAnsi="Arial"/>
                <w:sz w:val="13"/>
                <w:szCs w:val="13"/>
                <w:b w:val="1"/>
                <w:bCs w:val="1"/>
                <w:color w:val="auto"/>
              </w:rPr>
              <w:t>December 31, 2021:</w:t>
            </w: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3"/>
                <w:szCs w:val="13"/>
                <w:color w:val="auto"/>
              </w:rPr>
              <w:t>Impaired loans</w:t>
            </w:r>
          </w:p>
        </w:tc>
        <w:tc>
          <w:tcPr>
            <w:tcW w:w="14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3,990</w:t>
            </w:r>
          </w:p>
        </w:tc>
        <w:tc>
          <w:tcPr>
            <w:tcW w:w="2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3,990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41</w:t>
      </w:r>
      <w:r>
        <w:rPr>
          <w:sz w:val="20"/>
          <w:szCs w:val="20"/>
          <w:color w:val="auto"/>
        </w:rPr>
        <w:tab/>
      </w:r>
      <w:r>
        <w:rPr>
          <w:rFonts w:ascii="Arial" w:cs="Arial" w:eastAsia="Arial" w:hAnsi="Arial"/>
          <w:sz w:val="14"/>
          <w:szCs w:val="14"/>
          <w:color w:val="auto"/>
        </w:rPr>
        <w:t>USCB Financial Holdings, Inc.</w:t>
        <w:tab/>
        <w:t>2022 10-K/A</w:t>
      </w:r>
    </w:p>
    <w:p>
      <w:pPr>
        <w:sectPr>
          <w:pgSz w:w="11900" w:h="16838" w:orient="portrait"/>
          <w:cols w:equalWidth="0" w:num="1">
            <w:col w:w="9019"/>
          </w:cols>
          <w:pgMar w:left="1440" w:top="490" w:right="1440" w:bottom="1440" w:gutter="0" w:footer="0" w:header="0"/>
        </w:sectPr>
      </w:pPr>
    </w:p>
    <w:bookmarkStart w:id="41" w:name="page42"/>
    <w:bookmarkEnd w:id="4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80" w:lineRule="exact"/>
        <w:rPr>
          <w:sz w:val="20"/>
          <w:szCs w:val="20"/>
          <w:color w:val="auto"/>
        </w:rPr>
      </w:pPr>
    </w:p>
    <w:p>
      <w:pPr>
        <w:ind w:left="640" w:right="719" w:firstLine="256"/>
        <w:spacing w:after="0" w:line="252" w:lineRule="auto"/>
        <w:rPr>
          <w:sz w:val="20"/>
          <w:szCs w:val="20"/>
          <w:color w:val="auto"/>
        </w:rPr>
      </w:pPr>
      <w:r>
        <w:rPr>
          <w:rFonts w:ascii="Arial" w:cs="Arial" w:eastAsia="Arial" w:hAnsi="Arial"/>
          <w:sz w:val="14"/>
          <w:szCs w:val="14"/>
          <w:color w:val="auto"/>
        </w:rPr>
        <w:t>The following table presents quantified information about Level 3 fair value measurements for assets measured at fair value on a non-recurring basis at December 31, 2022 and 2021 (in thousands):</w:t>
      </w:r>
    </w:p>
    <w:p>
      <w:pPr>
        <w:spacing w:after="0" w:line="160" w:lineRule="exact"/>
        <w:rPr>
          <w:sz w:val="20"/>
          <w:szCs w:val="20"/>
          <w:color w:val="auto"/>
        </w:rPr>
      </w:pPr>
    </w:p>
    <w:tbl>
      <w:tblPr>
        <w:tblLayout w:type="fixed"/>
        <w:tblInd w:w="620" w:type="dxa"/>
        <w:tblCellMar>
          <w:top w:w="0" w:type="dxa"/>
          <w:left w:w="0" w:type="dxa"/>
          <w:bottom w:w="0" w:type="dxa"/>
          <w:right w:w="0" w:type="dxa"/>
        </w:tblCellMar>
      </w:tblPr>
      <w:tr>
        <w:trPr>
          <w:trHeight w:val="173"/>
        </w:trPr>
        <w:tc>
          <w:tcPr>
            <w:tcW w:w="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jc w:val="right"/>
              <w:ind w:right="76"/>
              <w:spacing w:after="0"/>
              <w:rPr>
                <w:sz w:val="20"/>
                <w:szCs w:val="20"/>
                <w:color w:val="auto"/>
              </w:rPr>
            </w:pPr>
            <w:r>
              <w:rPr>
                <w:rFonts w:ascii="Arial" w:cs="Arial" w:eastAsia="Arial" w:hAnsi="Arial"/>
                <w:sz w:val="13"/>
                <w:szCs w:val="13"/>
                <w:b w:val="1"/>
                <w:bCs w:val="1"/>
                <w:color w:val="auto"/>
                <w:w w:val="96"/>
              </w:rPr>
              <w:t>Fair Value</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40" w:type="dxa"/>
            <w:vAlign w:val="bottom"/>
          </w:tcPr>
          <w:p>
            <w:pPr>
              <w:ind w:left="120"/>
              <w:spacing w:after="0"/>
              <w:rPr>
                <w:sz w:val="20"/>
                <w:szCs w:val="20"/>
                <w:color w:val="auto"/>
              </w:rPr>
            </w:pPr>
            <w:r>
              <w:rPr>
                <w:rFonts w:ascii="Arial" w:cs="Arial" w:eastAsia="Arial" w:hAnsi="Arial"/>
                <w:sz w:val="13"/>
                <w:szCs w:val="13"/>
                <w:b w:val="1"/>
                <w:bCs w:val="1"/>
                <w:color w:val="auto"/>
              </w:rPr>
              <w:t>Valuation Technique(s)</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00" w:type="dxa"/>
            <w:vAlign w:val="bottom"/>
            <w:gridSpan w:val="2"/>
          </w:tcPr>
          <w:p>
            <w:pPr>
              <w:ind w:left="920"/>
              <w:spacing w:after="0"/>
              <w:rPr>
                <w:sz w:val="20"/>
                <w:szCs w:val="20"/>
                <w:color w:val="auto"/>
              </w:rPr>
            </w:pPr>
            <w:r>
              <w:rPr>
                <w:rFonts w:ascii="Arial" w:cs="Arial" w:eastAsia="Arial" w:hAnsi="Arial"/>
                <w:sz w:val="13"/>
                <w:szCs w:val="13"/>
                <w:b w:val="1"/>
                <w:bCs w:val="1"/>
                <w:color w:val="auto"/>
              </w:rPr>
              <w:t>Unobservable Input(s)</w:t>
            </w:r>
          </w:p>
        </w:tc>
      </w:tr>
      <w:tr>
        <w:trPr>
          <w:trHeight w:val="141"/>
        </w:trPr>
        <w:tc>
          <w:tcPr>
            <w:tcW w:w="40" w:type="dxa"/>
            <w:vAlign w:val="bottom"/>
          </w:tcPr>
          <w:p>
            <w:pPr>
              <w:spacing w:after="0"/>
              <w:rPr>
                <w:sz w:val="12"/>
                <w:szCs w:val="12"/>
                <w:color w:val="auto"/>
              </w:rPr>
            </w:pPr>
          </w:p>
        </w:tc>
        <w:tc>
          <w:tcPr>
            <w:tcW w:w="154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3"/>
                <w:szCs w:val="13"/>
                <w:b w:val="1"/>
                <w:bCs w:val="1"/>
                <w:color w:val="auto"/>
              </w:rPr>
              <w:t>December 31, 2022:</w:t>
            </w: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7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328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71"/>
        </w:trPr>
        <w:tc>
          <w:tcPr>
            <w:tcW w:w="1580" w:type="dxa"/>
            <w:vAlign w:val="bottom"/>
            <w:gridSpan w:val="2"/>
          </w:tcPr>
          <w:p>
            <w:pPr>
              <w:spacing w:after="0"/>
              <w:rPr>
                <w:sz w:val="20"/>
                <w:szCs w:val="20"/>
                <w:color w:val="auto"/>
              </w:rPr>
            </w:pPr>
            <w:r>
              <w:rPr>
                <w:rFonts w:ascii="Arial" w:cs="Arial" w:eastAsia="Arial" w:hAnsi="Arial"/>
                <w:sz w:val="13"/>
                <w:szCs w:val="13"/>
                <w:color w:val="auto"/>
              </w:rPr>
              <w:t>Residential real estate</w:t>
            </w:r>
          </w:p>
        </w:tc>
        <w:tc>
          <w:tcPr>
            <w:tcW w:w="20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6"/>
              <w:spacing w:after="0"/>
              <w:rPr>
                <w:sz w:val="20"/>
                <w:szCs w:val="20"/>
                <w:color w:val="auto"/>
              </w:rPr>
            </w:pPr>
            <w:r>
              <w:rPr>
                <w:rFonts w:ascii="Arial" w:cs="Arial" w:eastAsia="Arial" w:hAnsi="Arial"/>
                <w:sz w:val="13"/>
                <w:szCs w:val="13"/>
                <w:color w:val="auto"/>
              </w:rPr>
              <w:t>3,500</w:t>
            </w:r>
          </w:p>
        </w:tc>
        <w:tc>
          <w:tcPr>
            <w:tcW w:w="20" w:type="dxa"/>
            <w:vAlign w:val="bottom"/>
          </w:tcPr>
          <w:p>
            <w:pPr>
              <w:spacing w:after="0"/>
              <w:rPr>
                <w:sz w:val="14"/>
                <w:szCs w:val="14"/>
                <w:color w:val="auto"/>
              </w:rPr>
            </w:pPr>
          </w:p>
        </w:tc>
        <w:tc>
          <w:tcPr>
            <w:tcW w:w="1800" w:type="dxa"/>
            <w:vAlign w:val="bottom"/>
            <w:gridSpan w:val="3"/>
          </w:tcPr>
          <w:p>
            <w:pPr>
              <w:ind w:left="20"/>
              <w:spacing w:after="0"/>
              <w:rPr>
                <w:sz w:val="20"/>
                <w:szCs w:val="20"/>
                <w:color w:val="auto"/>
              </w:rPr>
            </w:pPr>
            <w:r>
              <w:rPr>
                <w:rFonts w:ascii="Arial" w:cs="Arial" w:eastAsia="Arial" w:hAnsi="Arial"/>
                <w:sz w:val="13"/>
                <w:szCs w:val="13"/>
                <w:color w:val="auto"/>
              </w:rPr>
              <w:t>Sales comparison approach</w:t>
            </w:r>
          </w:p>
        </w:tc>
        <w:tc>
          <w:tcPr>
            <w:tcW w:w="3380" w:type="dxa"/>
            <w:vAlign w:val="bottom"/>
            <w:gridSpan w:val="4"/>
          </w:tcPr>
          <w:p>
            <w:pPr>
              <w:ind w:left="20"/>
              <w:spacing w:after="0"/>
              <w:rPr>
                <w:sz w:val="20"/>
                <w:szCs w:val="20"/>
                <w:color w:val="auto"/>
              </w:rPr>
            </w:pPr>
            <w:r>
              <w:rPr>
                <w:rFonts w:ascii="Arial" w:cs="Arial" w:eastAsia="Arial" w:hAnsi="Arial"/>
                <w:sz w:val="13"/>
                <w:szCs w:val="13"/>
                <w:color w:val="auto"/>
              </w:rPr>
              <w:t>Adj. for differences between comparable sales</w:t>
            </w:r>
          </w:p>
        </w:tc>
      </w:tr>
      <w:tr>
        <w:trPr>
          <w:trHeight w:val="171"/>
        </w:trPr>
        <w:tc>
          <w:tcPr>
            <w:tcW w:w="40" w:type="dxa"/>
            <w:vAlign w:val="bottom"/>
          </w:tcPr>
          <w:p>
            <w:pPr>
              <w:spacing w:after="0"/>
              <w:rPr>
                <w:sz w:val="14"/>
                <w:szCs w:val="14"/>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41</w:t>
            </w:r>
          </w:p>
        </w:tc>
        <w:tc>
          <w:tcPr>
            <w:tcW w:w="20" w:type="dxa"/>
            <w:vAlign w:val="bottom"/>
            <w:shd w:val="clear" w:color="auto" w:fill="CCEEFF"/>
          </w:tcPr>
          <w:p>
            <w:pPr>
              <w:spacing w:after="0"/>
              <w:rPr>
                <w:sz w:val="14"/>
                <w:szCs w:val="14"/>
                <w:color w:val="auto"/>
              </w:rPr>
            </w:pPr>
          </w:p>
        </w:tc>
        <w:tc>
          <w:tcPr>
            <w:tcW w:w="18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Discounted cash flow</w:t>
            </w:r>
          </w:p>
        </w:tc>
        <w:tc>
          <w:tcPr>
            <w:tcW w:w="338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Adj. for differences in net operating income expectations</w:t>
            </w:r>
          </w:p>
        </w:tc>
      </w:tr>
      <w:tr>
        <w:trPr>
          <w:trHeight w:val="180"/>
        </w:trPr>
        <w:tc>
          <w:tcPr>
            <w:tcW w:w="1580" w:type="dxa"/>
            <w:vAlign w:val="bottom"/>
            <w:gridSpan w:val="2"/>
          </w:tcPr>
          <w:p>
            <w:pPr>
              <w:spacing w:after="0"/>
              <w:rPr>
                <w:sz w:val="20"/>
                <w:szCs w:val="20"/>
                <w:color w:val="auto"/>
              </w:rPr>
            </w:pPr>
            <w:r>
              <w:rPr>
                <w:rFonts w:ascii="Arial" w:cs="Arial" w:eastAsia="Arial" w:hAnsi="Arial"/>
                <w:sz w:val="13"/>
                <w:szCs w:val="13"/>
                <w:color w:val="auto"/>
              </w:rPr>
              <w:t>Other</w:t>
            </w: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98</w:t>
            </w:r>
          </w:p>
        </w:tc>
        <w:tc>
          <w:tcPr>
            <w:tcW w:w="20" w:type="dxa"/>
            <w:vAlign w:val="bottom"/>
          </w:tcPr>
          <w:p>
            <w:pPr>
              <w:spacing w:after="0"/>
              <w:rPr>
                <w:sz w:val="15"/>
                <w:szCs w:val="15"/>
                <w:color w:val="auto"/>
              </w:rPr>
            </w:pPr>
          </w:p>
        </w:tc>
        <w:tc>
          <w:tcPr>
            <w:tcW w:w="1800" w:type="dxa"/>
            <w:vAlign w:val="bottom"/>
            <w:tcBorders>
              <w:bottom w:val="single" w:sz="8" w:color="CCEEFF"/>
            </w:tcBorders>
            <w:gridSpan w:val="3"/>
          </w:tcPr>
          <w:p>
            <w:pPr>
              <w:ind w:left="20"/>
              <w:spacing w:after="0"/>
              <w:rPr>
                <w:sz w:val="20"/>
                <w:szCs w:val="20"/>
                <w:color w:val="auto"/>
              </w:rPr>
            </w:pPr>
            <w:r>
              <w:rPr>
                <w:rFonts w:ascii="Arial" w:cs="Arial" w:eastAsia="Arial" w:hAnsi="Arial"/>
                <w:sz w:val="13"/>
                <w:szCs w:val="13"/>
                <w:color w:val="auto"/>
              </w:rPr>
              <w:t>Discounted cash flow</w:t>
            </w:r>
          </w:p>
        </w:tc>
        <w:tc>
          <w:tcPr>
            <w:tcW w:w="3380" w:type="dxa"/>
            <w:vAlign w:val="bottom"/>
            <w:tcBorders>
              <w:bottom w:val="single" w:sz="8" w:color="CCEEFF"/>
            </w:tcBorders>
            <w:gridSpan w:val="4"/>
          </w:tcPr>
          <w:p>
            <w:pPr>
              <w:ind w:left="20"/>
              <w:spacing w:after="0"/>
              <w:rPr>
                <w:sz w:val="20"/>
                <w:szCs w:val="20"/>
                <w:color w:val="auto"/>
              </w:rPr>
            </w:pPr>
            <w:r>
              <w:rPr>
                <w:rFonts w:ascii="Arial" w:cs="Arial" w:eastAsia="Arial" w:hAnsi="Arial"/>
                <w:sz w:val="13"/>
                <w:szCs w:val="13"/>
                <w:color w:val="auto"/>
              </w:rPr>
              <w:t>Adj. for differences in net operating income expectations</w:t>
            </w:r>
          </w:p>
        </w:tc>
      </w:tr>
      <w:tr>
        <w:trPr>
          <w:trHeight w:val="152"/>
        </w:trPr>
        <w:tc>
          <w:tcPr>
            <w:tcW w:w="40" w:type="dxa"/>
            <w:vAlign w:val="bottom"/>
          </w:tcPr>
          <w:p>
            <w:pPr>
              <w:spacing w:after="0"/>
              <w:rPr>
                <w:sz w:val="13"/>
                <w:szCs w:val="13"/>
                <w:color w:val="auto"/>
              </w:rPr>
            </w:pPr>
          </w:p>
        </w:tc>
        <w:tc>
          <w:tcPr>
            <w:tcW w:w="1540" w:type="dxa"/>
            <w:vAlign w:val="bottom"/>
            <w:tcBorders>
              <w:bottom w:val="single" w:sz="8" w:color="CCEEFF"/>
            </w:tcBorders>
            <w:shd w:val="clear" w:color="auto" w:fill="CCEEFF"/>
          </w:tcPr>
          <w:p>
            <w:pPr>
              <w:ind w:left="100"/>
              <w:spacing w:after="0" w:line="131" w:lineRule="exact"/>
              <w:rPr>
                <w:sz w:val="20"/>
                <w:szCs w:val="20"/>
                <w:color w:val="auto"/>
              </w:rPr>
            </w:pPr>
            <w:r>
              <w:rPr>
                <w:rFonts w:ascii="Arial" w:cs="Arial" w:eastAsia="Arial" w:hAnsi="Arial"/>
                <w:sz w:val="13"/>
                <w:szCs w:val="13"/>
                <w:color w:val="auto"/>
              </w:rPr>
              <w:t>Total impaired loans</w:t>
            </w:r>
          </w:p>
        </w:tc>
        <w:tc>
          <w:tcPr>
            <w:tcW w:w="200" w:type="dxa"/>
            <w:vAlign w:val="bottom"/>
            <w:tcBorders>
              <w:bottom w:val="single" w:sz="8" w:color="CCEEFF"/>
            </w:tcBorders>
            <w:gridSpan w:val="3"/>
            <w:shd w:val="clear" w:color="auto" w:fill="CCEEFF"/>
          </w:tcPr>
          <w:p>
            <w:pPr>
              <w:jc w:val="right"/>
              <w:ind w:right="20"/>
              <w:spacing w:after="0" w:line="131" w:lineRule="exact"/>
              <w:rPr>
                <w:sz w:val="20"/>
                <w:szCs w:val="20"/>
                <w:color w:val="auto"/>
              </w:rPr>
            </w:pPr>
            <w:r>
              <w:rPr>
                <w:rFonts w:ascii="Arial" w:cs="Arial" w:eastAsia="Arial" w:hAnsi="Arial"/>
                <w:sz w:val="13"/>
                <w:szCs w:val="13"/>
                <w:color w:val="auto"/>
              </w:rPr>
              <w:t>$</w:t>
            </w:r>
          </w:p>
        </w:tc>
        <w:tc>
          <w:tcPr>
            <w:tcW w:w="760" w:type="dxa"/>
            <w:vAlign w:val="bottom"/>
            <w:tcBorders>
              <w:bottom w:val="single" w:sz="8" w:color="CCEEFF"/>
            </w:tcBorders>
            <w:shd w:val="clear" w:color="auto" w:fill="CCEEFF"/>
          </w:tcPr>
          <w:p>
            <w:pPr>
              <w:jc w:val="right"/>
              <w:ind w:right="16"/>
              <w:spacing w:after="0" w:line="131" w:lineRule="exact"/>
              <w:rPr>
                <w:sz w:val="20"/>
                <w:szCs w:val="20"/>
                <w:color w:val="auto"/>
              </w:rPr>
            </w:pPr>
            <w:r>
              <w:rPr>
                <w:rFonts w:ascii="Arial" w:cs="Arial" w:eastAsia="Arial" w:hAnsi="Arial"/>
                <w:sz w:val="13"/>
                <w:szCs w:val="13"/>
                <w:color w:val="auto"/>
              </w:rPr>
              <w:t>3,639</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7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32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r>
      <w:tr>
        <w:trPr>
          <w:trHeight w:val="20"/>
        </w:trPr>
        <w:tc>
          <w:tcPr>
            <w:tcW w:w="15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1"/>
        </w:trPr>
        <w:tc>
          <w:tcPr>
            <w:tcW w:w="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71"/>
        </w:trPr>
        <w:tc>
          <w:tcPr>
            <w:tcW w:w="40" w:type="dxa"/>
            <w:vAlign w:val="bottom"/>
          </w:tcPr>
          <w:p>
            <w:pPr>
              <w:spacing w:after="0"/>
              <w:rPr>
                <w:sz w:val="14"/>
                <w:szCs w:val="14"/>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December 31, 2021:</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1580" w:type="dxa"/>
            <w:vAlign w:val="bottom"/>
            <w:gridSpan w:val="2"/>
          </w:tcPr>
          <w:p>
            <w:pPr>
              <w:spacing w:after="0"/>
              <w:rPr>
                <w:sz w:val="20"/>
                <w:szCs w:val="20"/>
                <w:color w:val="auto"/>
              </w:rPr>
            </w:pPr>
            <w:r>
              <w:rPr>
                <w:rFonts w:ascii="Arial" w:cs="Arial" w:eastAsia="Arial" w:hAnsi="Arial"/>
                <w:sz w:val="13"/>
                <w:szCs w:val="13"/>
                <w:color w:val="auto"/>
              </w:rPr>
              <w:t>Residential real estate</w:t>
            </w:r>
          </w:p>
        </w:tc>
        <w:tc>
          <w:tcPr>
            <w:tcW w:w="20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6"/>
              <w:spacing w:after="0"/>
              <w:rPr>
                <w:sz w:val="20"/>
                <w:szCs w:val="20"/>
                <w:color w:val="auto"/>
              </w:rPr>
            </w:pPr>
            <w:r>
              <w:rPr>
                <w:rFonts w:ascii="Arial" w:cs="Arial" w:eastAsia="Arial" w:hAnsi="Arial"/>
                <w:sz w:val="13"/>
                <w:szCs w:val="13"/>
                <w:color w:val="auto"/>
              </w:rPr>
              <w:t>3,807</w:t>
            </w:r>
          </w:p>
        </w:tc>
        <w:tc>
          <w:tcPr>
            <w:tcW w:w="20" w:type="dxa"/>
            <w:vAlign w:val="bottom"/>
          </w:tcPr>
          <w:p>
            <w:pPr>
              <w:spacing w:after="0"/>
              <w:rPr>
                <w:sz w:val="14"/>
                <w:szCs w:val="14"/>
                <w:color w:val="auto"/>
              </w:rPr>
            </w:pPr>
          </w:p>
        </w:tc>
        <w:tc>
          <w:tcPr>
            <w:tcW w:w="1800" w:type="dxa"/>
            <w:vAlign w:val="bottom"/>
            <w:gridSpan w:val="3"/>
          </w:tcPr>
          <w:p>
            <w:pPr>
              <w:ind w:left="20"/>
              <w:spacing w:after="0"/>
              <w:rPr>
                <w:sz w:val="20"/>
                <w:szCs w:val="20"/>
                <w:color w:val="auto"/>
              </w:rPr>
            </w:pPr>
            <w:r>
              <w:rPr>
                <w:rFonts w:ascii="Arial" w:cs="Arial" w:eastAsia="Arial" w:hAnsi="Arial"/>
                <w:sz w:val="13"/>
                <w:szCs w:val="13"/>
                <w:color w:val="auto"/>
              </w:rPr>
              <w:t>Sales comparison approach</w:t>
            </w:r>
          </w:p>
        </w:tc>
        <w:tc>
          <w:tcPr>
            <w:tcW w:w="3380" w:type="dxa"/>
            <w:vAlign w:val="bottom"/>
            <w:gridSpan w:val="4"/>
          </w:tcPr>
          <w:p>
            <w:pPr>
              <w:ind w:left="20"/>
              <w:spacing w:after="0"/>
              <w:rPr>
                <w:sz w:val="20"/>
                <w:szCs w:val="20"/>
                <w:color w:val="auto"/>
              </w:rPr>
            </w:pPr>
            <w:r>
              <w:rPr>
                <w:rFonts w:ascii="Arial" w:cs="Arial" w:eastAsia="Arial" w:hAnsi="Arial"/>
                <w:sz w:val="13"/>
                <w:szCs w:val="13"/>
                <w:color w:val="auto"/>
              </w:rPr>
              <w:t>Adj. for differences between comparable sales</w:t>
            </w:r>
          </w:p>
        </w:tc>
      </w:tr>
      <w:tr>
        <w:trPr>
          <w:trHeight w:val="171"/>
        </w:trPr>
        <w:tc>
          <w:tcPr>
            <w:tcW w:w="40" w:type="dxa"/>
            <w:vAlign w:val="bottom"/>
          </w:tcPr>
          <w:p>
            <w:pPr>
              <w:spacing w:after="0"/>
              <w:rPr>
                <w:sz w:val="14"/>
                <w:szCs w:val="14"/>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3"/>
                <w:szCs w:val="13"/>
                <w:color w:val="auto"/>
              </w:rPr>
              <w:t>Commercial and industrial</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70</w:t>
            </w:r>
          </w:p>
        </w:tc>
        <w:tc>
          <w:tcPr>
            <w:tcW w:w="20" w:type="dxa"/>
            <w:vAlign w:val="bottom"/>
            <w:shd w:val="clear" w:color="auto" w:fill="CCEEFF"/>
          </w:tcPr>
          <w:p>
            <w:pPr>
              <w:spacing w:after="0"/>
              <w:rPr>
                <w:sz w:val="14"/>
                <w:szCs w:val="14"/>
                <w:color w:val="auto"/>
              </w:rPr>
            </w:pPr>
          </w:p>
        </w:tc>
        <w:tc>
          <w:tcPr>
            <w:tcW w:w="18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Discounted cash flow</w:t>
            </w:r>
          </w:p>
        </w:tc>
        <w:tc>
          <w:tcPr>
            <w:tcW w:w="338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Adj. for differences in net operating income expectations</w:t>
            </w:r>
          </w:p>
        </w:tc>
      </w:tr>
      <w:tr>
        <w:trPr>
          <w:trHeight w:val="180"/>
        </w:trPr>
        <w:tc>
          <w:tcPr>
            <w:tcW w:w="1580" w:type="dxa"/>
            <w:vAlign w:val="bottom"/>
            <w:gridSpan w:val="2"/>
          </w:tcPr>
          <w:p>
            <w:pPr>
              <w:spacing w:after="0"/>
              <w:rPr>
                <w:sz w:val="20"/>
                <w:szCs w:val="20"/>
                <w:color w:val="auto"/>
              </w:rPr>
            </w:pPr>
            <w:r>
              <w:rPr>
                <w:rFonts w:ascii="Arial" w:cs="Arial" w:eastAsia="Arial" w:hAnsi="Arial"/>
                <w:sz w:val="13"/>
                <w:szCs w:val="13"/>
                <w:color w:val="auto"/>
              </w:rPr>
              <w:t>Other</w:t>
            </w: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113</w:t>
            </w:r>
          </w:p>
        </w:tc>
        <w:tc>
          <w:tcPr>
            <w:tcW w:w="20" w:type="dxa"/>
            <w:vAlign w:val="bottom"/>
          </w:tcPr>
          <w:p>
            <w:pPr>
              <w:spacing w:after="0"/>
              <w:rPr>
                <w:sz w:val="15"/>
                <w:szCs w:val="15"/>
                <w:color w:val="auto"/>
              </w:rPr>
            </w:pPr>
          </w:p>
        </w:tc>
        <w:tc>
          <w:tcPr>
            <w:tcW w:w="1800" w:type="dxa"/>
            <w:vAlign w:val="bottom"/>
            <w:tcBorders>
              <w:bottom w:val="single" w:sz="8" w:color="CCEEFF"/>
            </w:tcBorders>
            <w:gridSpan w:val="3"/>
          </w:tcPr>
          <w:p>
            <w:pPr>
              <w:ind w:left="20"/>
              <w:spacing w:after="0"/>
              <w:rPr>
                <w:sz w:val="20"/>
                <w:szCs w:val="20"/>
                <w:color w:val="auto"/>
              </w:rPr>
            </w:pPr>
            <w:r>
              <w:rPr>
                <w:rFonts w:ascii="Arial" w:cs="Arial" w:eastAsia="Arial" w:hAnsi="Arial"/>
                <w:sz w:val="13"/>
                <w:szCs w:val="13"/>
                <w:color w:val="auto"/>
              </w:rPr>
              <w:t>Discounted cash flow</w:t>
            </w:r>
          </w:p>
        </w:tc>
        <w:tc>
          <w:tcPr>
            <w:tcW w:w="3380" w:type="dxa"/>
            <w:vAlign w:val="bottom"/>
            <w:tcBorders>
              <w:bottom w:val="single" w:sz="8" w:color="CCEEFF"/>
            </w:tcBorders>
            <w:gridSpan w:val="4"/>
          </w:tcPr>
          <w:p>
            <w:pPr>
              <w:ind w:left="20"/>
              <w:spacing w:after="0"/>
              <w:rPr>
                <w:sz w:val="20"/>
                <w:szCs w:val="20"/>
                <w:color w:val="auto"/>
              </w:rPr>
            </w:pPr>
            <w:r>
              <w:rPr>
                <w:rFonts w:ascii="Arial" w:cs="Arial" w:eastAsia="Arial" w:hAnsi="Arial"/>
                <w:sz w:val="13"/>
                <w:szCs w:val="13"/>
                <w:color w:val="auto"/>
              </w:rPr>
              <w:t>Adj. for differences in net operating income expectations</w:t>
            </w:r>
          </w:p>
        </w:tc>
      </w:tr>
      <w:tr>
        <w:trPr>
          <w:trHeight w:val="152"/>
        </w:trPr>
        <w:tc>
          <w:tcPr>
            <w:tcW w:w="40" w:type="dxa"/>
            <w:vAlign w:val="bottom"/>
          </w:tcPr>
          <w:p>
            <w:pPr>
              <w:spacing w:after="0"/>
              <w:rPr>
                <w:sz w:val="13"/>
                <w:szCs w:val="13"/>
                <w:color w:val="auto"/>
              </w:rPr>
            </w:pPr>
          </w:p>
        </w:tc>
        <w:tc>
          <w:tcPr>
            <w:tcW w:w="1540" w:type="dxa"/>
            <w:vAlign w:val="bottom"/>
            <w:tcBorders>
              <w:bottom w:val="single" w:sz="8" w:color="CCEEFF"/>
            </w:tcBorders>
            <w:shd w:val="clear" w:color="auto" w:fill="CCEEFF"/>
          </w:tcPr>
          <w:p>
            <w:pPr>
              <w:ind w:left="100"/>
              <w:spacing w:after="0" w:line="131" w:lineRule="exact"/>
              <w:rPr>
                <w:sz w:val="20"/>
                <w:szCs w:val="20"/>
                <w:color w:val="auto"/>
              </w:rPr>
            </w:pPr>
            <w:r>
              <w:rPr>
                <w:rFonts w:ascii="Arial" w:cs="Arial" w:eastAsia="Arial" w:hAnsi="Arial"/>
                <w:sz w:val="13"/>
                <w:szCs w:val="13"/>
                <w:color w:val="auto"/>
              </w:rPr>
              <w:t>Total impaired loans</w:t>
            </w:r>
          </w:p>
        </w:tc>
        <w:tc>
          <w:tcPr>
            <w:tcW w:w="200" w:type="dxa"/>
            <w:vAlign w:val="bottom"/>
            <w:tcBorders>
              <w:bottom w:val="single" w:sz="8" w:color="CCEEFF"/>
            </w:tcBorders>
            <w:gridSpan w:val="3"/>
            <w:shd w:val="clear" w:color="auto" w:fill="CCEEFF"/>
          </w:tcPr>
          <w:p>
            <w:pPr>
              <w:jc w:val="right"/>
              <w:ind w:right="20"/>
              <w:spacing w:after="0" w:line="131" w:lineRule="exact"/>
              <w:rPr>
                <w:sz w:val="20"/>
                <w:szCs w:val="20"/>
                <w:color w:val="auto"/>
              </w:rPr>
            </w:pPr>
            <w:r>
              <w:rPr>
                <w:rFonts w:ascii="Arial" w:cs="Arial" w:eastAsia="Arial" w:hAnsi="Arial"/>
                <w:sz w:val="13"/>
                <w:szCs w:val="13"/>
                <w:color w:val="auto"/>
              </w:rPr>
              <w:t>$</w:t>
            </w:r>
          </w:p>
        </w:tc>
        <w:tc>
          <w:tcPr>
            <w:tcW w:w="760" w:type="dxa"/>
            <w:vAlign w:val="bottom"/>
            <w:tcBorders>
              <w:bottom w:val="single" w:sz="8" w:color="CCEEFF"/>
            </w:tcBorders>
            <w:shd w:val="clear" w:color="auto" w:fill="CCEEFF"/>
          </w:tcPr>
          <w:p>
            <w:pPr>
              <w:jc w:val="right"/>
              <w:ind w:right="16"/>
              <w:spacing w:after="0" w:line="131" w:lineRule="exact"/>
              <w:rPr>
                <w:sz w:val="20"/>
                <w:szCs w:val="20"/>
                <w:color w:val="auto"/>
              </w:rPr>
            </w:pPr>
            <w:r>
              <w:rPr>
                <w:rFonts w:ascii="Arial" w:cs="Arial" w:eastAsia="Arial" w:hAnsi="Arial"/>
                <w:sz w:val="13"/>
                <w:szCs w:val="13"/>
                <w:color w:val="auto"/>
              </w:rPr>
              <w:t>3,990</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7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32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0" w:lineRule="exact"/>
        <w:rPr>
          <w:sz w:val="20"/>
          <w:szCs w:val="20"/>
          <w:color w:val="auto"/>
        </w:rPr>
      </w:pPr>
    </w:p>
    <w:p>
      <w:pPr>
        <w:ind w:left="900"/>
        <w:spacing w:after="0"/>
        <w:rPr>
          <w:sz w:val="20"/>
          <w:szCs w:val="20"/>
          <w:color w:val="auto"/>
        </w:rPr>
      </w:pPr>
      <w:r>
        <w:rPr>
          <w:rFonts w:ascii="Arial" w:cs="Arial" w:eastAsia="Arial" w:hAnsi="Arial"/>
          <w:sz w:val="14"/>
          <w:szCs w:val="14"/>
          <w:color w:val="auto"/>
        </w:rPr>
        <w:t>There were no financial liabilities measured at fair value on a non-recurring basis at December 31, 2022 and 2021.</w:t>
      </w:r>
    </w:p>
    <w:p>
      <w:pPr>
        <w:spacing w:after="0" w:line="152"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Items Not Measured at Fair Value</w:t>
      </w:r>
    </w:p>
    <w:p>
      <w:pPr>
        <w:spacing w:after="0" w:line="177" w:lineRule="exact"/>
        <w:rPr>
          <w:sz w:val="20"/>
          <w:szCs w:val="20"/>
          <w:color w:val="auto"/>
        </w:rPr>
      </w:pPr>
    </w:p>
    <w:p>
      <w:pPr>
        <w:ind w:left="640" w:right="699" w:firstLine="256"/>
        <w:spacing w:after="0" w:line="268" w:lineRule="auto"/>
        <w:rPr>
          <w:sz w:val="20"/>
          <w:szCs w:val="20"/>
          <w:color w:val="auto"/>
        </w:rPr>
      </w:pPr>
      <w:r>
        <w:rPr>
          <w:rFonts w:ascii="Arial" w:cs="Arial" w:eastAsia="Arial" w:hAnsi="Arial"/>
          <w:sz w:val="14"/>
          <w:szCs w:val="14"/>
          <w:color w:val="auto"/>
        </w:rPr>
        <w:t>The carrying amounts and estimated fair values of financial instruments not carried at fair value, at December 31, 2022 and 2021 are as follows (in thousands):</w:t>
      </w:r>
    </w:p>
    <w:p>
      <w:pPr>
        <w:spacing w:after="0" w:line="149" w:lineRule="exact"/>
        <w:rPr>
          <w:sz w:val="20"/>
          <w:szCs w:val="20"/>
          <w:color w:val="auto"/>
        </w:rPr>
      </w:pPr>
    </w:p>
    <w:tbl>
      <w:tblPr>
        <w:tblLayout w:type="fixed"/>
        <w:tblInd w:w="620" w:type="dxa"/>
        <w:tblCellMar>
          <w:top w:w="0" w:type="dxa"/>
          <w:left w:w="0" w:type="dxa"/>
          <w:bottom w:w="0" w:type="dxa"/>
          <w:right w:w="0" w:type="dxa"/>
        </w:tblCellMar>
      </w:tblPr>
      <w:tr>
        <w:trPr>
          <w:trHeight w:val="153"/>
        </w:trPr>
        <w:tc>
          <w:tcPr>
            <w:tcW w:w="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3"/>
                <w:szCs w:val="13"/>
                <w:b w:val="1"/>
                <w:bCs w:val="1"/>
                <w:color w:val="auto"/>
              </w:rPr>
              <w:t>Fair Value Hierarchy</w:t>
            </w:r>
          </w:p>
        </w:tc>
        <w:tc>
          <w:tcPr>
            <w:tcW w:w="7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90"/>
        </w:trPr>
        <w:tc>
          <w:tcPr>
            <w:tcW w:w="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176"/>
              <w:spacing w:after="0"/>
              <w:rPr>
                <w:sz w:val="20"/>
                <w:szCs w:val="20"/>
                <w:color w:val="auto"/>
              </w:rPr>
            </w:pPr>
            <w:r>
              <w:rPr>
                <w:rFonts w:ascii="Arial" w:cs="Arial" w:eastAsia="Arial" w:hAnsi="Arial"/>
                <w:sz w:val="13"/>
                <w:szCs w:val="13"/>
                <w:b w:val="1"/>
                <w:bCs w:val="1"/>
                <w:color w:val="auto"/>
              </w:rPr>
              <w:t>Carrying</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Fair Value</w:t>
            </w:r>
          </w:p>
        </w:tc>
      </w:tr>
      <w:tr>
        <w:trPr>
          <w:trHeight w:val="153"/>
        </w:trPr>
        <w:tc>
          <w:tcPr>
            <w:tcW w:w="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196"/>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216"/>
              <w:spacing w:after="0"/>
              <w:rPr>
                <w:sz w:val="20"/>
                <w:szCs w:val="20"/>
                <w:color w:val="auto"/>
              </w:rPr>
            </w:pPr>
            <w:r>
              <w:rPr>
                <w:rFonts w:ascii="Arial" w:cs="Arial" w:eastAsia="Arial" w:hAnsi="Arial"/>
                <w:sz w:val="13"/>
                <w:szCs w:val="13"/>
                <w:b w:val="1"/>
                <w:bCs w:val="1"/>
                <w:color w:val="auto"/>
              </w:rPr>
              <w:t>Level 1</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216"/>
              <w:spacing w:after="0"/>
              <w:rPr>
                <w:sz w:val="20"/>
                <w:szCs w:val="20"/>
                <w:color w:val="auto"/>
              </w:rPr>
            </w:pPr>
            <w:r>
              <w:rPr>
                <w:rFonts w:ascii="Arial" w:cs="Arial" w:eastAsia="Arial" w:hAnsi="Arial"/>
                <w:sz w:val="13"/>
                <w:szCs w:val="13"/>
                <w:b w:val="1"/>
                <w:bCs w:val="1"/>
                <w:color w:val="auto"/>
              </w:rPr>
              <w:t>Level 2</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ind w:right="216"/>
              <w:spacing w:after="0"/>
              <w:rPr>
                <w:sz w:val="20"/>
                <w:szCs w:val="20"/>
                <w:color w:val="auto"/>
              </w:rPr>
            </w:pPr>
            <w:r>
              <w:rPr>
                <w:rFonts w:ascii="Arial" w:cs="Arial" w:eastAsia="Arial" w:hAnsi="Arial"/>
                <w:sz w:val="13"/>
                <w:szCs w:val="13"/>
                <w:b w:val="1"/>
                <w:bCs w:val="1"/>
                <w:color w:val="auto"/>
              </w:rPr>
              <w:t>Level 3</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Amount</w:t>
            </w:r>
          </w:p>
        </w:tc>
      </w:tr>
      <w:tr>
        <w:trPr>
          <w:trHeight w:val="151"/>
        </w:trPr>
        <w:tc>
          <w:tcPr>
            <w:tcW w:w="40" w:type="dxa"/>
            <w:vAlign w:val="bottom"/>
          </w:tcPr>
          <w:p>
            <w:pPr>
              <w:spacing w:after="0"/>
              <w:rPr>
                <w:sz w:val="13"/>
                <w:szCs w:val="13"/>
                <w:color w:val="auto"/>
              </w:rPr>
            </w:pPr>
          </w:p>
        </w:tc>
        <w:tc>
          <w:tcPr>
            <w:tcW w:w="2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December 31, 2022:</w:t>
            </w:r>
          </w:p>
        </w:tc>
        <w:tc>
          <w:tcPr>
            <w:tcW w:w="3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68"/>
        </w:trPr>
        <w:tc>
          <w:tcPr>
            <w:tcW w:w="2520" w:type="dxa"/>
            <w:vAlign w:val="bottom"/>
            <w:gridSpan w:val="2"/>
          </w:tcPr>
          <w:p>
            <w:pPr>
              <w:spacing w:after="0"/>
              <w:rPr>
                <w:sz w:val="20"/>
                <w:szCs w:val="20"/>
                <w:color w:val="auto"/>
              </w:rPr>
            </w:pPr>
            <w:r>
              <w:rPr>
                <w:rFonts w:ascii="Arial" w:cs="Arial" w:eastAsia="Arial" w:hAnsi="Arial"/>
                <w:sz w:val="13"/>
                <w:szCs w:val="13"/>
                <w:color w:val="auto"/>
              </w:rPr>
              <w:t>Financial Assets: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3"/>
        </w:trPr>
        <w:tc>
          <w:tcPr>
            <w:tcW w:w="40" w:type="dxa"/>
            <w:vAlign w:val="bottom"/>
          </w:tcPr>
          <w:p>
            <w:pPr>
              <w:spacing w:after="0"/>
              <w:rPr>
                <w:sz w:val="15"/>
                <w:szCs w:val="15"/>
                <w:color w:val="auto"/>
              </w:rPr>
            </w:pPr>
          </w:p>
        </w:tc>
        <w:tc>
          <w:tcPr>
            <w:tcW w:w="24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Cash and due from banks</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$6,605</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$6,605</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6,605</w:t>
            </w:r>
          </w:p>
        </w:tc>
        <w:tc>
          <w:tcPr>
            <w:tcW w:w="20" w:type="dxa"/>
            <w:vAlign w:val="bottom"/>
            <w:shd w:val="clear" w:color="auto" w:fill="CCEEFF"/>
          </w:tcPr>
          <w:p>
            <w:pPr>
              <w:spacing w:after="0"/>
              <w:rPr>
                <w:sz w:val="15"/>
                <w:szCs w:val="15"/>
                <w:color w:val="auto"/>
              </w:rPr>
            </w:pPr>
          </w:p>
        </w:tc>
      </w:tr>
      <w:tr>
        <w:trPr>
          <w:trHeight w:val="171"/>
        </w:trPr>
        <w:tc>
          <w:tcPr>
            <w:tcW w:w="40" w:type="dxa"/>
            <w:vAlign w:val="bottom"/>
          </w:tcPr>
          <w:p>
            <w:pPr>
              <w:spacing w:after="0"/>
              <w:rPr>
                <w:sz w:val="14"/>
                <w:szCs w:val="14"/>
                <w:color w:val="auto"/>
              </w:rPr>
            </w:pPr>
          </w:p>
        </w:tc>
        <w:tc>
          <w:tcPr>
            <w:tcW w:w="2480" w:type="dxa"/>
            <w:vAlign w:val="bottom"/>
          </w:tcPr>
          <w:p>
            <w:pPr>
              <w:ind w:left="60"/>
              <w:spacing w:after="0"/>
              <w:rPr>
                <w:sz w:val="20"/>
                <w:szCs w:val="20"/>
                <w:color w:val="auto"/>
              </w:rPr>
            </w:pPr>
            <w:r>
              <w:rPr>
                <w:rFonts w:ascii="Arial" w:cs="Arial" w:eastAsia="Arial" w:hAnsi="Arial"/>
                <w:sz w:val="13"/>
                <w:szCs w:val="13"/>
                <w:color w:val="auto"/>
              </w:rPr>
              <w:t>Interest-bearing deposits in banks</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47,563</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47,563</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47,563</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4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Investment securities held to maturity</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188,699</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169,088</w:t>
            </w: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169,088</w:t>
            </w: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480" w:type="dxa"/>
            <w:vAlign w:val="bottom"/>
          </w:tcPr>
          <w:p>
            <w:pPr>
              <w:ind w:left="60"/>
              <w:spacing w:after="0"/>
              <w:rPr>
                <w:sz w:val="20"/>
                <w:szCs w:val="20"/>
                <w:color w:val="auto"/>
              </w:rPr>
            </w:pPr>
            <w:r>
              <w:rPr>
                <w:rFonts w:ascii="Arial" w:cs="Arial" w:eastAsia="Arial" w:hAnsi="Arial"/>
                <w:sz w:val="13"/>
                <w:szCs w:val="13"/>
                <w:color w:val="auto"/>
              </w:rPr>
              <w:t>Loans held for investment, net</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1,489,851</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1,436,877</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1,436,877</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4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Accrued interest receivable</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7,546</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1,183</w:t>
            </w: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6,363</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7,546</w:t>
            </w:r>
          </w:p>
        </w:tc>
        <w:tc>
          <w:tcPr>
            <w:tcW w:w="20" w:type="dxa"/>
            <w:vAlign w:val="bottom"/>
            <w:shd w:val="clear" w:color="auto" w:fill="CCEEFF"/>
          </w:tcPr>
          <w:p>
            <w:pPr>
              <w:spacing w:after="0"/>
              <w:rPr>
                <w:sz w:val="14"/>
                <w:szCs w:val="14"/>
                <w:color w:val="auto"/>
              </w:rPr>
            </w:pPr>
          </w:p>
        </w:tc>
      </w:tr>
      <w:tr>
        <w:trPr>
          <w:trHeight w:val="171"/>
        </w:trPr>
        <w:tc>
          <w:tcPr>
            <w:tcW w:w="2520" w:type="dxa"/>
            <w:vAlign w:val="bottom"/>
            <w:gridSpan w:val="2"/>
          </w:tcPr>
          <w:p>
            <w:pPr>
              <w:spacing w:after="0"/>
              <w:rPr>
                <w:sz w:val="20"/>
                <w:szCs w:val="20"/>
                <w:color w:val="auto"/>
              </w:rPr>
            </w:pPr>
            <w:r>
              <w:rPr>
                <w:rFonts w:ascii="Arial" w:cs="Arial" w:eastAsia="Arial" w:hAnsi="Arial"/>
                <w:sz w:val="13"/>
                <w:szCs w:val="13"/>
                <w:color w:val="auto"/>
              </w:rPr>
              <w:t>Financial Liabilities: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4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Demand Deposits</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$629,776</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$629,776</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629,776</w:t>
            </w: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480" w:type="dxa"/>
            <w:vAlign w:val="bottom"/>
          </w:tcPr>
          <w:p>
            <w:pPr>
              <w:ind w:left="60"/>
              <w:spacing w:after="0"/>
              <w:rPr>
                <w:sz w:val="20"/>
                <w:szCs w:val="20"/>
                <w:color w:val="auto"/>
              </w:rPr>
            </w:pPr>
            <w:r>
              <w:rPr>
                <w:rFonts w:ascii="Arial" w:cs="Arial" w:eastAsia="Arial" w:hAnsi="Arial"/>
                <w:sz w:val="13"/>
                <w:szCs w:val="13"/>
                <w:color w:val="auto"/>
              </w:rPr>
              <w:t>Money market and savings accounts</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915,853</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915,853</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915,853</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4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Interest-bearing checking accounts</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66,675</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66,675</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66,675</w:t>
            </w: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480" w:type="dxa"/>
            <w:vAlign w:val="bottom"/>
          </w:tcPr>
          <w:p>
            <w:pPr>
              <w:ind w:left="60"/>
              <w:spacing w:after="0"/>
              <w:rPr>
                <w:sz w:val="20"/>
                <w:szCs w:val="20"/>
                <w:color w:val="auto"/>
              </w:rPr>
            </w:pPr>
            <w:r>
              <w:rPr>
                <w:rFonts w:ascii="Arial" w:cs="Arial" w:eastAsia="Arial" w:hAnsi="Arial"/>
                <w:sz w:val="13"/>
                <w:szCs w:val="13"/>
                <w:color w:val="auto"/>
              </w:rPr>
              <w:t>Time deposits</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216,977</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211,406</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211,406</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4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FHLB advances</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46,000</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44,547</w:t>
            </w: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44,547</w:t>
            </w: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480" w:type="dxa"/>
            <w:vAlign w:val="bottom"/>
          </w:tcPr>
          <w:p>
            <w:pPr>
              <w:ind w:left="60"/>
              <w:spacing w:after="0"/>
              <w:rPr>
                <w:sz w:val="20"/>
                <w:szCs w:val="20"/>
                <w:color w:val="auto"/>
              </w:rPr>
            </w:pPr>
            <w:r>
              <w:rPr>
                <w:rFonts w:ascii="Arial" w:cs="Arial" w:eastAsia="Arial" w:hAnsi="Arial"/>
                <w:sz w:val="13"/>
                <w:szCs w:val="13"/>
                <w:color w:val="auto"/>
              </w:rPr>
              <w:t>Accrued interest payable</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229</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92</w:t>
            </w:r>
          </w:p>
        </w:tc>
        <w:tc>
          <w:tcPr>
            <w:tcW w:w="200" w:type="dxa"/>
            <w:vAlign w:val="bottom"/>
            <w:gridSpan w:val="2"/>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137</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229</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2520" w:type="dxa"/>
            <w:vAlign w:val="bottom"/>
            <w:gridSpan w:val="2"/>
          </w:tcPr>
          <w:p>
            <w:pPr>
              <w:spacing w:after="0"/>
              <w:rPr>
                <w:sz w:val="20"/>
                <w:szCs w:val="20"/>
                <w:color w:val="auto"/>
              </w:rPr>
            </w:pPr>
            <w:r>
              <w:rPr>
                <w:rFonts w:ascii="Arial" w:cs="Arial" w:eastAsia="Arial" w:hAnsi="Arial"/>
                <w:sz w:val="13"/>
                <w:szCs w:val="13"/>
                <w:b w:val="1"/>
                <w:bCs w:val="1"/>
                <w:color w:val="auto"/>
              </w:rPr>
              <w:t>December 31, 2021:</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3"/>
                <w:szCs w:val="13"/>
                <w:color w:val="auto"/>
              </w:rPr>
              <w:t>Financial Assets:</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480" w:type="dxa"/>
            <w:vAlign w:val="bottom"/>
          </w:tcPr>
          <w:p>
            <w:pPr>
              <w:ind w:left="60"/>
              <w:spacing w:after="0"/>
              <w:rPr>
                <w:sz w:val="20"/>
                <w:szCs w:val="20"/>
                <w:color w:val="auto"/>
              </w:rPr>
            </w:pPr>
            <w:r>
              <w:rPr>
                <w:rFonts w:ascii="Arial" w:cs="Arial" w:eastAsia="Arial" w:hAnsi="Arial"/>
                <w:sz w:val="13"/>
                <w:szCs w:val="13"/>
                <w:color w:val="auto"/>
              </w:rPr>
              <w:t>Cash and due from banks</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6,477</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6,477</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6,477</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4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Interest-bearing deposits in banks</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39,751</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39,751</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39,751</w:t>
            </w: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480" w:type="dxa"/>
            <w:vAlign w:val="bottom"/>
          </w:tcPr>
          <w:p>
            <w:pPr>
              <w:ind w:left="60"/>
              <w:spacing w:after="0"/>
              <w:rPr>
                <w:sz w:val="20"/>
                <w:szCs w:val="20"/>
                <w:color w:val="auto"/>
              </w:rPr>
            </w:pPr>
            <w:r>
              <w:rPr>
                <w:rFonts w:ascii="Arial" w:cs="Arial" w:eastAsia="Arial" w:hAnsi="Arial"/>
                <w:sz w:val="13"/>
                <w:szCs w:val="13"/>
                <w:color w:val="auto"/>
              </w:rPr>
              <w:t>Investment securities held to maturity</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122,658</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120,157</w:t>
            </w:r>
          </w:p>
        </w:tc>
        <w:tc>
          <w:tcPr>
            <w:tcW w:w="200" w:type="dxa"/>
            <w:vAlign w:val="bottom"/>
            <w:gridSpan w:val="2"/>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120,157</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4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Loans held for investment, net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1,175,024</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1,189,191</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1,189,191</w:t>
            </w: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480" w:type="dxa"/>
            <w:vAlign w:val="bottom"/>
          </w:tcPr>
          <w:p>
            <w:pPr>
              <w:ind w:left="60"/>
              <w:spacing w:after="0"/>
              <w:rPr>
                <w:sz w:val="20"/>
                <w:szCs w:val="20"/>
                <w:color w:val="auto"/>
              </w:rPr>
            </w:pPr>
            <w:r>
              <w:rPr>
                <w:rFonts w:ascii="Arial" w:cs="Arial" w:eastAsia="Arial" w:hAnsi="Arial"/>
                <w:sz w:val="13"/>
                <w:szCs w:val="13"/>
                <w:color w:val="auto"/>
              </w:rPr>
              <w:t>Accrued interest receivable</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5,975</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1,222</w:t>
            </w:r>
          </w:p>
        </w:tc>
        <w:tc>
          <w:tcPr>
            <w:tcW w:w="200" w:type="dxa"/>
            <w:vAlign w:val="bottom"/>
            <w:gridSpan w:val="2"/>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4,753</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5,975</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3"/>
                <w:szCs w:val="13"/>
                <w:color w:val="auto"/>
              </w:rPr>
              <w:t>Financial Liabilities:</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480" w:type="dxa"/>
            <w:vAlign w:val="bottom"/>
          </w:tcPr>
          <w:p>
            <w:pPr>
              <w:ind w:left="60"/>
              <w:spacing w:after="0"/>
              <w:rPr>
                <w:sz w:val="20"/>
                <w:szCs w:val="20"/>
                <w:color w:val="auto"/>
              </w:rPr>
            </w:pPr>
            <w:r>
              <w:rPr>
                <w:rFonts w:ascii="Arial" w:cs="Arial" w:eastAsia="Arial" w:hAnsi="Arial"/>
                <w:sz w:val="13"/>
                <w:szCs w:val="13"/>
                <w:color w:val="auto"/>
              </w:rPr>
              <w:t>Demand Deposits</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605,425</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605,425</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605,425</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4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Money market and savings accounts</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703,856</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703,856</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703,856</w:t>
            </w: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480" w:type="dxa"/>
            <w:vAlign w:val="bottom"/>
          </w:tcPr>
          <w:p>
            <w:pPr>
              <w:ind w:left="60"/>
              <w:spacing w:after="0"/>
              <w:rPr>
                <w:sz w:val="20"/>
                <w:szCs w:val="20"/>
                <w:color w:val="auto"/>
              </w:rPr>
            </w:pPr>
            <w:r>
              <w:rPr>
                <w:rFonts w:ascii="Arial" w:cs="Arial" w:eastAsia="Arial" w:hAnsi="Arial"/>
                <w:sz w:val="13"/>
                <w:szCs w:val="13"/>
                <w:color w:val="auto"/>
              </w:rPr>
              <w:t>Interest-bearing checking accounts</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55,878</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55,878</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55,878</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4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Time deposits</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225,220</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224,688</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224,688</w:t>
            </w: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480" w:type="dxa"/>
            <w:vAlign w:val="bottom"/>
          </w:tcPr>
          <w:p>
            <w:pPr>
              <w:ind w:left="60"/>
              <w:spacing w:after="0"/>
              <w:rPr>
                <w:sz w:val="20"/>
                <w:szCs w:val="20"/>
                <w:color w:val="auto"/>
              </w:rPr>
            </w:pPr>
            <w:r>
              <w:rPr>
                <w:rFonts w:ascii="Arial" w:cs="Arial" w:eastAsia="Arial" w:hAnsi="Arial"/>
                <w:sz w:val="13"/>
                <w:szCs w:val="13"/>
                <w:color w:val="auto"/>
              </w:rPr>
              <w:t>FHLB advances</w:t>
            </w: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36,000</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36,479</w:t>
            </w:r>
          </w:p>
        </w:tc>
        <w:tc>
          <w:tcPr>
            <w:tcW w:w="200" w:type="dxa"/>
            <w:vAlign w:val="bottom"/>
            <w:gridSpan w:val="2"/>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6"/>
              <w:spacing w:after="0"/>
              <w:rPr>
                <w:sz w:val="20"/>
                <w:szCs w:val="20"/>
                <w:color w:val="auto"/>
              </w:rPr>
            </w:pPr>
            <w:r>
              <w:rPr>
                <w:rFonts w:ascii="Arial" w:cs="Arial" w:eastAsia="Arial" w:hAnsi="Arial"/>
                <w:sz w:val="13"/>
                <w:szCs w:val="13"/>
                <w:color w:val="auto"/>
              </w:rPr>
              <w:t>36,479</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24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Accrued interest payable</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96</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50</w:t>
            </w: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46</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96</w:t>
            </w:r>
          </w:p>
        </w:tc>
        <w:tc>
          <w:tcPr>
            <w:tcW w:w="20" w:type="dxa"/>
            <w:vAlign w:val="bottom"/>
            <w:shd w:val="clear" w:color="auto" w:fill="CCEEFF"/>
          </w:tcPr>
          <w:p>
            <w:pPr>
              <w:spacing w:after="0"/>
              <w:rPr>
                <w:sz w:val="14"/>
                <w:szCs w:val="14"/>
                <w:color w:val="auto"/>
              </w:rPr>
            </w:pPr>
          </w:p>
        </w:tc>
      </w:tr>
    </w:tbl>
    <w:p>
      <w:pPr>
        <w:spacing w:after="0" w:line="200" w:lineRule="exact"/>
        <w:rPr>
          <w:sz w:val="20"/>
          <w:szCs w:val="20"/>
          <w:color w:val="auto"/>
        </w:rPr>
      </w:pPr>
    </w:p>
    <w:p>
      <w:pPr>
        <w:spacing w:after="0" w:line="301"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42</w:t>
      </w:r>
      <w:r>
        <w:rPr>
          <w:sz w:val="20"/>
          <w:szCs w:val="20"/>
          <w:color w:val="auto"/>
        </w:rPr>
        <w:tab/>
      </w:r>
      <w:r>
        <w:rPr>
          <w:rFonts w:ascii="Arial" w:cs="Arial" w:eastAsia="Arial" w:hAnsi="Arial"/>
          <w:sz w:val="14"/>
          <w:szCs w:val="14"/>
          <w:color w:val="auto"/>
        </w:rPr>
        <w:t>USCB Financial Holdings, Inc.</w:t>
        <w:tab/>
        <w:t>2022 10-K/A</w:t>
      </w:r>
    </w:p>
    <w:p>
      <w:pPr>
        <w:sectPr>
          <w:pgSz w:w="11900" w:h="16838" w:orient="portrait"/>
          <w:cols w:equalWidth="0" w:num="1">
            <w:col w:w="9019"/>
          </w:cols>
          <w:pgMar w:left="1440" w:top="490" w:right="1440" w:bottom="1440" w:gutter="0" w:footer="0" w:header="0"/>
        </w:sectPr>
      </w:pPr>
    </w:p>
    <w:bookmarkStart w:id="42" w:name="page43"/>
    <w:bookmarkEnd w:id="4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Notes to the Consolidated Financial Statements</w:t>
      </w:r>
    </w:p>
    <w:p>
      <w:pPr>
        <w:spacing w:after="0" w:line="162" w:lineRule="exact"/>
        <w:rPr>
          <w:sz w:val="20"/>
          <w:szCs w:val="20"/>
          <w:color w:val="auto"/>
        </w:rPr>
      </w:pPr>
    </w:p>
    <w:p>
      <w:pPr>
        <w:ind w:left="1040" w:hanging="398"/>
        <w:spacing w:after="0"/>
        <w:tabs>
          <w:tab w:leader="none" w:pos="1040" w:val="left"/>
        </w:tabs>
        <w:numPr>
          <w:ilvl w:val="0"/>
          <w:numId w:val="19"/>
        </w:numPr>
        <w:rPr>
          <w:rFonts w:ascii="Arial" w:cs="Arial" w:eastAsia="Arial" w:hAnsi="Arial"/>
          <w:sz w:val="14"/>
          <w:szCs w:val="14"/>
          <w:b w:val="1"/>
          <w:bCs w:val="1"/>
          <w:color w:val="auto"/>
        </w:rPr>
      </w:pPr>
      <w:r>
        <w:rPr>
          <w:rFonts w:ascii="Arial" w:cs="Arial" w:eastAsia="Arial" w:hAnsi="Arial"/>
          <w:sz w:val="14"/>
          <w:szCs w:val="14"/>
          <w:b w:val="1"/>
          <w:bCs w:val="1"/>
          <w:color w:val="auto"/>
        </w:rPr>
        <w:t>STOCKHOLDERS’ EQUITY</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Common Stock</w:t>
      </w:r>
    </w:p>
    <w:p>
      <w:pPr>
        <w:spacing w:after="0" w:line="188" w:lineRule="exact"/>
        <w:rPr>
          <w:sz w:val="20"/>
          <w:szCs w:val="20"/>
          <w:color w:val="auto"/>
        </w:rPr>
      </w:pPr>
    </w:p>
    <w:p>
      <w:pPr>
        <w:jc w:val="both"/>
        <w:ind w:left="640" w:right="699" w:firstLine="256"/>
        <w:spacing w:after="0" w:line="246" w:lineRule="auto"/>
        <w:rPr>
          <w:sz w:val="20"/>
          <w:szCs w:val="20"/>
          <w:color w:val="auto"/>
        </w:rPr>
      </w:pPr>
      <w:r>
        <w:rPr>
          <w:rFonts w:ascii="Arial" w:cs="Arial" w:eastAsia="Arial" w:hAnsi="Arial"/>
          <w:sz w:val="14"/>
          <w:szCs w:val="14"/>
          <w:color w:val="auto"/>
        </w:rPr>
        <w:t>On June 16, 2021, the Bank effected a 1 for 5 reverse stock split of all the Class A common stock $1.00 par value per share. As of the effective date of June 16, 2021, each five shares of the Company’s Class A common stock was combined into one fully paid share of Class A common stock. Any fractional shares resulting from this reverse stock split were rounded up to one whole share. The Bank has adjusted the Class A common stock, earnings per share and stock options adjusted for this 1 for 5 reverse stock split for all periods presented here. The Class B non-voting common stock was not adjusted but if sold or exchanged would be converted at the 1 for 5 reverse stock split of 5 Class B common stock for 1 share of Class A common stock.</w:t>
      </w:r>
    </w:p>
    <w:p>
      <w:pPr>
        <w:spacing w:after="0" w:line="147" w:lineRule="exact"/>
        <w:rPr>
          <w:sz w:val="20"/>
          <w:szCs w:val="20"/>
          <w:color w:val="auto"/>
        </w:rPr>
      </w:pPr>
    </w:p>
    <w:p>
      <w:pPr>
        <w:jc w:val="both"/>
        <w:ind w:left="640" w:right="699" w:firstLine="256"/>
        <w:spacing w:after="0" w:line="253" w:lineRule="auto"/>
        <w:rPr>
          <w:sz w:val="20"/>
          <w:szCs w:val="20"/>
          <w:color w:val="auto"/>
        </w:rPr>
      </w:pPr>
      <w:r>
        <w:rPr>
          <w:rFonts w:ascii="Arial" w:cs="Arial" w:eastAsia="Arial" w:hAnsi="Arial"/>
          <w:sz w:val="14"/>
          <w:szCs w:val="14"/>
          <w:color w:val="auto"/>
        </w:rPr>
        <w:t>On July 27, 2021, the Bank completed the Initial Public Offering (“IPO”) of its Class A common stock, in which it issued and sold 4,600,000 shares of Class A common stock at a price of $10.00 per share. The Company received total net proceeds of $40.0 million after deducting underwriting discounts and expenses.</w:t>
      </w:r>
    </w:p>
    <w:p>
      <w:pPr>
        <w:spacing w:after="0" w:line="152" w:lineRule="exact"/>
        <w:rPr>
          <w:sz w:val="20"/>
          <w:szCs w:val="20"/>
          <w:color w:val="auto"/>
        </w:rPr>
      </w:pPr>
    </w:p>
    <w:p>
      <w:pPr>
        <w:jc w:val="both"/>
        <w:ind w:left="640" w:right="679" w:firstLine="256"/>
        <w:spacing w:after="0" w:line="245" w:lineRule="auto"/>
        <w:rPr>
          <w:sz w:val="20"/>
          <w:szCs w:val="20"/>
          <w:color w:val="auto"/>
        </w:rPr>
      </w:pPr>
      <w:r>
        <w:rPr>
          <w:rFonts w:ascii="Arial" w:cs="Arial" w:eastAsia="Arial" w:hAnsi="Arial"/>
          <w:sz w:val="14"/>
          <w:szCs w:val="14"/>
          <w:color w:val="auto"/>
        </w:rPr>
        <w:t>On December 21, 2021, the Company entered into agreements with the Class B shareholders to exchange all outstanding Class B non-voting common stock for Class A voting common stock at a ratio of 5 to 1. On the same day, a total of 6,121,052 shares of Class B common stock was exchanged for 1,224,212 shares of Class A common stock.</w:t>
      </w:r>
    </w:p>
    <w:p>
      <w:pPr>
        <w:spacing w:after="0" w:line="158" w:lineRule="exact"/>
        <w:rPr>
          <w:sz w:val="20"/>
          <w:szCs w:val="20"/>
          <w:color w:val="auto"/>
        </w:rPr>
      </w:pPr>
    </w:p>
    <w:p>
      <w:pPr>
        <w:jc w:val="both"/>
        <w:ind w:left="640" w:right="699" w:firstLine="256"/>
        <w:spacing w:after="0" w:line="246" w:lineRule="auto"/>
        <w:rPr>
          <w:sz w:val="20"/>
          <w:szCs w:val="20"/>
          <w:color w:val="auto"/>
        </w:rPr>
      </w:pPr>
      <w:r>
        <w:rPr>
          <w:rFonts w:ascii="Arial" w:cs="Arial" w:eastAsia="Arial" w:hAnsi="Arial"/>
          <w:sz w:val="14"/>
          <w:szCs w:val="14"/>
          <w:color w:val="auto"/>
        </w:rPr>
        <w:t>In December 2021, the Company acquired all the issued and outstanding shares of the Class A voting common stock of the Bank, which were the only issued and outstanding shares of the Bank’s capital stock, in a share exchange (the “Reorganization”) effected under the Florida Business Corporation Act. Each of the outstanding shares of the Bank’s common stock, par value $1.00 per share, formerly held by its shareholders was converted into and exchanged for one newly issued share of the Company’s common stock, par value $1.00 per share, and the Bank became the Company’s wholly-owned subsidiary. Prior to completing the bank holding company formation, the Company had no material assets and had not conducted any business or operations except for activities related to our organization and the Reorganization.</w:t>
      </w:r>
    </w:p>
    <w:p>
      <w:pPr>
        <w:spacing w:after="0" w:line="157" w:lineRule="exact"/>
        <w:rPr>
          <w:sz w:val="20"/>
          <w:szCs w:val="20"/>
          <w:color w:val="auto"/>
        </w:rPr>
      </w:pPr>
    </w:p>
    <w:p>
      <w:pPr>
        <w:jc w:val="both"/>
        <w:ind w:left="640" w:right="719" w:firstLine="256"/>
        <w:spacing w:after="0" w:line="248" w:lineRule="auto"/>
        <w:rPr>
          <w:sz w:val="20"/>
          <w:szCs w:val="20"/>
          <w:color w:val="auto"/>
        </w:rPr>
      </w:pPr>
      <w:r>
        <w:rPr>
          <w:rFonts w:ascii="Arial" w:cs="Arial" w:eastAsia="Arial" w:hAnsi="Arial"/>
          <w:sz w:val="14"/>
          <w:szCs w:val="14"/>
          <w:color w:val="auto"/>
        </w:rPr>
        <w:t>In the Reorganization, each shareholder of the Bank received securities of the same class, having substantially the same designations, rights, powers, preferences, qualifications, limitations and restrictions, as those that the shareholder held in the Bank, and the Company’s current shareholders own the same percentages of its common stock as they previously owned of the Bank’s common stock.</w:t>
      </w:r>
    </w:p>
    <w:p>
      <w:pPr>
        <w:spacing w:after="0" w:line="127"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Preferred Stock</w:t>
      </w:r>
    </w:p>
    <w:p>
      <w:pPr>
        <w:spacing w:after="0" w:line="188" w:lineRule="exact"/>
        <w:rPr>
          <w:sz w:val="20"/>
          <w:szCs w:val="20"/>
          <w:color w:val="auto"/>
        </w:rPr>
      </w:pPr>
    </w:p>
    <w:p>
      <w:pPr>
        <w:jc w:val="both"/>
        <w:ind w:left="640" w:right="699" w:firstLine="256"/>
        <w:spacing w:after="0" w:line="253" w:lineRule="auto"/>
        <w:rPr>
          <w:sz w:val="20"/>
          <w:szCs w:val="20"/>
          <w:color w:val="auto"/>
        </w:rPr>
      </w:pPr>
      <w:r>
        <w:rPr>
          <w:rFonts w:ascii="Arial" w:cs="Arial" w:eastAsia="Arial" w:hAnsi="Arial"/>
          <w:sz w:val="14"/>
          <w:szCs w:val="14"/>
          <w:color w:val="auto"/>
        </w:rPr>
        <w:t>On April 5, 2021, the Board authorized and approved the offer to repurchase all outstanding shares of Class E preferred stock at the liquidation value of $7.5 million along with declared dividends of $103 thousand. All Class E preferred stock shareholders approved the repurchase which the Company completed on April 26, 2021.</w:t>
      </w:r>
    </w:p>
    <w:p>
      <w:pPr>
        <w:spacing w:after="0" w:line="142" w:lineRule="exact"/>
        <w:rPr>
          <w:sz w:val="20"/>
          <w:szCs w:val="20"/>
          <w:color w:val="auto"/>
        </w:rPr>
      </w:pPr>
    </w:p>
    <w:p>
      <w:pPr>
        <w:jc w:val="both"/>
        <w:ind w:left="640" w:right="699" w:firstLine="256"/>
        <w:spacing w:after="0" w:line="249" w:lineRule="auto"/>
        <w:rPr>
          <w:sz w:val="20"/>
          <w:szCs w:val="20"/>
          <w:color w:val="auto"/>
        </w:rPr>
      </w:pPr>
      <w:r>
        <w:rPr>
          <w:rFonts w:ascii="Arial" w:cs="Arial" w:eastAsia="Arial" w:hAnsi="Arial"/>
          <w:sz w:val="14"/>
          <w:szCs w:val="14"/>
          <w:color w:val="auto"/>
        </w:rPr>
        <w:t>The Company offered the Class C and Class D preferred stockholders the ability to exchange their shares for Class A common stock. The offer to exchange was voluntary and the preferred stockholders were given the option to convert 90% of their preferred shares for Class A common stock with the remaining 10% to be redeemed in the form of cash. The exchange ratio for the shares of Class A common stock issued in the exchange transaction was based upon the IPO price for shares of Class A common stock.</w:t>
      </w:r>
    </w:p>
    <w:p>
      <w:pPr>
        <w:spacing w:after="0" w:line="146" w:lineRule="exact"/>
        <w:rPr>
          <w:sz w:val="20"/>
          <w:szCs w:val="20"/>
          <w:color w:val="auto"/>
        </w:rPr>
      </w:pPr>
    </w:p>
    <w:p>
      <w:pPr>
        <w:jc w:val="both"/>
        <w:ind w:left="640" w:right="699" w:firstLine="256"/>
        <w:spacing w:after="0" w:line="248" w:lineRule="auto"/>
        <w:rPr>
          <w:sz w:val="20"/>
          <w:szCs w:val="20"/>
          <w:color w:val="auto"/>
        </w:rPr>
      </w:pPr>
      <w:r>
        <w:rPr>
          <w:rFonts w:ascii="Arial" w:cs="Arial" w:eastAsia="Arial" w:hAnsi="Arial"/>
          <w:sz w:val="14"/>
          <w:szCs w:val="14"/>
          <w:color w:val="auto"/>
        </w:rPr>
        <w:t>During the year ended 2021, 47,473 shares of Class C preferred stock and 11,061,552 shares of Class D preferred stock converted into 10,278,072 shares of Class A common stock. The exchange of the Class C and Class D preferred shares had a total liquidation value of $102.8 million. The remaining unconverted shares of Class C preferred stock and Class D preferred stock totaling 1,234,354 shares were subsequently redeemed at liquidation value for $11.4 million.</w:t>
      </w:r>
    </w:p>
    <w:p>
      <w:pPr>
        <w:spacing w:after="0" w:line="156" w:lineRule="exact"/>
        <w:rPr>
          <w:sz w:val="20"/>
          <w:szCs w:val="20"/>
          <w:color w:val="auto"/>
        </w:rPr>
      </w:pPr>
    </w:p>
    <w:p>
      <w:pPr>
        <w:jc w:val="both"/>
        <w:ind w:left="640" w:right="699" w:firstLine="256"/>
        <w:spacing w:after="0" w:line="253" w:lineRule="auto"/>
        <w:rPr>
          <w:sz w:val="20"/>
          <w:szCs w:val="20"/>
          <w:color w:val="auto"/>
        </w:rPr>
      </w:pPr>
      <w:r>
        <w:rPr>
          <w:rFonts w:ascii="Arial" w:cs="Arial" w:eastAsia="Arial" w:hAnsi="Arial"/>
          <w:sz w:val="14"/>
          <w:szCs w:val="14"/>
          <w:color w:val="auto"/>
        </w:rPr>
        <w:t>The fair value of consideration on the exchange and redemption of the Class C and Class D preferred shares exceeded the book value causing a one-time reduction in net income available to common stockholders of $ 89.6 million. As of December 31, 2022, there were no preferred shares and no outstanding dividends to be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43</w:t>
      </w:r>
      <w:r>
        <w:rPr>
          <w:sz w:val="20"/>
          <w:szCs w:val="20"/>
          <w:color w:val="auto"/>
        </w:rPr>
        <w:tab/>
      </w:r>
      <w:r>
        <w:rPr>
          <w:rFonts w:ascii="Arial" w:cs="Arial" w:eastAsia="Arial" w:hAnsi="Arial"/>
          <w:sz w:val="14"/>
          <w:szCs w:val="14"/>
          <w:color w:val="auto"/>
        </w:rPr>
        <w:t>USCB Financial Holdings, Inc.</w:t>
        <w:tab/>
        <w:t>2022 10-K/A</w:t>
      </w:r>
    </w:p>
    <w:p>
      <w:pPr>
        <w:sectPr>
          <w:pgSz w:w="11900" w:h="16838" w:orient="portrait"/>
          <w:cols w:equalWidth="0" w:num="1">
            <w:col w:w="9019"/>
          </w:cols>
          <w:pgMar w:left="1440" w:top="490" w:right="1440" w:bottom="1440" w:gutter="0" w:footer="0" w:header="0"/>
        </w:sectPr>
      </w:pPr>
    </w:p>
    <w:bookmarkStart w:id="43" w:name="page44"/>
    <w:bookmarkEnd w:id="4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Dividends</w:t>
      </w:r>
    </w:p>
    <w:p>
      <w:pPr>
        <w:spacing w:after="0" w:line="188" w:lineRule="exact"/>
        <w:rPr>
          <w:sz w:val="20"/>
          <w:szCs w:val="20"/>
          <w:color w:val="auto"/>
        </w:rPr>
      </w:pPr>
    </w:p>
    <w:p>
      <w:pPr>
        <w:jc w:val="both"/>
        <w:ind w:left="640" w:right="719" w:firstLine="256"/>
        <w:spacing w:after="0" w:line="252" w:lineRule="auto"/>
        <w:rPr>
          <w:sz w:val="20"/>
          <w:szCs w:val="20"/>
          <w:color w:val="auto"/>
        </w:rPr>
      </w:pPr>
      <w:r>
        <w:rPr>
          <w:rFonts w:ascii="Arial" w:cs="Arial" w:eastAsia="Arial" w:hAnsi="Arial"/>
          <w:sz w:val="14"/>
          <w:szCs w:val="14"/>
          <w:color w:val="auto"/>
        </w:rPr>
        <w:t>The Board approved the following dividend amounts on the preferred shares for the years ended December 31, 2022 and 2021 (in thousands):</w:t>
      </w:r>
    </w:p>
    <w:p>
      <w:pPr>
        <w:spacing w:after="0" w:line="160" w:lineRule="exact"/>
        <w:rPr>
          <w:sz w:val="20"/>
          <w:szCs w:val="20"/>
          <w:color w:val="auto"/>
        </w:rPr>
      </w:pPr>
    </w:p>
    <w:tbl>
      <w:tblPr>
        <w:tblLayout w:type="fixed"/>
        <w:tblInd w:w="620" w:type="dxa"/>
        <w:tblCellMar>
          <w:top w:w="0" w:type="dxa"/>
          <w:left w:w="0" w:type="dxa"/>
          <w:bottom w:w="0" w:type="dxa"/>
          <w:right w:w="0" w:type="dxa"/>
        </w:tblCellMar>
      </w:tblPr>
      <w:tr>
        <w:trPr>
          <w:trHeight w:val="153"/>
        </w:trPr>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2022</w:t>
            </w: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ind w:right="376"/>
              <w:spacing w:after="0"/>
              <w:rPr>
                <w:sz w:val="20"/>
                <w:szCs w:val="20"/>
                <w:color w:val="auto"/>
              </w:rPr>
            </w:pPr>
            <w:r>
              <w:rPr>
                <w:rFonts w:ascii="Arial" w:cs="Arial" w:eastAsia="Arial" w:hAnsi="Arial"/>
                <w:sz w:val="13"/>
                <w:szCs w:val="13"/>
                <w:b w:val="1"/>
                <w:bCs w:val="1"/>
                <w:color w:val="auto"/>
              </w:rPr>
              <w:t>2021</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6"/>
        </w:trPr>
        <w:tc>
          <w:tcPr>
            <w:tcW w:w="40" w:type="dxa"/>
            <w:vAlign w:val="bottom"/>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120" w:type="dxa"/>
            <w:vAlign w:val="bottom"/>
            <w:tcBorders>
              <w:top w:val="single" w:sz="8" w:color="CCEEFF"/>
            </w:tcBorders>
          </w:tcPr>
          <w:p>
            <w:pPr>
              <w:spacing w:after="0"/>
              <w:rPr>
                <w:sz w:val="20"/>
                <w:szCs w:val="20"/>
                <w:color w:val="auto"/>
              </w:rPr>
            </w:pPr>
            <w:r>
              <w:rPr>
                <w:rFonts w:ascii="Arial" w:cs="Arial" w:eastAsia="Arial" w:hAnsi="Arial"/>
                <w:sz w:val="13"/>
                <w:szCs w:val="13"/>
                <w:color w:val="auto"/>
                <w:w w:val="98"/>
              </w:rPr>
              <w:t>Preferred stock - Class C: Non-voting, Non-cumulative, Perpetual: $1.00 par value; $1,000</w:t>
            </w:r>
          </w:p>
        </w:tc>
        <w:tc>
          <w:tcPr>
            <w:tcW w:w="10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37"/>
        </w:trPr>
        <w:tc>
          <w:tcPr>
            <w:tcW w:w="5180" w:type="dxa"/>
            <w:vAlign w:val="bottom"/>
            <w:gridSpan w:val="3"/>
          </w:tcPr>
          <w:p>
            <w:pPr>
              <w:spacing w:after="0" w:line="138" w:lineRule="exact"/>
              <w:rPr>
                <w:sz w:val="20"/>
                <w:szCs w:val="20"/>
                <w:color w:val="auto"/>
              </w:rPr>
            </w:pPr>
            <w:r>
              <w:rPr>
                <w:rFonts w:ascii="Arial" w:cs="Arial" w:eastAsia="Arial" w:hAnsi="Arial"/>
                <w:sz w:val="13"/>
                <w:szCs w:val="13"/>
                <w:color w:val="auto"/>
              </w:rPr>
              <w:t>per share liquidation preference; annual dividend rate of 4% of liquidation preference paid</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3"/>
                <w:szCs w:val="13"/>
                <w:color w:val="auto"/>
              </w:rPr>
              <w:t>quarterly. Quarterly dividend of $ 10.00 per share.</w:t>
            </w:r>
          </w:p>
        </w:tc>
        <w:tc>
          <w:tcPr>
            <w:tcW w:w="1000" w:type="dxa"/>
            <w:vAlign w:val="bottom"/>
            <w:gridSpan w:val="2"/>
            <w:shd w:val="clear" w:color="auto" w:fill="CCEEFF"/>
          </w:tcPr>
          <w:p>
            <w:pPr>
              <w:jc w:val="right"/>
              <w:ind w:right="86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40" w:type="dxa"/>
            <w:vAlign w:val="bottom"/>
            <w:tcBorders>
              <w:right w:val="single" w:sz="8" w:color="CCEEFF"/>
            </w:tcBorders>
          </w:tcPr>
          <w:p>
            <w:pPr>
              <w:spacing w:after="0"/>
              <w:rPr>
                <w:sz w:val="12"/>
                <w:szCs w:val="12"/>
                <w:color w:val="auto"/>
              </w:rPr>
            </w:pPr>
          </w:p>
        </w:tc>
        <w:tc>
          <w:tcPr>
            <w:tcW w:w="240" w:type="dxa"/>
            <w:vAlign w:val="bottom"/>
            <w:shd w:val="clear" w:color="auto" w:fill="CCEEFF"/>
          </w:tcPr>
          <w:p>
            <w:pPr>
              <w:jc w:val="right"/>
              <w:ind w:right="173"/>
              <w:spacing w:after="0"/>
              <w:rPr>
                <w:sz w:val="20"/>
                <w:szCs w:val="20"/>
                <w:color w:val="auto"/>
              </w:rPr>
            </w:pPr>
            <w:r>
              <w:rPr>
                <w:rFonts w:ascii="Arial" w:cs="Arial" w:eastAsia="Arial" w:hAnsi="Arial"/>
                <w:sz w:val="5"/>
                <w:szCs w:val="5"/>
                <w:color w:val="auto"/>
                <w:w w:val="70"/>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1,494</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26"/>
        </w:trPr>
        <w:tc>
          <w:tcPr>
            <w:tcW w:w="5180" w:type="dxa"/>
            <w:vAlign w:val="bottom"/>
            <w:gridSpan w:val="3"/>
          </w:tcPr>
          <w:p>
            <w:pPr>
              <w:spacing w:after="0"/>
              <w:rPr>
                <w:sz w:val="20"/>
                <w:szCs w:val="20"/>
                <w:color w:val="auto"/>
              </w:rPr>
            </w:pPr>
            <w:r>
              <w:rPr>
                <w:rFonts w:ascii="Arial" w:cs="Arial" w:eastAsia="Arial" w:hAnsi="Arial"/>
                <w:sz w:val="13"/>
                <w:szCs w:val="13"/>
                <w:color w:val="auto"/>
              </w:rPr>
              <w:t>Preferred stock - Class D: Non-voting, Non-cumulative, Perpetual: $1.00 par value; $5.00</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49"/>
        </w:trPr>
        <w:tc>
          <w:tcPr>
            <w:tcW w:w="5180" w:type="dxa"/>
            <w:vAlign w:val="bottom"/>
            <w:gridSpan w:val="3"/>
          </w:tcPr>
          <w:p>
            <w:pPr>
              <w:spacing w:after="0"/>
              <w:rPr>
                <w:sz w:val="20"/>
                <w:szCs w:val="20"/>
                <w:color w:val="auto"/>
              </w:rPr>
            </w:pPr>
            <w:r>
              <w:rPr>
                <w:rFonts w:ascii="Arial" w:cs="Arial" w:eastAsia="Arial" w:hAnsi="Arial"/>
                <w:sz w:val="13"/>
                <w:szCs w:val="13"/>
                <w:color w:val="auto"/>
              </w:rPr>
              <w:t>per share liquidation preference; annual dividend rate of 4% of par value paid quarterly.</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7"/>
        </w:trPr>
        <w:tc>
          <w:tcPr>
            <w:tcW w:w="5180" w:type="dxa"/>
            <w:vAlign w:val="bottom"/>
            <w:gridSpan w:val="3"/>
          </w:tcPr>
          <w:p>
            <w:pPr>
              <w:spacing w:after="0" w:line="138" w:lineRule="exact"/>
              <w:rPr>
                <w:sz w:val="20"/>
                <w:szCs w:val="20"/>
                <w:color w:val="auto"/>
              </w:rPr>
            </w:pPr>
            <w:r>
              <w:rPr>
                <w:rFonts w:ascii="Arial" w:cs="Arial" w:eastAsia="Arial" w:hAnsi="Arial"/>
                <w:sz w:val="13"/>
                <w:szCs w:val="13"/>
                <w:color w:val="auto"/>
              </w:rPr>
              <w:t>Quarterly dividend of $0.01 per share.</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line="138" w:lineRule="exact"/>
              <w:rPr>
                <w:sz w:val="20"/>
                <w:szCs w:val="20"/>
                <w:color w:val="auto"/>
              </w:rPr>
            </w:pPr>
            <w:r>
              <w:rPr>
                <w:rFonts w:ascii="Arial" w:cs="Arial" w:eastAsia="Arial" w:hAnsi="Arial"/>
                <w:sz w:val="13"/>
                <w:szCs w:val="13"/>
                <w:color w:val="auto"/>
              </w:rPr>
              <w:t>348</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26"/>
        </w:trPr>
        <w:tc>
          <w:tcPr>
            <w:tcW w:w="60" w:type="dxa"/>
            <w:vAlign w:val="bottom"/>
            <w:gridSpan w:val="2"/>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3"/>
                <w:szCs w:val="13"/>
                <w:color w:val="auto"/>
              </w:rPr>
              <w:t>Preferred stock - Class E: Non-voting, partially cumulative, Perpetual: $1.00 par value;</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37"/>
        </w:trPr>
        <w:tc>
          <w:tcPr>
            <w:tcW w:w="5180" w:type="dxa"/>
            <w:vAlign w:val="bottom"/>
            <w:gridSpan w:val="3"/>
          </w:tcPr>
          <w:p>
            <w:pPr>
              <w:spacing w:after="0" w:line="138" w:lineRule="exact"/>
              <w:rPr>
                <w:sz w:val="20"/>
                <w:szCs w:val="20"/>
                <w:color w:val="auto"/>
              </w:rPr>
            </w:pPr>
            <w:r>
              <w:rPr>
                <w:rFonts w:ascii="Arial" w:cs="Arial" w:eastAsia="Arial" w:hAnsi="Arial"/>
                <w:sz w:val="13"/>
                <w:szCs w:val="13"/>
                <w:color w:val="auto"/>
              </w:rPr>
              <w:t>$1,000 per share liquidation preference; annual dividend rate of 7% of liquidation</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60" w:type="dxa"/>
            <w:vAlign w:val="bottom"/>
            <w:gridSpan w:val="2"/>
          </w:tcPr>
          <w:p>
            <w:pPr>
              <w:spacing w:after="0"/>
              <w:rPr>
                <w:sz w:val="12"/>
                <w:szCs w:val="12"/>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3"/>
                <w:szCs w:val="13"/>
                <w:color w:val="auto"/>
              </w:rPr>
              <w:t>preferences paid quarterly. Quarterly dividend of $17.50 per share.</w:t>
            </w:r>
          </w:p>
        </w:tc>
        <w:tc>
          <w:tcPr>
            <w:tcW w:w="10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tcPr>
          <w:p>
            <w:pPr>
              <w:spacing w:after="0"/>
              <w:rPr>
                <w:sz w:val="12"/>
                <w:szCs w:val="12"/>
                <w:color w:val="auto"/>
              </w:rPr>
            </w:pPr>
          </w:p>
        </w:tc>
        <w:tc>
          <w:tcPr>
            <w:tcW w:w="40" w:type="dxa"/>
            <w:vAlign w:val="bottom"/>
            <w:tcBorders>
              <w:right w:val="single" w:sz="8" w:color="CCEEFF"/>
            </w:tcBorders>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235</w:t>
            </w:r>
          </w:p>
        </w:tc>
        <w:tc>
          <w:tcPr>
            <w:tcW w:w="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20" w:type="dxa"/>
            <w:vAlign w:val="bottom"/>
          </w:tcPr>
          <w:p>
            <w:pPr>
              <w:ind w:left="40"/>
              <w:spacing w:after="0"/>
              <w:rPr>
                <w:sz w:val="20"/>
                <w:szCs w:val="20"/>
                <w:color w:val="auto"/>
              </w:rPr>
            </w:pPr>
            <w:r>
              <w:rPr>
                <w:rFonts w:ascii="Arial" w:cs="Arial" w:eastAsia="Arial" w:hAnsi="Arial"/>
                <w:sz w:val="13"/>
                <w:szCs w:val="13"/>
                <w:color w:val="auto"/>
              </w:rPr>
              <w:t>Total dividends paid</w:t>
            </w:r>
          </w:p>
        </w:tc>
        <w:tc>
          <w:tcPr>
            <w:tcW w:w="1000" w:type="dxa"/>
            <w:vAlign w:val="bottom"/>
            <w:gridSpan w:val="2"/>
          </w:tcPr>
          <w:p>
            <w:pPr>
              <w:jc w:val="right"/>
              <w:ind w:right="860"/>
              <w:spacing w:after="0"/>
              <w:rPr>
                <w:sz w:val="20"/>
                <w:szCs w:val="20"/>
                <w:color w:val="auto"/>
              </w:rPr>
            </w:pPr>
            <w:r>
              <w:rPr>
                <w:rFonts w:ascii="Arial" w:cs="Arial" w:eastAsia="Arial" w:hAnsi="Arial"/>
                <w:sz w:val="13"/>
                <w:szCs w:val="13"/>
                <w:color w:val="auto"/>
              </w:rPr>
              <w:t>$</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3"/>
          </w:tcPr>
          <w:p>
            <w:pPr>
              <w:jc w:val="right"/>
              <w:ind w:right="173"/>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2,077</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jc w:val="both"/>
        <w:ind w:left="640" w:right="719" w:firstLine="256"/>
        <w:spacing w:after="0" w:line="253" w:lineRule="auto"/>
        <w:rPr>
          <w:sz w:val="20"/>
          <w:szCs w:val="20"/>
          <w:color w:val="auto"/>
        </w:rPr>
      </w:pPr>
      <w:r>
        <w:rPr>
          <w:rFonts w:ascii="Arial" w:cs="Arial" w:eastAsia="Arial" w:hAnsi="Arial"/>
          <w:sz w:val="14"/>
          <w:szCs w:val="14"/>
          <w:color w:val="auto"/>
        </w:rPr>
        <w:t>Declaration of dividends by the Board is required before dividend payments are made. The dividend payment dates for Class C and Class D preferred shares were set by the Board while the Class E preferred shares had a set dividend payment date on the fifteenth of February, May, August, and November.</w:t>
      </w:r>
    </w:p>
    <w:p>
      <w:pPr>
        <w:spacing w:after="0" w:line="142" w:lineRule="exact"/>
        <w:rPr>
          <w:sz w:val="20"/>
          <w:szCs w:val="20"/>
          <w:color w:val="auto"/>
        </w:rPr>
      </w:pPr>
    </w:p>
    <w:p>
      <w:pPr>
        <w:jc w:val="both"/>
        <w:ind w:left="640" w:right="719" w:firstLine="256"/>
        <w:spacing w:after="0" w:line="268" w:lineRule="auto"/>
        <w:rPr>
          <w:sz w:val="20"/>
          <w:szCs w:val="20"/>
          <w:color w:val="auto"/>
        </w:rPr>
      </w:pPr>
      <w:r>
        <w:rPr>
          <w:rFonts w:ascii="Arial" w:cs="Arial" w:eastAsia="Arial" w:hAnsi="Arial"/>
          <w:sz w:val="14"/>
          <w:szCs w:val="14"/>
          <w:color w:val="auto"/>
        </w:rPr>
        <w:t>No dividends were approved by the Board for the common stock classes for the years ended December 31, 2022 and 2021. Additionally, there were no dividends declared and unpaid at December 31, 2022 and 2021.</w:t>
      </w:r>
    </w:p>
    <w:p>
      <w:pPr>
        <w:spacing w:after="0" w:line="124" w:lineRule="exact"/>
        <w:rPr>
          <w:sz w:val="20"/>
          <w:szCs w:val="20"/>
          <w:color w:val="auto"/>
        </w:rPr>
      </w:pPr>
    </w:p>
    <w:p>
      <w:pPr>
        <w:ind w:left="1040" w:hanging="398"/>
        <w:spacing w:after="0"/>
        <w:tabs>
          <w:tab w:leader="none" w:pos="1040" w:val="left"/>
        </w:tabs>
        <w:numPr>
          <w:ilvl w:val="0"/>
          <w:numId w:val="20"/>
        </w:numPr>
        <w:rPr>
          <w:rFonts w:ascii="Arial" w:cs="Arial" w:eastAsia="Arial" w:hAnsi="Arial"/>
          <w:sz w:val="14"/>
          <w:szCs w:val="14"/>
          <w:b w:val="1"/>
          <w:bCs w:val="1"/>
          <w:color w:val="auto"/>
        </w:rPr>
      </w:pPr>
      <w:r>
        <w:rPr>
          <w:rFonts w:ascii="Arial" w:cs="Arial" w:eastAsia="Arial" w:hAnsi="Arial"/>
          <w:sz w:val="14"/>
          <w:szCs w:val="14"/>
          <w:b w:val="1"/>
          <w:bCs w:val="1"/>
          <w:color w:val="auto"/>
        </w:rPr>
        <w:t>EARNINGS PER SHARE</w:t>
      </w:r>
    </w:p>
    <w:p>
      <w:pPr>
        <w:spacing w:after="0" w:line="220" w:lineRule="exact"/>
        <w:rPr>
          <w:sz w:val="20"/>
          <w:szCs w:val="20"/>
          <w:color w:val="auto"/>
        </w:rPr>
      </w:pPr>
    </w:p>
    <w:p>
      <w:pPr>
        <w:jc w:val="both"/>
        <w:ind w:left="640" w:right="699" w:firstLine="256"/>
        <w:spacing w:after="0" w:line="246" w:lineRule="auto"/>
        <w:rPr>
          <w:sz w:val="20"/>
          <w:szCs w:val="20"/>
          <w:color w:val="auto"/>
        </w:rPr>
      </w:pPr>
      <w:r>
        <w:rPr>
          <w:rFonts w:ascii="Arial" w:cs="Arial" w:eastAsia="Arial" w:hAnsi="Arial"/>
          <w:sz w:val="14"/>
          <w:szCs w:val="14"/>
          <w:color w:val="auto"/>
        </w:rPr>
        <w:t>Earnings per share (“EPS”) for common stock is calculated using the two-class method required for participating securities. Basic EPS is calculated by dividing net income (loss) available to common stockholders by the weighted-average number of common shares outstanding for the period, without consideration for common stock equivalents. Diluted EPS is computed by dividing net income (loss) available to common stockholders by the weighted-average number of common shares outstanding for the period and the weighted-average number of dilutive common stock equivalents outstanding for the period determined using the treasury-stock method. For purposes of this calculation, common stock equivalents include common stock options and are only included in the calculation of diluted EPS when their effect is dilutive.</w:t>
      </w:r>
    </w:p>
    <w:p>
      <w:pPr>
        <w:spacing w:after="0" w:line="157" w:lineRule="exact"/>
        <w:rPr>
          <w:sz w:val="20"/>
          <w:szCs w:val="20"/>
          <w:color w:val="auto"/>
        </w:rPr>
      </w:pPr>
    </w:p>
    <w:p>
      <w:pPr>
        <w:jc w:val="both"/>
        <w:ind w:left="640" w:right="699" w:firstLine="256"/>
        <w:spacing w:after="0" w:line="245" w:lineRule="auto"/>
        <w:rPr>
          <w:sz w:val="20"/>
          <w:szCs w:val="20"/>
          <w:color w:val="auto"/>
        </w:rPr>
      </w:pPr>
      <w:r>
        <w:rPr>
          <w:rFonts w:ascii="Arial" w:cs="Arial" w:eastAsia="Arial" w:hAnsi="Arial"/>
          <w:sz w:val="14"/>
          <w:szCs w:val="14"/>
          <w:color w:val="auto"/>
        </w:rPr>
        <w:t>In calculating EPS for the year ended December 31, 2022 and 2021, net income available to common stockholders was not allocated between Class A and Class B common stock since there was no issued and outstanding Class B common stock at year-end.</w:t>
      </w:r>
    </w:p>
    <w:p>
      <w:pPr>
        <w:spacing w:after="0" w:line="157" w:lineRule="exact"/>
        <w:rPr>
          <w:sz w:val="20"/>
          <w:szCs w:val="20"/>
          <w:color w:val="auto"/>
        </w:rPr>
      </w:pPr>
    </w:p>
    <w:p>
      <w:pPr>
        <w:ind w:left="900"/>
        <w:spacing w:after="0"/>
        <w:rPr>
          <w:sz w:val="20"/>
          <w:szCs w:val="20"/>
          <w:color w:val="auto"/>
        </w:rPr>
      </w:pPr>
      <w:r>
        <w:rPr>
          <w:rFonts w:ascii="Arial" w:cs="Arial" w:eastAsia="Arial" w:hAnsi="Arial"/>
          <w:sz w:val="14"/>
          <w:szCs w:val="14"/>
          <w:color w:val="auto"/>
        </w:rPr>
        <w:t>The following table reflects the calculation of net income (loss) available to common stockholders for the years ended</w:t>
      </w:r>
    </w:p>
    <w:p>
      <w:pPr>
        <w:ind w:left="640"/>
        <w:spacing w:after="0"/>
        <w:rPr>
          <w:sz w:val="20"/>
          <w:szCs w:val="20"/>
          <w:color w:val="auto"/>
        </w:rPr>
      </w:pPr>
      <w:r>
        <w:rPr>
          <w:rFonts w:ascii="Arial" w:cs="Arial" w:eastAsia="Arial" w:hAnsi="Arial"/>
          <w:sz w:val="14"/>
          <w:szCs w:val="14"/>
          <w:color w:val="auto"/>
        </w:rPr>
        <w:t>December 31, 2022 and 2021 (in thousands):</w:t>
      </w:r>
    </w:p>
    <w:p>
      <w:pPr>
        <w:spacing w:after="0" w:line="177" w:lineRule="exact"/>
        <w:rPr>
          <w:sz w:val="20"/>
          <w:szCs w:val="20"/>
          <w:color w:val="auto"/>
        </w:rPr>
      </w:pPr>
    </w:p>
    <w:tbl>
      <w:tblPr>
        <w:tblLayout w:type="fixed"/>
        <w:tblInd w:w="620" w:type="dxa"/>
        <w:tblCellMar>
          <w:top w:w="0" w:type="dxa"/>
          <w:left w:w="0" w:type="dxa"/>
          <w:bottom w:w="0" w:type="dxa"/>
          <w:right w:w="0" w:type="dxa"/>
        </w:tblCellMar>
      </w:tblPr>
      <w:tr>
        <w:trPr>
          <w:trHeight w:val="153"/>
        </w:trPr>
        <w:tc>
          <w:tcPr>
            <w:tcW w:w="4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7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2022</w:t>
            </w: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jc w:val="right"/>
              <w:ind w:right="536"/>
              <w:spacing w:after="0"/>
              <w:rPr>
                <w:sz w:val="20"/>
                <w:szCs w:val="20"/>
                <w:color w:val="auto"/>
              </w:rPr>
            </w:pPr>
            <w:r>
              <w:rPr>
                <w:rFonts w:ascii="Arial" w:cs="Arial" w:eastAsia="Arial" w:hAnsi="Arial"/>
                <w:sz w:val="13"/>
                <w:szCs w:val="13"/>
                <w:b w:val="1"/>
                <w:bCs w:val="1"/>
                <w:color w:val="auto"/>
              </w:rPr>
              <w:t>2021</w:t>
            </w:r>
          </w:p>
        </w:tc>
        <w:tc>
          <w:tcPr>
            <w:tcW w:w="20" w:type="dxa"/>
            <w:vAlign w:val="bottom"/>
          </w:tcPr>
          <w:p>
            <w:pPr>
              <w:spacing w:after="0"/>
              <w:rPr>
                <w:sz w:val="13"/>
                <w:szCs w:val="13"/>
                <w:color w:val="auto"/>
              </w:rPr>
            </w:pPr>
          </w:p>
        </w:tc>
      </w:tr>
      <w:tr>
        <w:trPr>
          <w:trHeight w:val="20"/>
        </w:trPr>
        <w:tc>
          <w:tcPr>
            <w:tcW w:w="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1"/>
        </w:trPr>
        <w:tc>
          <w:tcPr>
            <w:tcW w:w="40" w:type="dxa"/>
            <w:vAlign w:val="bottom"/>
          </w:tcPr>
          <w:p>
            <w:pPr>
              <w:spacing w:after="0"/>
              <w:rPr>
                <w:sz w:val="12"/>
                <w:szCs w:val="12"/>
                <w:color w:val="auto"/>
              </w:rPr>
            </w:pPr>
          </w:p>
        </w:tc>
        <w:tc>
          <w:tcPr>
            <w:tcW w:w="390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Net Income</w:t>
            </w:r>
          </w:p>
        </w:tc>
        <w:tc>
          <w:tcPr>
            <w:tcW w:w="1780" w:type="dxa"/>
            <w:vAlign w:val="bottom"/>
            <w:gridSpan w:val="2"/>
            <w:shd w:val="clear" w:color="auto" w:fill="CCEEFF"/>
          </w:tcPr>
          <w:p>
            <w:pPr>
              <w:jc w:val="right"/>
              <w:ind w:right="820"/>
              <w:spacing w:after="0" w:line="141"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20,141</w:t>
            </w:r>
          </w:p>
        </w:tc>
        <w:tc>
          <w:tcPr>
            <w:tcW w:w="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240"/>
              <w:spacing w:after="0" w:line="141" w:lineRule="exact"/>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21,077</w:t>
            </w:r>
          </w:p>
        </w:tc>
        <w:tc>
          <w:tcPr>
            <w:tcW w:w="20" w:type="dxa"/>
            <w:vAlign w:val="bottom"/>
            <w:shd w:val="clear" w:color="auto" w:fill="CCEEFF"/>
          </w:tcPr>
          <w:p>
            <w:pPr>
              <w:spacing w:after="0"/>
              <w:rPr>
                <w:sz w:val="12"/>
                <w:szCs w:val="12"/>
                <w:color w:val="auto"/>
              </w:rPr>
            </w:pPr>
          </w:p>
        </w:tc>
      </w:tr>
      <w:tr>
        <w:trPr>
          <w:trHeight w:val="171"/>
        </w:trPr>
        <w:tc>
          <w:tcPr>
            <w:tcW w:w="3940" w:type="dxa"/>
            <w:vAlign w:val="bottom"/>
            <w:gridSpan w:val="2"/>
          </w:tcPr>
          <w:p>
            <w:pPr>
              <w:spacing w:after="0"/>
              <w:rPr>
                <w:sz w:val="20"/>
                <w:szCs w:val="20"/>
                <w:color w:val="auto"/>
              </w:rPr>
            </w:pPr>
            <w:r>
              <w:rPr>
                <w:rFonts w:ascii="Arial" w:cs="Arial" w:eastAsia="Arial" w:hAnsi="Arial"/>
                <w:sz w:val="13"/>
                <w:szCs w:val="13"/>
                <w:color w:val="auto"/>
              </w:rPr>
              <w:t>Less: Preferred stock dividends</w:t>
            </w: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ind w:right="16"/>
              <w:spacing w:after="0"/>
              <w:rPr>
                <w:sz w:val="20"/>
                <w:szCs w:val="20"/>
                <w:color w:val="auto"/>
              </w:rPr>
            </w:pPr>
            <w:r>
              <w:rPr>
                <w:rFonts w:ascii="Arial" w:cs="Arial" w:eastAsia="Arial" w:hAnsi="Arial"/>
                <w:sz w:val="13"/>
                <w:szCs w:val="13"/>
                <w:color w:val="auto"/>
              </w:rPr>
              <w:t>2,077</w:t>
            </w:r>
          </w:p>
        </w:tc>
        <w:tc>
          <w:tcPr>
            <w:tcW w:w="20" w:type="dxa"/>
            <w:vAlign w:val="bottom"/>
          </w:tcPr>
          <w:p>
            <w:pPr>
              <w:spacing w:after="0"/>
              <w:rPr>
                <w:sz w:val="14"/>
                <w:szCs w:val="14"/>
                <w:color w:val="auto"/>
              </w:rPr>
            </w:pPr>
          </w:p>
        </w:tc>
      </w:tr>
      <w:tr>
        <w:trPr>
          <w:trHeight w:val="160"/>
        </w:trPr>
        <w:tc>
          <w:tcPr>
            <w:tcW w:w="40" w:type="dxa"/>
            <w:vAlign w:val="bottom"/>
          </w:tcPr>
          <w:p>
            <w:pPr>
              <w:spacing w:after="0"/>
              <w:rPr>
                <w:sz w:val="13"/>
                <w:szCs w:val="13"/>
                <w:color w:val="auto"/>
              </w:rPr>
            </w:pPr>
          </w:p>
        </w:tc>
        <w:tc>
          <w:tcPr>
            <w:tcW w:w="3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Less: Exchange and redemption of preferred shares</w:t>
            </w:r>
          </w:p>
        </w:tc>
        <w:tc>
          <w:tcPr>
            <w:tcW w:w="9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89,585</w:t>
            </w:r>
          </w:p>
        </w:tc>
        <w:tc>
          <w:tcPr>
            <w:tcW w:w="20" w:type="dxa"/>
            <w:vAlign w:val="bottom"/>
            <w:tcBorders>
              <w:bottom w:val="single" w:sz="8" w:color="CCEEFF"/>
            </w:tcBorders>
            <w:shd w:val="clear" w:color="auto" w:fill="CCEEFF"/>
          </w:tcPr>
          <w:p>
            <w:pPr>
              <w:spacing w:after="0"/>
              <w:rPr>
                <w:sz w:val="13"/>
                <w:szCs w:val="13"/>
                <w:color w:val="auto"/>
              </w:rPr>
            </w:pPr>
          </w:p>
        </w:tc>
      </w:tr>
      <w:tr>
        <w:trPr>
          <w:trHeight w:val="172"/>
        </w:trPr>
        <w:tc>
          <w:tcPr>
            <w:tcW w:w="40" w:type="dxa"/>
            <w:vAlign w:val="bottom"/>
          </w:tcPr>
          <w:p>
            <w:pPr>
              <w:spacing w:after="0"/>
              <w:rPr>
                <w:sz w:val="14"/>
                <w:szCs w:val="14"/>
                <w:color w:val="auto"/>
              </w:rPr>
            </w:pPr>
          </w:p>
        </w:tc>
        <w:tc>
          <w:tcPr>
            <w:tcW w:w="3900" w:type="dxa"/>
            <w:vAlign w:val="bottom"/>
          </w:tcPr>
          <w:p>
            <w:pPr>
              <w:ind w:left="60"/>
              <w:spacing w:after="0"/>
              <w:rPr>
                <w:sz w:val="20"/>
                <w:szCs w:val="20"/>
                <w:color w:val="auto"/>
              </w:rPr>
            </w:pPr>
            <w:r>
              <w:rPr>
                <w:rFonts w:ascii="Arial" w:cs="Arial" w:eastAsia="Arial" w:hAnsi="Arial"/>
                <w:sz w:val="13"/>
                <w:szCs w:val="13"/>
                <w:color w:val="auto"/>
              </w:rPr>
              <w:t>Net income (loss) available to common stockholders</w:t>
            </w:r>
          </w:p>
        </w:tc>
        <w:tc>
          <w:tcPr>
            <w:tcW w:w="1780" w:type="dxa"/>
            <w:vAlign w:val="bottom"/>
            <w:gridSpan w:val="2"/>
          </w:tcPr>
          <w:p>
            <w:pPr>
              <w:jc w:val="right"/>
              <w:ind w:right="82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20,141</w:t>
            </w:r>
          </w:p>
        </w:tc>
        <w:tc>
          <w:tcPr>
            <w:tcW w:w="38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(70,585)</w:t>
            </w:r>
          </w:p>
        </w:tc>
        <w:tc>
          <w:tcPr>
            <w:tcW w:w="20" w:type="dxa"/>
            <w:vAlign w:val="bottom"/>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44</w:t>
      </w:r>
      <w:r>
        <w:rPr>
          <w:sz w:val="20"/>
          <w:szCs w:val="20"/>
          <w:color w:val="auto"/>
        </w:rPr>
        <w:tab/>
      </w:r>
      <w:r>
        <w:rPr>
          <w:rFonts w:ascii="Arial" w:cs="Arial" w:eastAsia="Arial" w:hAnsi="Arial"/>
          <w:sz w:val="14"/>
          <w:szCs w:val="14"/>
          <w:color w:val="auto"/>
        </w:rPr>
        <w:t>USCB Financial Holdings, Inc.</w:t>
        <w:tab/>
        <w:t>2022 10-K/A</w:t>
      </w:r>
    </w:p>
    <w:p>
      <w:pPr>
        <w:sectPr>
          <w:pgSz w:w="11900" w:h="16838" w:orient="portrait"/>
          <w:cols w:equalWidth="0" w:num="1">
            <w:col w:w="9019"/>
          </w:cols>
          <w:pgMar w:left="1440" w:top="490" w:right="1440" w:bottom="1440" w:gutter="0" w:footer="0" w:header="0"/>
        </w:sectPr>
      </w:pPr>
    </w:p>
    <w:bookmarkStart w:id="44" w:name="page45"/>
    <w:bookmarkEnd w:id="4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80" w:lineRule="exact"/>
        <w:rPr>
          <w:sz w:val="20"/>
          <w:szCs w:val="20"/>
          <w:color w:val="auto"/>
        </w:rPr>
      </w:pPr>
    </w:p>
    <w:p>
      <w:pPr>
        <w:jc w:val="both"/>
        <w:ind w:left="640" w:right="699" w:firstLine="256"/>
        <w:spacing w:after="0" w:line="252" w:lineRule="auto"/>
        <w:rPr>
          <w:sz w:val="20"/>
          <w:szCs w:val="20"/>
          <w:color w:val="auto"/>
        </w:rPr>
      </w:pPr>
      <w:r>
        <w:rPr>
          <w:rFonts w:ascii="Arial" w:cs="Arial" w:eastAsia="Arial" w:hAnsi="Arial"/>
          <w:sz w:val="14"/>
          <w:szCs w:val="14"/>
          <w:color w:val="auto"/>
        </w:rPr>
        <w:t>The following table reflects the calculation of basic and diluted earnings (loss) per common share class for the years ended December 31, 2022 and 2021 (in thousands, except per share amounts):</w:t>
      </w:r>
    </w:p>
    <w:p>
      <w:pPr>
        <w:spacing w:after="0" w:line="160" w:lineRule="exact"/>
        <w:rPr>
          <w:sz w:val="20"/>
          <w:szCs w:val="20"/>
          <w:color w:val="auto"/>
        </w:rPr>
      </w:pPr>
    </w:p>
    <w:tbl>
      <w:tblPr>
        <w:tblLayout w:type="fixed"/>
        <w:tblInd w:w="620" w:type="dxa"/>
        <w:tblCellMar>
          <w:top w:w="0" w:type="dxa"/>
          <w:left w:w="0" w:type="dxa"/>
          <w:bottom w:w="0" w:type="dxa"/>
          <w:right w:w="0" w:type="dxa"/>
        </w:tblCellMar>
      </w:tblPr>
      <w:tr>
        <w:trPr>
          <w:trHeight w:val="153"/>
        </w:trPr>
        <w:tc>
          <w:tcPr>
            <w:tcW w:w="4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6"/>
              <w:spacing w:after="0"/>
              <w:rPr>
                <w:sz w:val="20"/>
                <w:szCs w:val="20"/>
                <w:color w:val="auto"/>
              </w:rPr>
            </w:pPr>
            <w:r>
              <w:rPr>
                <w:rFonts w:ascii="Arial" w:cs="Arial" w:eastAsia="Arial" w:hAnsi="Arial"/>
                <w:sz w:val="13"/>
                <w:szCs w:val="13"/>
                <w:b w:val="1"/>
                <w:bCs w:val="1"/>
                <w:color w:val="auto"/>
              </w:rPr>
              <w:t>2022</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2021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Class A</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Class 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476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3"/>
                <w:szCs w:val="13"/>
                <w:b w:val="1"/>
                <w:bCs w:val="1"/>
                <w:color w:val="auto"/>
              </w:rPr>
              <w:t>Basic EPS</w:t>
            </w:r>
          </w:p>
        </w:tc>
        <w:tc>
          <w:tcPr>
            <w:tcW w:w="10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4760" w:type="dxa"/>
            <w:vAlign w:val="bottom"/>
          </w:tcPr>
          <w:p>
            <w:pPr>
              <w:spacing w:after="0"/>
              <w:rPr>
                <w:sz w:val="20"/>
                <w:szCs w:val="20"/>
                <w:color w:val="auto"/>
              </w:rPr>
            </w:pPr>
            <w:r>
              <w:rPr>
                <w:rFonts w:ascii="Arial" w:cs="Arial" w:eastAsia="Arial" w:hAnsi="Arial"/>
                <w:sz w:val="13"/>
                <w:szCs w:val="13"/>
                <w:b w:val="1"/>
                <w:bCs w:val="1"/>
                <w:color w:val="auto"/>
              </w:rPr>
              <w:t>Numerator:</w:t>
            </w: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47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Net income (loss) available to common shares before allocation</w:t>
            </w:r>
          </w:p>
        </w:tc>
        <w:tc>
          <w:tcPr>
            <w:tcW w:w="12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20,141</w:t>
            </w:r>
          </w:p>
        </w:tc>
        <w:tc>
          <w:tcPr>
            <w:tcW w:w="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(70,585)</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4760" w:type="dxa"/>
            <w:vAlign w:val="bottom"/>
          </w:tcPr>
          <w:p>
            <w:pPr>
              <w:ind w:left="60"/>
              <w:spacing w:after="0"/>
              <w:rPr>
                <w:sz w:val="20"/>
                <w:szCs w:val="20"/>
                <w:color w:val="auto"/>
              </w:rPr>
            </w:pPr>
            <w:r>
              <w:rPr>
                <w:rFonts w:ascii="Arial" w:cs="Arial" w:eastAsia="Arial" w:hAnsi="Arial"/>
                <w:sz w:val="13"/>
                <w:szCs w:val="13"/>
                <w:color w:val="auto"/>
              </w:rPr>
              <w:t>Multiply: % allocated on weighted avg. shares outstanding</w:t>
            </w:r>
          </w:p>
        </w:tc>
        <w:tc>
          <w:tcPr>
            <w:tcW w:w="10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100.0%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40" w:type="dxa"/>
            <w:vAlign w:val="bottom"/>
          </w:tcPr>
          <w:p>
            <w:pPr>
              <w:spacing w:after="0"/>
              <w:rPr>
                <w:sz w:val="12"/>
                <w:szCs w:val="12"/>
                <w:color w:val="auto"/>
              </w:rPr>
            </w:pPr>
          </w:p>
        </w:tc>
        <w:tc>
          <w:tcPr>
            <w:tcW w:w="4760" w:type="dxa"/>
            <w:vAlign w:val="bottom"/>
            <w:shd w:val="clear" w:color="auto" w:fill="CCEEFF"/>
          </w:tcPr>
          <w:p>
            <w:pPr>
              <w:ind w:left="100"/>
              <w:spacing w:after="0" w:line="141" w:lineRule="exact"/>
              <w:rPr>
                <w:sz w:val="20"/>
                <w:szCs w:val="20"/>
                <w:color w:val="auto"/>
              </w:rPr>
            </w:pPr>
            <w:r>
              <w:rPr>
                <w:rFonts w:ascii="Arial" w:cs="Arial" w:eastAsia="Arial" w:hAnsi="Arial"/>
                <w:sz w:val="13"/>
                <w:szCs w:val="13"/>
                <w:color w:val="auto"/>
              </w:rPr>
              <w:t>Net income (loss) available to common shares after allocation</w:t>
            </w:r>
          </w:p>
        </w:tc>
        <w:tc>
          <w:tcPr>
            <w:tcW w:w="1200" w:type="dxa"/>
            <w:vAlign w:val="bottom"/>
            <w:gridSpan w:val="3"/>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6"/>
              <w:spacing w:after="0" w:line="141" w:lineRule="exact"/>
              <w:rPr>
                <w:sz w:val="20"/>
                <w:szCs w:val="20"/>
                <w:color w:val="auto"/>
              </w:rPr>
            </w:pPr>
            <w:r>
              <w:rPr>
                <w:rFonts w:ascii="Arial" w:cs="Arial" w:eastAsia="Arial" w:hAnsi="Arial"/>
                <w:sz w:val="13"/>
                <w:szCs w:val="13"/>
                <w:color w:val="auto"/>
              </w:rPr>
              <w:t>20,141</w:t>
            </w:r>
          </w:p>
        </w:tc>
        <w:tc>
          <w:tcPr>
            <w:tcW w:w="20" w:type="dxa"/>
            <w:vAlign w:val="bottom"/>
            <w:shd w:val="clear" w:color="auto" w:fill="CCEEFF"/>
          </w:tcPr>
          <w:p>
            <w:pPr>
              <w:spacing w:after="0"/>
              <w:rPr>
                <w:sz w:val="12"/>
                <w:szCs w:val="12"/>
                <w:color w:val="auto"/>
              </w:rPr>
            </w:pPr>
          </w:p>
        </w:tc>
        <w:tc>
          <w:tcPr>
            <w:tcW w:w="160" w:type="dxa"/>
            <w:vAlign w:val="bottom"/>
            <w:gridSpan w:val="3"/>
            <w:shd w:val="clear" w:color="auto" w:fill="CCEEFF"/>
          </w:tcPr>
          <w:p>
            <w:pPr>
              <w:jc w:val="right"/>
              <w:ind w:right="100"/>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(70,585)</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4760" w:type="dxa"/>
            <w:vAlign w:val="bottom"/>
          </w:tcPr>
          <w:p>
            <w:pPr>
              <w:spacing w:after="0"/>
              <w:rPr>
                <w:sz w:val="20"/>
                <w:szCs w:val="20"/>
                <w:color w:val="auto"/>
              </w:rPr>
            </w:pPr>
            <w:r>
              <w:rPr>
                <w:rFonts w:ascii="Arial" w:cs="Arial" w:eastAsia="Arial" w:hAnsi="Arial"/>
                <w:sz w:val="13"/>
                <w:szCs w:val="13"/>
                <w:b w:val="1"/>
                <w:bCs w:val="1"/>
                <w:color w:val="auto"/>
              </w:rPr>
              <w:t>Denominator:</w:t>
            </w: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47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Weighted average shares outstanding</w:t>
            </w:r>
          </w:p>
        </w:tc>
        <w:tc>
          <w:tcPr>
            <w:tcW w:w="10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19,999,323</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10,507,530</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4800" w:type="dxa"/>
            <w:vAlign w:val="bottom"/>
            <w:gridSpan w:val="2"/>
          </w:tcPr>
          <w:p>
            <w:pPr>
              <w:spacing w:after="0"/>
              <w:rPr>
                <w:sz w:val="20"/>
                <w:szCs w:val="20"/>
                <w:color w:val="auto"/>
              </w:rPr>
            </w:pPr>
            <w:r>
              <w:rPr>
                <w:rFonts w:ascii="Arial" w:cs="Arial" w:eastAsia="Arial" w:hAnsi="Arial"/>
                <w:sz w:val="13"/>
                <w:szCs w:val="13"/>
                <w:b w:val="1"/>
                <w:bCs w:val="1"/>
                <w:color w:val="auto"/>
              </w:rPr>
              <w:t>Earnings (loss) per share, basic</w:t>
            </w:r>
          </w:p>
        </w:tc>
        <w:tc>
          <w:tcPr>
            <w:tcW w:w="120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1.01</w:t>
            </w:r>
          </w:p>
        </w:tc>
        <w:tc>
          <w:tcPr>
            <w:tcW w:w="180" w:type="dxa"/>
            <w:vAlign w:val="bottom"/>
            <w:gridSpan w:val="4"/>
          </w:tcPr>
          <w:p>
            <w:pPr>
              <w:jc w:val="right"/>
              <w:ind w:right="100"/>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(6.72)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40" w:type="dxa"/>
            <w:vAlign w:val="bottom"/>
            <w:vMerge w:val="restart"/>
          </w:tcPr>
          <w:p>
            <w:pPr>
              <w:spacing w:after="0"/>
              <w:rPr>
                <w:sz w:val="10"/>
                <w:szCs w:val="10"/>
                <w:color w:val="auto"/>
              </w:rPr>
            </w:pPr>
          </w:p>
        </w:tc>
        <w:tc>
          <w:tcPr>
            <w:tcW w:w="476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4760" w:type="dxa"/>
            <w:vAlign w:val="bottom"/>
          </w:tcPr>
          <w:p>
            <w:pPr>
              <w:spacing w:after="0"/>
              <w:rPr>
                <w:sz w:val="20"/>
                <w:szCs w:val="20"/>
                <w:color w:val="auto"/>
              </w:rPr>
            </w:pPr>
            <w:r>
              <w:rPr>
                <w:rFonts w:ascii="Arial" w:cs="Arial" w:eastAsia="Arial" w:hAnsi="Arial"/>
                <w:sz w:val="13"/>
                <w:szCs w:val="13"/>
                <w:b w:val="1"/>
                <w:bCs w:val="1"/>
                <w:color w:val="auto"/>
              </w:rPr>
              <w:t>Diluted EPS</w:t>
            </w: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Numerator:</w:t>
            </w:r>
          </w:p>
        </w:tc>
        <w:tc>
          <w:tcPr>
            <w:tcW w:w="10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4760" w:type="dxa"/>
            <w:vAlign w:val="bottom"/>
          </w:tcPr>
          <w:p>
            <w:pPr>
              <w:ind w:left="60"/>
              <w:spacing w:after="0"/>
              <w:rPr>
                <w:sz w:val="20"/>
                <w:szCs w:val="20"/>
                <w:color w:val="auto"/>
              </w:rPr>
            </w:pPr>
            <w:r>
              <w:rPr>
                <w:rFonts w:ascii="Arial" w:cs="Arial" w:eastAsia="Arial" w:hAnsi="Arial"/>
                <w:sz w:val="13"/>
                <w:szCs w:val="13"/>
                <w:color w:val="auto"/>
              </w:rPr>
              <w:t>Net income (loss) available to common shares before allocation</w:t>
            </w:r>
          </w:p>
        </w:tc>
        <w:tc>
          <w:tcPr>
            <w:tcW w:w="120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20,141</w:t>
            </w:r>
          </w:p>
        </w:tc>
        <w:tc>
          <w:tcPr>
            <w:tcW w:w="180" w:type="dxa"/>
            <w:vAlign w:val="bottom"/>
            <w:gridSpan w:val="4"/>
          </w:tcPr>
          <w:p>
            <w:pPr>
              <w:jc w:val="right"/>
              <w:ind w:right="100"/>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(70,585)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47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Multiply: % allocated on weighted avg. shares outstanding</w:t>
            </w:r>
          </w:p>
        </w:tc>
        <w:tc>
          <w:tcPr>
            <w:tcW w:w="10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100.0%</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100.0%</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4760" w:type="dxa"/>
            <w:vAlign w:val="bottom"/>
          </w:tcPr>
          <w:p>
            <w:pPr>
              <w:ind w:left="60"/>
              <w:spacing w:after="0"/>
              <w:rPr>
                <w:sz w:val="20"/>
                <w:szCs w:val="20"/>
                <w:color w:val="auto"/>
              </w:rPr>
            </w:pPr>
            <w:r>
              <w:rPr>
                <w:rFonts w:ascii="Arial" w:cs="Arial" w:eastAsia="Arial" w:hAnsi="Arial"/>
                <w:sz w:val="13"/>
                <w:szCs w:val="13"/>
                <w:color w:val="auto"/>
              </w:rPr>
              <w:t>Net income (loss) available to common shares after allocation</w:t>
            </w:r>
          </w:p>
        </w:tc>
        <w:tc>
          <w:tcPr>
            <w:tcW w:w="120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20,141</w:t>
            </w:r>
          </w:p>
        </w:tc>
        <w:tc>
          <w:tcPr>
            <w:tcW w:w="180" w:type="dxa"/>
            <w:vAlign w:val="bottom"/>
            <w:gridSpan w:val="4"/>
          </w:tcPr>
          <w:p>
            <w:pPr>
              <w:jc w:val="right"/>
              <w:ind w:right="100"/>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(70,585)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Denominator:</w:t>
            </w:r>
          </w:p>
        </w:tc>
        <w:tc>
          <w:tcPr>
            <w:tcW w:w="10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4760" w:type="dxa"/>
            <w:vAlign w:val="bottom"/>
          </w:tcPr>
          <w:p>
            <w:pPr>
              <w:ind w:left="60"/>
              <w:spacing w:after="0"/>
              <w:rPr>
                <w:sz w:val="20"/>
                <w:szCs w:val="20"/>
                <w:color w:val="auto"/>
              </w:rPr>
            </w:pPr>
            <w:r>
              <w:rPr>
                <w:rFonts w:ascii="Arial" w:cs="Arial" w:eastAsia="Arial" w:hAnsi="Arial"/>
                <w:sz w:val="13"/>
                <w:szCs w:val="13"/>
                <w:color w:val="auto"/>
              </w:rPr>
              <w:t>Weighted average shares outstanding for basic EPS</w:t>
            </w: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16"/>
              <w:spacing w:after="0"/>
              <w:rPr>
                <w:sz w:val="20"/>
                <w:szCs w:val="20"/>
                <w:color w:val="auto"/>
              </w:rPr>
            </w:pPr>
            <w:r>
              <w:rPr>
                <w:rFonts w:ascii="Arial" w:cs="Arial" w:eastAsia="Arial" w:hAnsi="Arial"/>
                <w:sz w:val="13"/>
                <w:szCs w:val="13"/>
                <w:color w:val="auto"/>
              </w:rPr>
              <w:t>19,999,323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10,507,530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47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Add: Dilutive effects of assumed exercises of stock options</w:t>
            </w:r>
          </w:p>
        </w:tc>
        <w:tc>
          <w:tcPr>
            <w:tcW w:w="10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177,515</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4760" w:type="dxa"/>
            <w:vAlign w:val="bottom"/>
          </w:tcPr>
          <w:p>
            <w:pPr>
              <w:ind w:left="60"/>
              <w:spacing w:after="0"/>
              <w:rPr>
                <w:sz w:val="20"/>
                <w:szCs w:val="20"/>
                <w:color w:val="auto"/>
              </w:rPr>
            </w:pPr>
            <w:r>
              <w:rPr>
                <w:rFonts w:ascii="Arial" w:cs="Arial" w:eastAsia="Arial" w:hAnsi="Arial"/>
                <w:sz w:val="13"/>
                <w:szCs w:val="13"/>
                <w:color w:val="auto"/>
              </w:rPr>
              <w:t>Weighted avg. shares including dilutive potential common shares</w:t>
            </w:r>
          </w:p>
        </w:tc>
        <w:tc>
          <w:tcPr>
            <w:tcW w:w="10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20,176,838</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10,507,530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0" w:type="dxa"/>
            <w:vAlign w:val="bottom"/>
            <w:vMerge w:val="continue"/>
          </w:tcPr>
          <w:p>
            <w:pPr>
              <w:spacing w:after="0"/>
              <w:rPr>
                <w:sz w:val="13"/>
                <w:szCs w:val="13"/>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Earnings (loss) per share, diluted</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1.00</w:t>
            </w:r>
          </w:p>
        </w:tc>
        <w:tc>
          <w:tcPr>
            <w:tcW w:w="20" w:type="dxa"/>
            <w:vAlign w:val="bottom"/>
            <w:shd w:val="clear" w:color="auto" w:fill="CCEEFF"/>
          </w:tcPr>
          <w:p>
            <w:pPr>
              <w:spacing w:after="0"/>
              <w:rPr>
                <w:sz w:val="13"/>
                <w:szCs w:val="13"/>
                <w:color w:val="auto"/>
              </w:rPr>
            </w:pPr>
          </w:p>
        </w:tc>
        <w:tc>
          <w:tcPr>
            <w:tcW w:w="160" w:type="dxa"/>
            <w:vAlign w:val="bottom"/>
            <w:gridSpan w:val="3"/>
            <w:shd w:val="clear" w:color="auto" w:fill="CCEEFF"/>
          </w:tcPr>
          <w:p>
            <w:pPr>
              <w:jc w:val="right"/>
              <w:ind w:right="100"/>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(6.72)</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40" w:type="dxa"/>
            <w:vAlign w:val="bottom"/>
            <w:vMerge w:val="restart"/>
          </w:tcPr>
          <w:p>
            <w:pPr>
              <w:spacing w:after="0"/>
              <w:rPr>
                <w:sz w:val="10"/>
                <w:szCs w:val="10"/>
                <w:color w:val="auto"/>
              </w:rPr>
            </w:pPr>
          </w:p>
        </w:tc>
        <w:tc>
          <w:tcPr>
            <w:tcW w:w="4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 w:type="dxa"/>
            <w:vAlign w:val="bottom"/>
            <w:vMerge w:val="continue"/>
          </w:tcPr>
          <w:p>
            <w:pPr>
              <w:spacing w:after="0"/>
              <w:rPr>
                <w:sz w:val="14"/>
                <w:szCs w:val="14"/>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Anti-dilutive stock options excluded from diluted EPS</w:t>
            </w:r>
          </w:p>
        </w:tc>
        <w:tc>
          <w:tcPr>
            <w:tcW w:w="10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15,000</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183,303</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331" w:lineRule="exact"/>
        <w:rPr>
          <w:sz w:val="20"/>
          <w:szCs w:val="20"/>
          <w:color w:val="auto"/>
        </w:rPr>
      </w:pPr>
    </w:p>
    <w:p>
      <w:pPr>
        <w:jc w:val="both"/>
        <w:ind w:left="640" w:right="699" w:firstLine="256"/>
        <w:spacing w:after="0" w:line="253" w:lineRule="auto"/>
        <w:rPr>
          <w:sz w:val="20"/>
          <w:szCs w:val="20"/>
          <w:color w:val="auto"/>
        </w:rPr>
      </w:pPr>
      <w:r>
        <w:rPr>
          <w:rFonts w:ascii="Arial" w:cs="Arial" w:eastAsia="Arial" w:hAnsi="Arial"/>
          <w:sz w:val="14"/>
          <w:szCs w:val="14"/>
          <w:color w:val="auto"/>
        </w:rPr>
        <w:t>For the year ended 2021, the Company was in a net loss position after adjusting for the exchange and redemption of the Class C and Class D preferred shares, making basic net loss per share the same as diluted net loss per share as the inclusion of all potential common shares outstanding would have been antidilutive.</w:t>
      </w:r>
    </w:p>
    <w:p>
      <w:pPr>
        <w:spacing w:after="0" w:line="142" w:lineRule="exact"/>
        <w:rPr>
          <w:sz w:val="20"/>
          <w:szCs w:val="20"/>
          <w:color w:val="auto"/>
        </w:rPr>
      </w:pPr>
    </w:p>
    <w:p>
      <w:pPr>
        <w:ind w:left="900"/>
        <w:spacing w:after="0"/>
        <w:rPr>
          <w:sz w:val="20"/>
          <w:szCs w:val="20"/>
          <w:color w:val="auto"/>
        </w:rPr>
      </w:pPr>
      <w:r>
        <w:rPr>
          <w:rFonts w:ascii="Arial" w:cs="Arial" w:eastAsia="Arial" w:hAnsi="Arial"/>
          <w:sz w:val="14"/>
          <w:szCs w:val="14"/>
          <w:color w:val="auto"/>
        </w:rPr>
        <w:t>See Note 13 “Stockholders’ Equity” for further discussion on the stock splits.</w:t>
      </w:r>
    </w:p>
    <w:p>
      <w:pPr>
        <w:spacing w:after="0" w:line="152" w:lineRule="exact"/>
        <w:rPr>
          <w:sz w:val="20"/>
          <w:szCs w:val="20"/>
          <w:color w:val="auto"/>
        </w:rPr>
      </w:pPr>
    </w:p>
    <w:p>
      <w:pPr>
        <w:ind w:left="1040" w:hanging="398"/>
        <w:spacing w:after="0"/>
        <w:tabs>
          <w:tab w:leader="none" w:pos="1040" w:val="left"/>
        </w:tabs>
        <w:numPr>
          <w:ilvl w:val="0"/>
          <w:numId w:val="21"/>
        </w:numPr>
        <w:rPr>
          <w:rFonts w:ascii="Arial" w:cs="Arial" w:eastAsia="Arial" w:hAnsi="Arial"/>
          <w:sz w:val="14"/>
          <w:szCs w:val="14"/>
          <w:b w:val="1"/>
          <w:bCs w:val="1"/>
          <w:color w:val="auto"/>
        </w:rPr>
      </w:pPr>
      <w:r>
        <w:rPr>
          <w:rFonts w:ascii="Arial" w:cs="Arial" w:eastAsia="Arial" w:hAnsi="Arial"/>
          <w:sz w:val="14"/>
          <w:szCs w:val="14"/>
          <w:b w:val="1"/>
          <w:bCs w:val="1"/>
          <w:color w:val="auto"/>
        </w:rPr>
        <w:t>REGULATORY MATTERS</w:t>
      </w:r>
    </w:p>
    <w:p>
      <w:pPr>
        <w:spacing w:after="0" w:line="220" w:lineRule="exact"/>
        <w:rPr>
          <w:sz w:val="20"/>
          <w:szCs w:val="20"/>
          <w:color w:val="auto"/>
        </w:rPr>
      </w:pPr>
    </w:p>
    <w:p>
      <w:pPr>
        <w:jc w:val="both"/>
        <w:ind w:left="640" w:right="679" w:firstLine="256"/>
        <w:spacing w:after="0" w:line="245" w:lineRule="auto"/>
        <w:rPr>
          <w:sz w:val="20"/>
          <w:szCs w:val="20"/>
          <w:color w:val="auto"/>
        </w:rPr>
      </w:pPr>
      <w:r>
        <w:rPr>
          <w:rFonts w:ascii="Arial" w:cs="Arial" w:eastAsia="Arial" w:hAnsi="Arial"/>
          <w:sz w:val="14"/>
          <w:szCs w:val="14"/>
          <w:color w:val="auto"/>
        </w:rPr>
        <w:t>Banks and bank holding companies are subject to regulatory capital requirements administered by federal and state banking agencies. Failure to meet minimum capital requirements can initiate certain mandatory and possibly additional discretionary actions by regulators that, if undertaken, could have a direct material effect on the Company's consolidated financial statements. Under capital adequacy guidelines and the regulatory framework for prompt corrective action, the Company and the Bank must meet specific capital guidelines that involve quantitative measures of their assets, liabilities, and certain off-balance-sheet items as calculated under regulatory accounting practices. The Company and the Bank’s capital amounts and classification are also subject to qualitative judgments by the regulators about components, risk weightings, and other factors.</w:t>
      </w:r>
    </w:p>
    <w:p>
      <w:pPr>
        <w:spacing w:after="0" w:line="158" w:lineRule="exact"/>
        <w:rPr>
          <w:sz w:val="20"/>
          <w:szCs w:val="20"/>
          <w:color w:val="auto"/>
        </w:rPr>
      </w:pPr>
    </w:p>
    <w:p>
      <w:pPr>
        <w:jc w:val="both"/>
        <w:ind w:left="640" w:right="699" w:firstLine="256"/>
        <w:spacing w:after="0" w:line="248" w:lineRule="auto"/>
        <w:rPr>
          <w:sz w:val="20"/>
          <w:szCs w:val="20"/>
          <w:color w:val="auto"/>
        </w:rPr>
      </w:pPr>
      <w:r>
        <w:rPr>
          <w:rFonts w:ascii="Arial" w:cs="Arial" w:eastAsia="Arial" w:hAnsi="Arial"/>
          <w:sz w:val="14"/>
          <w:szCs w:val="14"/>
          <w:color w:val="auto"/>
        </w:rPr>
        <w:t>Based on changes to the Federal Reserve’s definition of a “Small Bank Holding Company” that increased the threshold to $3.0 billion in assets in August 2018, the Company is not currently subject to separate minimum capital measurements. At such time when the Company reaches the $3.0 billion asset level, it will be subject to capital measurements independent of the Bank.</w:t>
      </w:r>
    </w:p>
    <w:p>
      <w:pPr>
        <w:spacing w:after="0" w:line="156" w:lineRule="exact"/>
        <w:rPr>
          <w:sz w:val="20"/>
          <w:szCs w:val="20"/>
          <w:color w:val="auto"/>
        </w:rPr>
      </w:pPr>
    </w:p>
    <w:p>
      <w:pPr>
        <w:jc w:val="both"/>
        <w:ind w:left="640" w:right="699" w:firstLine="256"/>
        <w:spacing w:after="0" w:line="245" w:lineRule="auto"/>
        <w:rPr>
          <w:sz w:val="20"/>
          <w:szCs w:val="20"/>
          <w:color w:val="auto"/>
        </w:rPr>
      </w:pPr>
      <w:r>
        <w:rPr>
          <w:rFonts w:ascii="Arial" w:cs="Arial" w:eastAsia="Arial" w:hAnsi="Arial"/>
          <w:sz w:val="14"/>
          <w:szCs w:val="14"/>
          <w:color w:val="auto"/>
        </w:rPr>
        <w:t>The Bank has elected to permanently opt-out of the inclusion of accumulated other comprehensive income in the capital calculations, as permitted by the regulations. This opt-out will reduce the impact of market volatility on the Bank’s regulatory capital levels.</w:t>
      </w:r>
    </w:p>
    <w:p>
      <w:pPr>
        <w:spacing w:after="0" w:line="158" w:lineRule="exact"/>
        <w:rPr>
          <w:sz w:val="20"/>
          <w:szCs w:val="20"/>
          <w:color w:val="auto"/>
        </w:rPr>
      </w:pPr>
    </w:p>
    <w:p>
      <w:pPr>
        <w:jc w:val="both"/>
        <w:ind w:left="640" w:right="719" w:firstLine="256"/>
        <w:spacing w:after="0" w:line="282" w:lineRule="auto"/>
        <w:rPr>
          <w:sz w:val="20"/>
          <w:szCs w:val="20"/>
          <w:color w:val="auto"/>
        </w:rPr>
      </w:pPr>
      <w:r>
        <w:rPr>
          <w:rFonts w:ascii="Arial" w:cs="Arial" w:eastAsia="Arial" w:hAnsi="Arial"/>
          <w:sz w:val="13"/>
          <w:szCs w:val="13"/>
          <w:color w:val="auto"/>
        </w:rPr>
        <w:t>The Bank is subject to the rules of the Basel III regulatory capital framework and related Dodd-Frank Wall Street Reform and Consumer Protection Act. The rules include the implementation of a 2.5% capital conservation buffer that is added to the minimum requirements for capital adequacy purposes. Failure to maintain the required capital conservation buffer will</w:t>
      </w:r>
    </w:p>
    <w:p>
      <w:pPr>
        <w:spacing w:after="0" w:line="273"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45</w:t>
      </w:r>
      <w:r>
        <w:rPr>
          <w:sz w:val="20"/>
          <w:szCs w:val="20"/>
          <w:color w:val="auto"/>
        </w:rPr>
        <w:tab/>
      </w:r>
      <w:r>
        <w:rPr>
          <w:rFonts w:ascii="Arial" w:cs="Arial" w:eastAsia="Arial" w:hAnsi="Arial"/>
          <w:sz w:val="14"/>
          <w:szCs w:val="14"/>
          <w:color w:val="auto"/>
        </w:rPr>
        <w:t>USCB Financial Holdings, Inc.</w:t>
        <w:tab/>
        <w:t>2022 10-K/A</w:t>
      </w:r>
    </w:p>
    <w:p>
      <w:pPr>
        <w:sectPr>
          <w:pgSz w:w="11900" w:h="16838" w:orient="portrait"/>
          <w:cols w:equalWidth="0" w:num="1">
            <w:col w:w="9019"/>
          </w:cols>
          <w:pgMar w:left="1440" w:top="490" w:right="1440" w:bottom="1440" w:gutter="0" w:footer="0" w:header="0"/>
        </w:sectPr>
      </w:pPr>
    </w:p>
    <w:bookmarkStart w:id="45" w:name="page46"/>
    <w:bookmarkEnd w:id="4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80" w:lineRule="exact"/>
        <w:rPr>
          <w:sz w:val="20"/>
          <w:szCs w:val="20"/>
          <w:color w:val="auto"/>
        </w:rPr>
      </w:pPr>
    </w:p>
    <w:p>
      <w:pPr>
        <w:jc w:val="both"/>
        <w:ind w:left="640" w:right="719"/>
        <w:spacing w:after="0" w:line="252" w:lineRule="auto"/>
        <w:rPr>
          <w:sz w:val="20"/>
          <w:szCs w:val="20"/>
          <w:color w:val="auto"/>
        </w:rPr>
      </w:pPr>
      <w:r>
        <w:rPr>
          <w:rFonts w:ascii="Arial" w:cs="Arial" w:eastAsia="Arial" w:hAnsi="Arial"/>
          <w:sz w:val="14"/>
          <w:szCs w:val="14"/>
          <w:color w:val="auto"/>
        </w:rPr>
        <w:t>limit the ability of the Bank to pay dividends, repurchase shares or pay discretionary bonuses. At December 31, 2022 and 2021, the capital ratios for the Bank were sufficient to meet the conservation buffer.</w:t>
      </w:r>
    </w:p>
    <w:p>
      <w:pPr>
        <w:spacing w:after="0" w:line="153" w:lineRule="exact"/>
        <w:rPr>
          <w:sz w:val="20"/>
          <w:szCs w:val="20"/>
          <w:color w:val="auto"/>
        </w:rPr>
      </w:pPr>
    </w:p>
    <w:p>
      <w:pPr>
        <w:jc w:val="both"/>
        <w:ind w:left="640" w:right="719" w:firstLine="256"/>
        <w:spacing w:after="0" w:line="245" w:lineRule="auto"/>
        <w:rPr>
          <w:sz w:val="20"/>
          <w:szCs w:val="20"/>
          <w:color w:val="auto"/>
        </w:rPr>
      </w:pPr>
      <w:r>
        <w:rPr>
          <w:rFonts w:ascii="Arial" w:cs="Arial" w:eastAsia="Arial" w:hAnsi="Arial"/>
          <w:sz w:val="14"/>
          <w:szCs w:val="14"/>
          <w:color w:val="auto"/>
        </w:rPr>
        <w:t>Prompt corrective action regulations provide five classifications: well capitalized, adequately capitalized, undercapitalized, significantly undercapitalized, and critically undercapitalized, although these terms are not used to represent overall financial condition. If adequately capitalized, regulatory approval is required to accept brokered deposits. If undercapitalized, capital distributions are limited, as is asset growth and expansion, and capital restoration plans are required.</w:t>
      </w:r>
    </w:p>
    <w:p>
      <w:pPr>
        <w:spacing w:after="0" w:line="160" w:lineRule="exact"/>
        <w:rPr>
          <w:sz w:val="20"/>
          <w:szCs w:val="20"/>
          <w:color w:val="auto"/>
        </w:rPr>
      </w:pPr>
    </w:p>
    <w:p>
      <w:pPr>
        <w:jc w:val="both"/>
        <w:ind w:left="640" w:right="699" w:firstLine="256"/>
        <w:spacing w:after="0" w:line="245" w:lineRule="auto"/>
        <w:rPr>
          <w:sz w:val="20"/>
          <w:szCs w:val="20"/>
          <w:color w:val="auto"/>
        </w:rPr>
      </w:pPr>
      <w:r>
        <w:rPr>
          <w:rFonts w:ascii="Arial" w:cs="Arial" w:eastAsia="Arial" w:hAnsi="Arial"/>
          <w:sz w:val="14"/>
          <w:szCs w:val="14"/>
          <w:color w:val="auto"/>
        </w:rPr>
        <w:t>At December 31, 2022 and 2021, the most recent notification from the regulatory authorities categorized the Bank as well capitalized under the regulatory framework for prompt corrective action. Failure to meet statutorily mandated capital guidelines could subject the Bank to a variety of enforcement remedies, including issuance of a capital directive, the termination of deposit insurance by the FDIC, a prohibition on accepting or renewing brokered deposits, limitations on the rates of interest that the Bank may pay on its deposits and other restrictions on its business. To be categorized as well capitalized, an institution must maintain minimum total risk-based, Tier 1 risk-based and Tier 1 leverage ratios as set forth in the table below. There are no conditions or events since the notification that management believes have changed the Bank’s category.</w:t>
      </w:r>
    </w:p>
    <w:p>
      <w:pPr>
        <w:spacing w:after="0" w:line="158" w:lineRule="exact"/>
        <w:rPr>
          <w:sz w:val="20"/>
          <w:szCs w:val="20"/>
          <w:color w:val="auto"/>
        </w:rPr>
      </w:pPr>
    </w:p>
    <w:p>
      <w:pPr>
        <w:jc w:val="both"/>
        <w:ind w:left="640" w:right="719" w:firstLine="256"/>
        <w:spacing w:after="0" w:line="253" w:lineRule="auto"/>
        <w:rPr>
          <w:sz w:val="20"/>
          <w:szCs w:val="20"/>
          <w:color w:val="auto"/>
        </w:rPr>
      </w:pPr>
      <w:r>
        <w:rPr>
          <w:rFonts w:ascii="Arial" w:cs="Arial" w:eastAsia="Arial" w:hAnsi="Arial"/>
          <w:sz w:val="14"/>
          <w:szCs w:val="14"/>
          <w:color w:val="auto"/>
        </w:rPr>
        <w:t>Actual and required capital amounts and ratios are presented below for the Bank at December 31, 2022 and 2021 (in thousands, except ratios). The required amounts for capital adequacy shown do not include the capital conservation buffer previously discussed.</w:t>
      </w:r>
    </w:p>
    <w:p>
      <w:pPr>
        <w:spacing w:after="0" w:line="127" w:lineRule="exact"/>
        <w:rPr>
          <w:sz w:val="20"/>
          <w:szCs w:val="20"/>
          <w:color w:val="auto"/>
        </w:rPr>
      </w:pPr>
    </w:p>
    <w:tbl>
      <w:tblPr>
        <w:tblLayout w:type="fixed"/>
        <w:tblInd w:w="62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7"/>
              </w:rPr>
              <w:t>To be Well Capitalized</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3"/>
          </w:tcPr>
          <w:p>
            <w:pPr>
              <w:jc w:val="right"/>
              <w:ind w:right="136"/>
              <w:spacing w:after="0"/>
              <w:rPr>
                <w:sz w:val="20"/>
                <w:szCs w:val="20"/>
                <w:color w:val="auto"/>
              </w:rPr>
            </w:pPr>
            <w:r>
              <w:rPr>
                <w:rFonts w:ascii="Arial" w:cs="Arial" w:eastAsia="Arial" w:hAnsi="Arial"/>
                <w:sz w:val="13"/>
                <w:szCs w:val="13"/>
                <w:b w:val="1"/>
                <w:bCs w:val="1"/>
                <w:color w:val="auto"/>
              </w:rPr>
              <w:t>Minimum Capital</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60" w:type="dxa"/>
            <w:vAlign w:val="bottom"/>
            <w:gridSpan w:val="4"/>
          </w:tcPr>
          <w:p>
            <w:pPr>
              <w:jc w:val="center"/>
              <w:ind w:right="36"/>
              <w:spacing w:after="0"/>
              <w:rPr>
                <w:sz w:val="20"/>
                <w:szCs w:val="20"/>
                <w:color w:val="auto"/>
              </w:rPr>
            </w:pPr>
            <w:r>
              <w:rPr>
                <w:rFonts w:ascii="Arial" w:cs="Arial" w:eastAsia="Arial" w:hAnsi="Arial"/>
                <w:sz w:val="13"/>
                <w:szCs w:val="13"/>
                <w:b w:val="1"/>
                <w:bCs w:val="1"/>
                <w:color w:val="auto"/>
                <w:w w:val="98"/>
              </w:rPr>
              <w:t>Under Prompt Corrective</w:t>
            </w:r>
          </w:p>
        </w:tc>
        <w:tc>
          <w:tcPr>
            <w:tcW w:w="20" w:type="dxa"/>
            <w:vAlign w:val="bottom"/>
          </w:tcPr>
          <w:p>
            <w:pPr>
              <w:spacing w:after="0"/>
              <w:rPr>
                <w:sz w:val="12"/>
                <w:szCs w:val="12"/>
                <w:color w:val="auto"/>
              </w:rPr>
            </w:pPr>
          </w:p>
        </w:tc>
      </w:tr>
      <w:tr>
        <w:trPr>
          <w:trHeight w:val="153"/>
        </w:trPr>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3"/>
          </w:tcPr>
          <w:p>
            <w:pPr>
              <w:ind w:left="560"/>
              <w:spacing w:after="0"/>
              <w:rPr>
                <w:sz w:val="20"/>
                <w:szCs w:val="20"/>
                <w:color w:val="auto"/>
              </w:rPr>
            </w:pPr>
            <w:r>
              <w:rPr>
                <w:rFonts w:ascii="Arial" w:cs="Arial" w:eastAsia="Arial" w:hAnsi="Arial"/>
                <w:sz w:val="13"/>
                <w:szCs w:val="13"/>
                <w:b w:val="1"/>
                <w:bCs w:val="1"/>
                <w:color w:val="auto"/>
              </w:rPr>
              <w:t>Actual</w:t>
            </w:r>
          </w:p>
        </w:tc>
        <w:tc>
          <w:tcPr>
            <w:tcW w:w="4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jc w:val="right"/>
              <w:ind w:right="216"/>
              <w:spacing w:after="0"/>
              <w:rPr>
                <w:sz w:val="20"/>
                <w:szCs w:val="20"/>
                <w:color w:val="auto"/>
              </w:rPr>
            </w:pPr>
            <w:r>
              <w:rPr>
                <w:rFonts w:ascii="Arial" w:cs="Arial" w:eastAsia="Arial" w:hAnsi="Arial"/>
                <w:sz w:val="13"/>
                <w:szCs w:val="13"/>
                <w:b w:val="1"/>
                <w:bCs w:val="1"/>
                <w:color w:val="auto"/>
              </w:rPr>
              <w:t>Requirements</w:t>
            </w:r>
          </w:p>
        </w:tc>
        <w:tc>
          <w:tcPr>
            <w:tcW w:w="1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9"/>
              </w:rPr>
              <w:t>Action Provisions</w:t>
            </w:r>
          </w:p>
        </w:tc>
        <w:tc>
          <w:tcPr>
            <w:tcW w:w="1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61"/>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ind w:left="60"/>
              <w:spacing w:after="0"/>
              <w:rPr>
                <w:sz w:val="20"/>
                <w:szCs w:val="20"/>
                <w:color w:val="auto"/>
              </w:rPr>
            </w:pPr>
            <w:r>
              <w:rPr>
                <w:rFonts w:ascii="Arial" w:cs="Arial" w:eastAsia="Arial" w:hAnsi="Arial"/>
                <w:sz w:val="13"/>
                <w:szCs w:val="13"/>
                <w:b w:val="1"/>
                <w:bCs w:val="1"/>
                <w:color w:val="auto"/>
              </w:rPr>
              <w:t>Amount</w:t>
            </w:r>
          </w:p>
        </w:tc>
        <w:tc>
          <w:tcPr>
            <w:tcW w:w="480" w:type="dxa"/>
            <w:vAlign w:val="bottom"/>
          </w:tcPr>
          <w:p>
            <w:pPr>
              <w:jc w:val="right"/>
              <w:ind w:right="56"/>
              <w:spacing w:after="0"/>
              <w:rPr>
                <w:sz w:val="20"/>
                <w:szCs w:val="20"/>
                <w:color w:val="auto"/>
              </w:rPr>
            </w:pPr>
            <w:r>
              <w:rPr>
                <w:rFonts w:ascii="Arial" w:cs="Arial" w:eastAsia="Arial" w:hAnsi="Arial"/>
                <w:sz w:val="13"/>
                <w:szCs w:val="13"/>
                <w:b w:val="1"/>
                <w:bCs w:val="1"/>
                <w:color w:val="auto"/>
              </w:rPr>
              <w:t>Ratio</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156"/>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14"/>
                <w:szCs w:val="14"/>
                <w:color w:val="auto"/>
              </w:rPr>
            </w:pPr>
          </w:p>
        </w:tc>
        <w:tc>
          <w:tcPr>
            <w:tcW w:w="660" w:type="dxa"/>
            <w:vAlign w:val="bottom"/>
          </w:tcPr>
          <w:p>
            <w:pPr>
              <w:jc w:val="right"/>
              <w:ind w:right="36"/>
              <w:spacing w:after="0"/>
              <w:rPr>
                <w:sz w:val="20"/>
                <w:szCs w:val="20"/>
                <w:color w:val="auto"/>
              </w:rPr>
            </w:pPr>
            <w:r>
              <w:rPr>
                <w:rFonts w:ascii="Arial" w:cs="Arial" w:eastAsia="Arial" w:hAnsi="Arial"/>
                <w:sz w:val="13"/>
                <w:szCs w:val="13"/>
                <w:b w:val="1"/>
                <w:bCs w:val="1"/>
                <w:color w:val="auto"/>
              </w:rPr>
              <w:t>Ratio</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ind w:right="136"/>
              <w:spacing w:after="0"/>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4"/>
                <w:szCs w:val="14"/>
                <w:color w:val="auto"/>
              </w:rPr>
            </w:pPr>
          </w:p>
        </w:tc>
        <w:tc>
          <w:tcPr>
            <w:tcW w:w="660" w:type="dxa"/>
            <w:vAlign w:val="bottom"/>
          </w:tcPr>
          <w:p>
            <w:pPr>
              <w:jc w:val="right"/>
              <w:ind w:right="56"/>
              <w:spacing w:after="0"/>
              <w:rPr>
                <w:sz w:val="20"/>
                <w:szCs w:val="20"/>
                <w:color w:val="auto"/>
              </w:rPr>
            </w:pPr>
            <w:r>
              <w:rPr>
                <w:rFonts w:ascii="Arial" w:cs="Arial" w:eastAsia="Arial" w:hAnsi="Arial"/>
                <w:sz w:val="13"/>
                <w:szCs w:val="13"/>
                <w:b w:val="1"/>
                <w:bCs w:val="1"/>
                <w:color w:val="auto"/>
              </w:rPr>
              <w:t>Ratio</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1"/>
        </w:trPr>
        <w:tc>
          <w:tcPr>
            <w:tcW w:w="40" w:type="dxa"/>
            <w:vAlign w:val="bottom"/>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December 31, 2022:</w:t>
            </w:r>
          </w:p>
        </w:tc>
        <w:tc>
          <w:tcPr>
            <w:tcW w:w="4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71"/>
        </w:trPr>
        <w:tc>
          <w:tcPr>
            <w:tcW w:w="2040" w:type="dxa"/>
            <w:vAlign w:val="bottom"/>
            <w:gridSpan w:val="3"/>
          </w:tcPr>
          <w:p>
            <w:pPr>
              <w:spacing w:after="0"/>
              <w:rPr>
                <w:sz w:val="20"/>
                <w:szCs w:val="20"/>
                <w:color w:val="auto"/>
              </w:rPr>
            </w:pPr>
            <w:r>
              <w:rPr>
                <w:rFonts w:ascii="Arial" w:cs="Arial" w:eastAsia="Arial" w:hAnsi="Arial"/>
                <w:sz w:val="13"/>
                <w:szCs w:val="13"/>
                <w:color w:val="auto"/>
              </w:rPr>
              <w:t>Total risk-based capital:</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216,693</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13.58</w:t>
            </w:r>
          </w:p>
        </w:tc>
        <w:tc>
          <w:tcPr>
            <w:tcW w:w="180" w:type="dxa"/>
            <w:vAlign w:val="bottom"/>
          </w:tcPr>
          <w:p>
            <w:pPr>
              <w:jc w:val="right"/>
              <w:spacing w:after="0"/>
              <w:rPr>
                <w:sz w:val="20"/>
                <w:szCs w:val="20"/>
                <w:color w:val="auto"/>
              </w:rPr>
            </w:pPr>
            <w:r>
              <w:rPr>
                <w:rFonts w:ascii="Arial" w:cs="Arial" w:eastAsia="Arial" w:hAnsi="Arial"/>
                <w:sz w:val="13"/>
                <w:szCs w:val="13"/>
                <w:color w:val="auto"/>
                <w:w w:val="86"/>
              </w:rPr>
              <w:t>%</w:t>
            </w:r>
          </w:p>
        </w:tc>
        <w:tc>
          <w:tcPr>
            <w:tcW w:w="140" w:type="dxa"/>
            <w:vAlign w:val="bottom"/>
            <w:gridSpan w:val="2"/>
          </w:tcPr>
          <w:p>
            <w:pPr>
              <w:jc w:val="right"/>
              <w:ind w:right="60"/>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127,616</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8.00</w:t>
            </w:r>
          </w:p>
        </w:tc>
        <w:tc>
          <w:tcPr>
            <w:tcW w:w="180" w:type="dxa"/>
            <w:vAlign w:val="bottom"/>
          </w:tcPr>
          <w:p>
            <w:pPr>
              <w:jc w:val="right"/>
              <w:spacing w:after="0"/>
              <w:rPr>
                <w:sz w:val="20"/>
                <w:szCs w:val="20"/>
                <w:color w:val="auto"/>
              </w:rPr>
            </w:pPr>
            <w:r>
              <w:rPr>
                <w:rFonts w:ascii="Arial" w:cs="Arial" w:eastAsia="Arial" w:hAnsi="Arial"/>
                <w:sz w:val="13"/>
                <w:szCs w:val="13"/>
                <w:color w:val="auto"/>
                <w:w w:val="86"/>
              </w:rPr>
              <w:t>%</w:t>
            </w:r>
          </w:p>
        </w:tc>
        <w:tc>
          <w:tcPr>
            <w:tcW w:w="1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6"/>
              <w:spacing w:after="0"/>
              <w:rPr>
                <w:sz w:val="20"/>
                <w:szCs w:val="20"/>
                <w:color w:val="auto"/>
              </w:rPr>
            </w:pPr>
            <w:r>
              <w:rPr>
                <w:rFonts w:ascii="Arial" w:cs="Arial" w:eastAsia="Arial" w:hAnsi="Arial"/>
                <w:sz w:val="13"/>
                <w:szCs w:val="13"/>
                <w:color w:val="auto"/>
              </w:rPr>
              <w:t>159,520</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180" w:type="dxa"/>
            <w:vAlign w:val="bottom"/>
          </w:tcPr>
          <w:p>
            <w:pPr>
              <w:jc w:val="right"/>
              <w:spacing w:after="0"/>
              <w:rPr>
                <w:sz w:val="20"/>
                <w:szCs w:val="20"/>
                <w:color w:val="auto"/>
              </w:rPr>
            </w:pPr>
            <w:r>
              <w:rPr>
                <w:rFonts w:ascii="Arial" w:cs="Arial" w:eastAsia="Arial" w:hAnsi="Arial"/>
                <w:sz w:val="13"/>
                <w:szCs w:val="13"/>
                <w:color w:val="auto"/>
                <w:w w:val="86"/>
              </w:rPr>
              <w:t>%</w:t>
            </w:r>
          </w:p>
        </w:tc>
        <w:tc>
          <w:tcPr>
            <w:tcW w:w="20" w:type="dxa"/>
            <w:vAlign w:val="bottom"/>
          </w:tcPr>
          <w:p>
            <w:pPr>
              <w:spacing w:after="0"/>
              <w:rPr>
                <w:sz w:val="14"/>
                <w:szCs w:val="14"/>
                <w:color w:val="auto"/>
              </w:rPr>
            </w:pPr>
          </w:p>
        </w:tc>
      </w:tr>
      <w:tr>
        <w:trPr>
          <w:trHeight w:val="171"/>
        </w:trPr>
        <w:tc>
          <w:tcPr>
            <w:tcW w:w="60" w:type="dxa"/>
            <w:vAlign w:val="bottom"/>
            <w:gridSpan w:val="2"/>
          </w:tcPr>
          <w:p>
            <w:pPr>
              <w:spacing w:after="0"/>
              <w:rPr>
                <w:sz w:val="14"/>
                <w:szCs w:val="14"/>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3"/>
                <w:szCs w:val="13"/>
                <w:color w:val="auto"/>
              </w:rPr>
              <w:t>Tier 1 risk-based capital:</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198,909</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12.47</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95,712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6.00</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127,616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8.00</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20" w:type="dxa"/>
            <w:vAlign w:val="bottom"/>
            <w:shd w:val="clear" w:color="auto" w:fill="CCEEFF"/>
          </w:tcPr>
          <w:p>
            <w:pPr>
              <w:spacing w:after="0"/>
              <w:rPr>
                <w:sz w:val="14"/>
                <w:szCs w:val="14"/>
                <w:color w:val="auto"/>
              </w:rPr>
            </w:pPr>
          </w:p>
        </w:tc>
      </w:tr>
      <w:tr>
        <w:trPr>
          <w:trHeight w:val="171"/>
        </w:trPr>
        <w:tc>
          <w:tcPr>
            <w:tcW w:w="2040" w:type="dxa"/>
            <w:vAlign w:val="bottom"/>
            <w:gridSpan w:val="3"/>
          </w:tcPr>
          <w:p>
            <w:pPr>
              <w:spacing w:after="0"/>
              <w:rPr>
                <w:sz w:val="20"/>
                <w:szCs w:val="20"/>
                <w:color w:val="auto"/>
              </w:rPr>
            </w:pPr>
            <w:r>
              <w:rPr>
                <w:rFonts w:ascii="Arial" w:cs="Arial" w:eastAsia="Arial" w:hAnsi="Arial"/>
                <w:sz w:val="13"/>
                <w:szCs w:val="13"/>
                <w:color w:val="auto"/>
              </w:rPr>
              <w:t>Common equity tier 1 capital:</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198,909</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12.47</w:t>
            </w:r>
          </w:p>
        </w:tc>
        <w:tc>
          <w:tcPr>
            <w:tcW w:w="180" w:type="dxa"/>
            <w:vAlign w:val="bottom"/>
          </w:tcPr>
          <w:p>
            <w:pPr>
              <w:jc w:val="right"/>
              <w:spacing w:after="0"/>
              <w:rPr>
                <w:sz w:val="20"/>
                <w:szCs w:val="20"/>
                <w:color w:val="auto"/>
              </w:rPr>
            </w:pPr>
            <w:r>
              <w:rPr>
                <w:rFonts w:ascii="Arial" w:cs="Arial" w:eastAsia="Arial" w:hAnsi="Arial"/>
                <w:sz w:val="13"/>
                <w:szCs w:val="13"/>
                <w:color w:val="auto"/>
                <w:w w:val="86"/>
              </w:rPr>
              <w:t>%</w:t>
            </w:r>
          </w:p>
        </w:tc>
        <w:tc>
          <w:tcPr>
            <w:tcW w:w="140" w:type="dxa"/>
            <w:vAlign w:val="bottom"/>
            <w:gridSpan w:val="2"/>
          </w:tcPr>
          <w:p>
            <w:pPr>
              <w:jc w:val="right"/>
              <w:ind w:right="60"/>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71,784</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4.50</w:t>
            </w:r>
          </w:p>
        </w:tc>
        <w:tc>
          <w:tcPr>
            <w:tcW w:w="180" w:type="dxa"/>
            <w:vAlign w:val="bottom"/>
          </w:tcPr>
          <w:p>
            <w:pPr>
              <w:jc w:val="right"/>
              <w:spacing w:after="0"/>
              <w:rPr>
                <w:sz w:val="20"/>
                <w:szCs w:val="20"/>
                <w:color w:val="auto"/>
              </w:rPr>
            </w:pPr>
            <w:r>
              <w:rPr>
                <w:rFonts w:ascii="Arial" w:cs="Arial" w:eastAsia="Arial" w:hAnsi="Arial"/>
                <w:sz w:val="13"/>
                <w:szCs w:val="13"/>
                <w:color w:val="auto"/>
                <w:w w:val="86"/>
              </w:rPr>
              <w:t>%</w:t>
            </w:r>
          </w:p>
        </w:tc>
        <w:tc>
          <w:tcPr>
            <w:tcW w:w="1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6"/>
              <w:spacing w:after="0"/>
              <w:rPr>
                <w:sz w:val="20"/>
                <w:szCs w:val="20"/>
                <w:color w:val="auto"/>
              </w:rPr>
            </w:pPr>
            <w:r>
              <w:rPr>
                <w:rFonts w:ascii="Arial" w:cs="Arial" w:eastAsia="Arial" w:hAnsi="Arial"/>
                <w:sz w:val="13"/>
                <w:szCs w:val="13"/>
                <w:color w:val="auto"/>
              </w:rPr>
              <w:t>103,688</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6.50</w:t>
            </w:r>
          </w:p>
        </w:tc>
        <w:tc>
          <w:tcPr>
            <w:tcW w:w="180" w:type="dxa"/>
            <w:vAlign w:val="bottom"/>
          </w:tcPr>
          <w:p>
            <w:pPr>
              <w:jc w:val="right"/>
              <w:spacing w:after="0"/>
              <w:rPr>
                <w:sz w:val="20"/>
                <w:szCs w:val="20"/>
                <w:color w:val="auto"/>
              </w:rPr>
            </w:pPr>
            <w:r>
              <w:rPr>
                <w:rFonts w:ascii="Arial" w:cs="Arial" w:eastAsia="Arial" w:hAnsi="Arial"/>
                <w:sz w:val="13"/>
                <w:szCs w:val="13"/>
                <w:color w:val="auto"/>
                <w:w w:val="86"/>
              </w:rPr>
              <w:t>%</w:t>
            </w:r>
          </w:p>
        </w:tc>
        <w:tc>
          <w:tcPr>
            <w:tcW w:w="20" w:type="dxa"/>
            <w:vAlign w:val="bottom"/>
          </w:tcPr>
          <w:p>
            <w:pPr>
              <w:spacing w:after="0"/>
              <w:rPr>
                <w:sz w:val="14"/>
                <w:szCs w:val="14"/>
                <w:color w:val="auto"/>
              </w:rPr>
            </w:pPr>
          </w:p>
        </w:tc>
      </w:tr>
      <w:tr>
        <w:trPr>
          <w:trHeight w:val="171"/>
        </w:trPr>
        <w:tc>
          <w:tcPr>
            <w:tcW w:w="60" w:type="dxa"/>
            <w:vAlign w:val="bottom"/>
            <w:gridSpan w:val="2"/>
          </w:tcPr>
          <w:p>
            <w:pPr>
              <w:spacing w:after="0"/>
              <w:rPr>
                <w:sz w:val="14"/>
                <w:szCs w:val="14"/>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3"/>
                <w:szCs w:val="13"/>
                <w:color w:val="auto"/>
              </w:rPr>
              <w:t>Leverage ratio:</w:t>
            </w: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198,909</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9.56</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83,210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104,012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5.00</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20" w:type="dxa"/>
            <w:vAlign w:val="bottom"/>
            <w:shd w:val="clear" w:color="auto" w:fill="CCEEFF"/>
          </w:tcPr>
          <w:p>
            <w:pPr>
              <w:spacing w:after="0"/>
              <w:rPr>
                <w:sz w:val="14"/>
                <w:szCs w:val="14"/>
                <w:color w:val="auto"/>
              </w:rPr>
            </w:pPr>
          </w:p>
        </w:tc>
      </w:tr>
      <w:tr>
        <w:trPr>
          <w:trHeight w:val="171"/>
        </w:trPr>
        <w:tc>
          <w:tcPr>
            <w:tcW w:w="2040" w:type="dxa"/>
            <w:vAlign w:val="bottom"/>
            <w:gridSpan w:val="3"/>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2"/>
        </w:trPr>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80" w:type="dxa"/>
            <w:vAlign w:val="bottom"/>
            <w:shd w:val="clear" w:color="auto" w:fill="CCEEFF"/>
          </w:tcPr>
          <w:p>
            <w:pPr>
              <w:spacing w:after="0" w:line="192" w:lineRule="exact"/>
              <w:rPr>
                <w:sz w:val="20"/>
                <w:szCs w:val="20"/>
                <w:color w:val="auto"/>
              </w:rPr>
            </w:pPr>
            <w:r>
              <w:rPr>
                <w:rFonts w:ascii="Arial" w:cs="Arial" w:eastAsia="Arial" w:hAnsi="Arial"/>
                <w:sz w:val="13"/>
                <w:szCs w:val="13"/>
                <w:b w:val="1"/>
                <w:bCs w:val="1"/>
                <w:color w:val="auto"/>
              </w:rPr>
              <w:t xml:space="preserve">December 31, 2021: </w:t>
            </w:r>
            <w:r>
              <w:rPr>
                <w:rFonts w:ascii="Arial" w:cs="Arial" w:eastAsia="Arial" w:hAnsi="Arial"/>
                <w:sz w:val="17"/>
                <w:szCs w:val="17"/>
                <w:b w:val="1"/>
                <w:bCs w:val="1"/>
                <w:color w:val="auto"/>
                <w:vertAlign w:val="superscript"/>
              </w:rPr>
              <w:t>(1)</w:t>
            </w: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71"/>
        </w:trPr>
        <w:tc>
          <w:tcPr>
            <w:tcW w:w="2040" w:type="dxa"/>
            <w:vAlign w:val="bottom"/>
            <w:gridSpan w:val="3"/>
          </w:tcPr>
          <w:p>
            <w:pPr>
              <w:spacing w:after="0"/>
              <w:rPr>
                <w:sz w:val="20"/>
                <w:szCs w:val="20"/>
                <w:color w:val="auto"/>
              </w:rPr>
            </w:pPr>
            <w:r>
              <w:rPr>
                <w:rFonts w:ascii="Arial" w:cs="Arial" w:eastAsia="Arial" w:hAnsi="Arial"/>
                <w:sz w:val="13"/>
                <w:szCs w:val="13"/>
                <w:color w:val="auto"/>
              </w:rPr>
              <w:t>Total risk-based capital</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186,735</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14.92</w:t>
            </w:r>
          </w:p>
        </w:tc>
        <w:tc>
          <w:tcPr>
            <w:tcW w:w="180" w:type="dxa"/>
            <w:vAlign w:val="bottom"/>
          </w:tcPr>
          <w:p>
            <w:pPr>
              <w:jc w:val="right"/>
              <w:spacing w:after="0"/>
              <w:rPr>
                <w:sz w:val="20"/>
                <w:szCs w:val="20"/>
                <w:color w:val="auto"/>
              </w:rPr>
            </w:pPr>
            <w:r>
              <w:rPr>
                <w:rFonts w:ascii="Arial" w:cs="Arial" w:eastAsia="Arial" w:hAnsi="Arial"/>
                <w:sz w:val="13"/>
                <w:szCs w:val="13"/>
                <w:color w:val="auto"/>
                <w:w w:val="86"/>
              </w:rPr>
              <w:t>%</w:t>
            </w:r>
          </w:p>
        </w:tc>
        <w:tc>
          <w:tcPr>
            <w:tcW w:w="140" w:type="dxa"/>
            <w:vAlign w:val="bottom"/>
            <w:gridSpan w:val="2"/>
          </w:tcPr>
          <w:p>
            <w:pPr>
              <w:jc w:val="right"/>
              <w:ind w:right="60"/>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100,125</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8.00</w:t>
            </w:r>
          </w:p>
        </w:tc>
        <w:tc>
          <w:tcPr>
            <w:tcW w:w="180" w:type="dxa"/>
            <w:vAlign w:val="bottom"/>
          </w:tcPr>
          <w:p>
            <w:pPr>
              <w:jc w:val="right"/>
              <w:spacing w:after="0"/>
              <w:rPr>
                <w:sz w:val="20"/>
                <w:szCs w:val="20"/>
                <w:color w:val="auto"/>
              </w:rPr>
            </w:pPr>
            <w:r>
              <w:rPr>
                <w:rFonts w:ascii="Arial" w:cs="Arial" w:eastAsia="Arial" w:hAnsi="Arial"/>
                <w:sz w:val="13"/>
                <w:szCs w:val="13"/>
                <w:color w:val="auto"/>
                <w:w w:val="86"/>
              </w:rPr>
              <w:t>%</w:t>
            </w:r>
          </w:p>
        </w:tc>
        <w:tc>
          <w:tcPr>
            <w:tcW w:w="1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6"/>
              <w:spacing w:after="0"/>
              <w:rPr>
                <w:sz w:val="20"/>
                <w:szCs w:val="20"/>
                <w:color w:val="auto"/>
              </w:rPr>
            </w:pPr>
            <w:r>
              <w:rPr>
                <w:rFonts w:ascii="Arial" w:cs="Arial" w:eastAsia="Arial" w:hAnsi="Arial"/>
                <w:sz w:val="13"/>
                <w:szCs w:val="13"/>
                <w:color w:val="auto"/>
              </w:rPr>
              <w:t>125,157</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180" w:type="dxa"/>
            <w:vAlign w:val="bottom"/>
          </w:tcPr>
          <w:p>
            <w:pPr>
              <w:jc w:val="right"/>
              <w:spacing w:after="0"/>
              <w:rPr>
                <w:sz w:val="20"/>
                <w:szCs w:val="20"/>
                <w:color w:val="auto"/>
              </w:rPr>
            </w:pPr>
            <w:r>
              <w:rPr>
                <w:rFonts w:ascii="Arial" w:cs="Arial" w:eastAsia="Arial" w:hAnsi="Arial"/>
                <w:sz w:val="13"/>
                <w:szCs w:val="13"/>
                <w:color w:val="auto"/>
                <w:w w:val="86"/>
              </w:rPr>
              <w:t>%</w:t>
            </w:r>
          </w:p>
        </w:tc>
        <w:tc>
          <w:tcPr>
            <w:tcW w:w="20" w:type="dxa"/>
            <w:vAlign w:val="bottom"/>
          </w:tcPr>
          <w:p>
            <w:pPr>
              <w:spacing w:after="0"/>
              <w:rPr>
                <w:sz w:val="14"/>
                <w:szCs w:val="14"/>
                <w:color w:val="auto"/>
              </w:rPr>
            </w:pPr>
          </w:p>
        </w:tc>
      </w:tr>
      <w:tr>
        <w:trPr>
          <w:trHeight w:val="171"/>
        </w:trPr>
        <w:tc>
          <w:tcPr>
            <w:tcW w:w="60" w:type="dxa"/>
            <w:vAlign w:val="bottom"/>
            <w:gridSpan w:val="2"/>
          </w:tcPr>
          <w:p>
            <w:pPr>
              <w:spacing w:after="0"/>
              <w:rPr>
                <w:sz w:val="14"/>
                <w:szCs w:val="14"/>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3"/>
                <w:szCs w:val="13"/>
                <w:color w:val="auto"/>
              </w:rPr>
              <w:t>Tier 1 risk-based capital</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171,484</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13.70</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75,094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6.00</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100,125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8.00</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20" w:type="dxa"/>
            <w:vAlign w:val="bottom"/>
            <w:shd w:val="clear" w:color="auto" w:fill="CCEEFF"/>
          </w:tcPr>
          <w:p>
            <w:pPr>
              <w:spacing w:after="0"/>
              <w:rPr>
                <w:sz w:val="14"/>
                <w:szCs w:val="14"/>
                <w:color w:val="auto"/>
              </w:rPr>
            </w:pPr>
          </w:p>
        </w:tc>
      </w:tr>
      <w:tr>
        <w:trPr>
          <w:trHeight w:val="171"/>
        </w:trPr>
        <w:tc>
          <w:tcPr>
            <w:tcW w:w="2040" w:type="dxa"/>
            <w:vAlign w:val="bottom"/>
            <w:gridSpan w:val="3"/>
          </w:tcPr>
          <w:p>
            <w:pPr>
              <w:spacing w:after="0"/>
              <w:rPr>
                <w:sz w:val="20"/>
                <w:szCs w:val="20"/>
                <w:color w:val="auto"/>
              </w:rPr>
            </w:pPr>
            <w:r>
              <w:rPr>
                <w:rFonts w:ascii="Arial" w:cs="Arial" w:eastAsia="Arial" w:hAnsi="Arial"/>
                <w:sz w:val="13"/>
                <w:szCs w:val="13"/>
                <w:color w:val="auto"/>
              </w:rPr>
              <w:t>Common equity tier 1 capital</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171,484</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13.70</w:t>
            </w:r>
          </w:p>
        </w:tc>
        <w:tc>
          <w:tcPr>
            <w:tcW w:w="180" w:type="dxa"/>
            <w:vAlign w:val="bottom"/>
          </w:tcPr>
          <w:p>
            <w:pPr>
              <w:jc w:val="right"/>
              <w:spacing w:after="0"/>
              <w:rPr>
                <w:sz w:val="20"/>
                <w:szCs w:val="20"/>
                <w:color w:val="auto"/>
              </w:rPr>
            </w:pPr>
            <w:r>
              <w:rPr>
                <w:rFonts w:ascii="Arial" w:cs="Arial" w:eastAsia="Arial" w:hAnsi="Arial"/>
                <w:sz w:val="13"/>
                <w:szCs w:val="13"/>
                <w:color w:val="auto"/>
                <w:w w:val="86"/>
              </w:rPr>
              <w:t>%</w:t>
            </w:r>
          </w:p>
        </w:tc>
        <w:tc>
          <w:tcPr>
            <w:tcW w:w="140" w:type="dxa"/>
            <w:vAlign w:val="bottom"/>
            <w:gridSpan w:val="2"/>
          </w:tcPr>
          <w:p>
            <w:pPr>
              <w:jc w:val="right"/>
              <w:ind w:right="60"/>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16"/>
              <w:spacing w:after="0"/>
              <w:rPr>
                <w:sz w:val="20"/>
                <w:szCs w:val="20"/>
                <w:color w:val="auto"/>
              </w:rPr>
            </w:pPr>
            <w:r>
              <w:rPr>
                <w:rFonts w:ascii="Arial" w:cs="Arial" w:eastAsia="Arial" w:hAnsi="Arial"/>
                <w:sz w:val="13"/>
                <w:szCs w:val="13"/>
                <w:color w:val="auto"/>
              </w:rPr>
              <w:t>56,321</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4.50</w:t>
            </w:r>
          </w:p>
        </w:tc>
        <w:tc>
          <w:tcPr>
            <w:tcW w:w="180" w:type="dxa"/>
            <w:vAlign w:val="bottom"/>
          </w:tcPr>
          <w:p>
            <w:pPr>
              <w:jc w:val="right"/>
              <w:spacing w:after="0"/>
              <w:rPr>
                <w:sz w:val="20"/>
                <w:szCs w:val="20"/>
                <w:color w:val="auto"/>
              </w:rPr>
            </w:pPr>
            <w:r>
              <w:rPr>
                <w:rFonts w:ascii="Arial" w:cs="Arial" w:eastAsia="Arial" w:hAnsi="Arial"/>
                <w:sz w:val="13"/>
                <w:szCs w:val="13"/>
                <w:color w:val="auto"/>
                <w:w w:val="86"/>
              </w:rPr>
              <w:t>%</w:t>
            </w:r>
          </w:p>
        </w:tc>
        <w:tc>
          <w:tcPr>
            <w:tcW w:w="1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81,352</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6.50</w:t>
            </w:r>
          </w:p>
        </w:tc>
        <w:tc>
          <w:tcPr>
            <w:tcW w:w="180" w:type="dxa"/>
            <w:vAlign w:val="bottom"/>
          </w:tcPr>
          <w:p>
            <w:pPr>
              <w:jc w:val="right"/>
              <w:spacing w:after="0"/>
              <w:rPr>
                <w:sz w:val="20"/>
                <w:szCs w:val="20"/>
                <w:color w:val="auto"/>
              </w:rPr>
            </w:pPr>
            <w:r>
              <w:rPr>
                <w:rFonts w:ascii="Arial" w:cs="Arial" w:eastAsia="Arial" w:hAnsi="Arial"/>
                <w:sz w:val="13"/>
                <w:szCs w:val="13"/>
                <w:color w:val="auto"/>
                <w:w w:val="86"/>
              </w:rPr>
              <w:t>%</w:t>
            </w:r>
          </w:p>
        </w:tc>
        <w:tc>
          <w:tcPr>
            <w:tcW w:w="20" w:type="dxa"/>
            <w:vAlign w:val="bottom"/>
          </w:tcPr>
          <w:p>
            <w:pPr>
              <w:spacing w:after="0"/>
              <w:rPr>
                <w:sz w:val="14"/>
                <w:szCs w:val="14"/>
                <w:color w:val="auto"/>
              </w:rPr>
            </w:pPr>
          </w:p>
        </w:tc>
      </w:tr>
      <w:tr>
        <w:trPr>
          <w:trHeight w:val="171"/>
        </w:trPr>
        <w:tc>
          <w:tcPr>
            <w:tcW w:w="60" w:type="dxa"/>
            <w:vAlign w:val="bottom"/>
            <w:gridSpan w:val="2"/>
          </w:tcPr>
          <w:p>
            <w:pPr>
              <w:spacing w:after="0"/>
              <w:rPr>
                <w:sz w:val="14"/>
                <w:szCs w:val="14"/>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3"/>
                <w:szCs w:val="13"/>
                <w:color w:val="auto"/>
              </w:rPr>
              <w:t>Leverage ratio</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171,484</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9.55</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71,825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89,781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5.00</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w:t>
            </w:r>
          </w:p>
        </w:tc>
        <w:tc>
          <w:tcPr>
            <w:tcW w:w="20" w:type="dxa"/>
            <w:vAlign w:val="bottom"/>
            <w:shd w:val="clear" w:color="auto" w:fill="CCEEFF"/>
          </w:tcPr>
          <w:p>
            <w:pPr>
              <w:spacing w:after="0"/>
              <w:rPr>
                <w:sz w:val="14"/>
                <w:szCs w:val="14"/>
                <w:color w:val="auto"/>
              </w:rPr>
            </w:pPr>
          </w:p>
        </w:tc>
      </w:tr>
    </w:tbl>
    <w:p>
      <w:pPr>
        <w:spacing w:after="0" w:line="331" w:lineRule="exact"/>
        <w:rPr>
          <w:sz w:val="20"/>
          <w:szCs w:val="20"/>
          <w:color w:val="auto"/>
        </w:rPr>
      </w:pPr>
    </w:p>
    <w:p>
      <w:pPr>
        <w:jc w:val="both"/>
        <w:ind w:left="640" w:right="699" w:firstLine="256"/>
        <w:spacing w:after="0" w:line="245" w:lineRule="auto"/>
        <w:rPr>
          <w:sz w:val="20"/>
          <w:szCs w:val="20"/>
          <w:color w:val="auto"/>
        </w:rPr>
      </w:pPr>
      <w:r>
        <w:rPr>
          <w:rFonts w:ascii="Arial" w:cs="Arial" w:eastAsia="Arial" w:hAnsi="Arial"/>
          <w:sz w:val="14"/>
          <w:szCs w:val="14"/>
          <w:color w:val="auto"/>
        </w:rPr>
        <w:t>Effective December 30, 2021, the Company acquired the Bank in a merger and reorganization through the formation of a bank holding company. Pursuant to this transaction, all of the outstanding shares of the Bank’s $1.00 par value common stock formerly held by its shareholders was converted into and exchanged for one newly issued share of the Company’s par value common stock, and the Bank became a subsidiary of the Company. See Note 13 “Stockholders’ Equity” for further details.</w:t>
      </w:r>
    </w:p>
    <w:p>
      <w:pPr>
        <w:spacing w:after="0" w:line="160" w:lineRule="exact"/>
        <w:rPr>
          <w:sz w:val="20"/>
          <w:szCs w:val="20"/>
          <w:color w:val="auto"/>
        </w:rPr>
      </w:pPr>
    </w:p>
    <w:p>
      <w:pPr>
        <w:jc w:val="both"/>
        <w:ind w:left="640" w:right="699" w:firstLine="256"/>
        <w:spacing w:after="0" w:line="246" w:lineRule="auto"/>
        <w:rPr>
          <w:sz w:val="20"/>
          <w:szCs w:val="20"/>
          <w:color w:val="auto"/>
        </w:rPr>
      </w:pPr>
      <w:r>
        <w:rPr>
          <w:rFonts w:ascii="Arial" w:cs="Arial" w:eastAsia="Arial" w:hAnsi="Arial"/>
          <w:sz w:val="14"/>
          <w:szCs w:val="14"/>
          <w:color w:val="auto"/>
        </w:rPr>
        <w:t>The Company is limited in the amount of cash dividends that it may pay. Payment of dividends is generally limited to the Company’s net income of the current year combined with the Bank’s retained income of the preceding two years, as defined by state banking regulations. However, for any dividend declaration, the Company must consider additional factors such as the amount of current period net income, liquidity, asset quality, capital adequacy and economic conditions at the Bank. It is likely that these factors would further limit the amount of dividends which the Company could declare. In addition, bank regulators have the authority to prohibit banks from paying dividends if they deem such payment to be an unsafe or unsound practice.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46</w:t>
      </w:r>
      <w:r>
        <w:rPr>
          <w:sz w:val="20"/>
          <w:szCs w:val="20"/>
          <w:color w:val="auto"/>
        </w:rPr>
        <w:tab/>
      </w:r>
      <w:r>
        <w:rPr>
          <w:rFonts w:ascii="Arial" w:cs="Arial" w:eastAsia="Arial" w:hAnsi="Arial"/>
          <w:sz w:val="14"/>
          <w:szCs w:val="14"/>
          <w:color w:val="auto"/>
        </w:rPr>
        <w:t>USCB Financial Holdings, Inc.</w:t>
        <w:tab/>
        <w:t>2022 10-K/A</w:t>
      </w:r>
    </w:p>
    <w:p>
      <w:pPr>
        <w:sectPr>
          <w:pgSz w:w="11900" w:h="16838" w:orient="portrait"/>
          <w:cols w:equalWidth="0" w:num="1">
            <w:col w:w="9019"/>
          </w:cols>
          <w:pgMar w:left="1440" w:top="490" w:right="1440" w:bottom="1440" w:gutter="0" w:footer="0" w:header="0"/>
        </w:sectPr>
      </w:pPr>
    </w:p>
    <w:bookmarkStart w:id="46" w:name="page47"/>
    <w:bookmarkEnd w:id="46"/>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62" w:lineRule="exact"/>
        <w:rPr>
          <w:sz w:val="20"/>
          <w:szCs w:val="20"/>
          <w:color w:val="auto"/>
        </w:rPr>
      </w:pPr>
    </w:p>
    <w:p>
      <w:pPr>
        <w:ind w:left="1160" w:hanging="518"/>
        <w:spacing w:after="0"/>
        <w:tabs>
          <w:tab w:leader="none" w:pos="1160" w:val="left"/>
        </w:tabs>
        <w:numPr>
          <w:ilvl w:val="0"/>
          <w:numId w:val="22"/>
        </w:numPr>
        <w:rPr>
          <w:rFonts w:ascii="Arial" w:cs="Arial" w:eastAsia="Arial" w:hAnsi="Arial"/>
          <w:sz w:val="14"/>
          <w:szCs w:val="14"/>
          <w:b w:val="1"/>
          <w:bCs w:val="1"/>
          <w:color w:val="auto"/>
        </w:rPr>
      </w:pPr>
      <w:r>
        <w:rPr>
          <w:rFonts w:ascii="Arial" w:cs="Arial" w:eastAsia="Arial" w:hAnsi="Arial"/>
          <w:sz w:val="14"/>
          <w:szCs w:val="14"/>
          <w:b w:val="1"/>
          <w:bCs w:val="1"/>
          <w:color w:val="auto"/>
        </w:rPr>
        <w:t>RELATED PARTY TRANSACTIONS</w:t>
      </w:r>
    </w:p>
    <w:p>
      <w:pPr>
        <w:spacing w:after="0" w:line="220" w:lineRule="exact"/>
        <w:rPr>
          <w:sz w:val="20"/>
          <w:szCs w:val="20"/>
          <w:color w:val="auto"/>
        </w:rPr>
      </w:pPr>
    </w:p>
    <w:p>
      <w:pPr>
        <w:jc w:val="both"/>
        <w:ind w:left="640" w:right="719" w:firstLine="256"/>
        <w:spacing w:after="0" w:line="253" w:lineRule="auto"/>
        <w:rPr>
          <w:sz w:val="20"/>
          <w:szCs w:val="20"/>
          <w:color w:val="auto"/>
        </w:rPr>
      </w:pPr>
      <w:r>
        <w:rPr>
          <w:rFonts w:ascii="Arial" w:cs="Arial" w:eastAsia="Arial" w:hAnsi="Arial"/>
          <w:sz w:val="14"/>
          <w:szCs w:val="14"/>
          <w:color w:val="auto"/>
        </w:rPr>
        <w:t>In the ordinary course of business, principal officers, directors, and affiliates may engage in transactions with the Company. The following table presents loans to and deposits from related parties included within the accompanying Consolidated Financial Statements at December 31, 2022 and 2021 (in thousands):</w:t>
      </w:r>
    </w:p>
    <w:p>
      <w:pPr>
        <w:spacing w:after="0" w:line="149" w:lineRule="exact"/>
        <w:rPr>
          <w:sz w:val="20"/>
          <w:szCs w:val="20"/>
          <w:color w:val="auto"/>
        </w:rPr>
      </w:pPr>
    </w:p>
    <w:tbl>
      <w:tblPr>
        <w:tblLayout w:type="fixed"/>
        <w:tblInd w:w="620" w:type="dxa"/>
        <w:tblCellMar>
          <w:top w:w="0" w:type="dxa"/>
          <w:left w:w="0" w:type="dxa"/>
          <w:bottom w:w="0" w:type="dxa"/>
          <w:right w:w="0" w:type="dxa"/>
        </w:tblCellMar>
      </w:tblPr>
      <w:tr>
        <w:trPr>
          <w:trHeight w:val="164"/>
        </w:trPr>
        <w:tc>
          <w:tcPr>
            <w:tcW w:w="40" w:type="dxa"/>
            <w:vAlign w:val="bottom"/>
          </w:tcPr>
          <w:p>
            <w:pPr>
              <w:spacing w:after="0"/>
              <w:rPr>
                <w:sz w:val="14"/>
                <w:szCs w:val="14"/>
                <w:color w:val="auto"/>
              </w:rPr>
            </w:pPr>
          </w:p>
        </w:tc>
        <w:tc>
          <w:tcPr>
            <w:tcW w:w="3860" w:type="dxa"/>
            <w:vAlign w:val="bottom"/>
            <w:tcBorders>
              <w:bottom w:val="single" w:sz="8" w:color="CCEEFF"/>
            </w:tcBorders>
          </w:tcPr>
          <w:p>
            <w:pPr>
              <w:spacing w:after="0"/>
              <w:rPr>
                <w:sz w:val="14"/>
                <w:szCs w:val="14"/>
                <w:color w:val="auto"/>
              </w:rPr>
            </w:pPr>
          </w:p>
        </w:tc>
        <w:tc>
          <w:tcPr>
            <w:tcW w:w="14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2022</w:t>
            </w:r>
          </w:p>
        </w:tc>
        <w:tc>
          <w:tcPr>
            <w:tcW w:w="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2021</w:t>
            </w:r>
          </w:p>
        </w:tc>
        <w:tc>
          <w:tcPr>
            <w:tcW w:w="20" w:type="dxa"/>
            <w:vAlign w:val="bottom"/>
            <w:tcBorders>
              <w:bottom w:val="single" w:sz="8" w:color="CCEEFF"/>
            </w:tcBorders>
          </w:tcPr>
          <w:p>
            <w:pPr>
              <w:spacing w:after="0"/>
              <w:rPr>
                <w:sz w:val="14"/>
                <w:szCs w:val="14"/>
                <w:color w:val="auto"/>
              </w:rPr>
            </w:pPr>
          </w:p>
        </w:tc>
      </w:tr>
      <w:tr>
        <w:trPr>
          <w:trHeight w:val="151"/>
        </w:trPr>
        <w:tc>
          <w:tcPr>
            <w:tcW w:w="40" w:type="dxa"/>
            <w:vAlign w:val="bottom"/>
          </w:tcPr>
          <w:p>
            <w:pPr>
              <w:spacing w:after="0"/>
              <w:rPr>
                <w:sz w:val="13"/>
                <w:szCs w:val="13"/>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Consolidated Balance Sheets:</w:t>
            </w:r>
          </w:p>
        </w:tc>
        <w:tc>
          <w:tcPr>
            <w:tcW w:w="14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40" w:type="dxa"/>
            <w:vAlign w:val="bottom"/>
          </w:tcPr>
          <w:p>
            <w:pPr>
              <w:spacing w:after="0"/>
              <w:rPr>
                <w:sz w:val="14"/>
                <w:szCs w:val="14"/>
                <w:color w:val="auto"/>
              </w:rPr>
            </w:pPr>
          </w:p>
        </w:tc>
        <w:tc>
          <w:tcPr>
            <w:tcW w:w="3860" w:type="dxa"/>
            <w:vAlign w:val="bottom"/>
          </w:tcPr>
          <w:p>
            <w:pPr>
              <w:ind w:left="60"/>
              <w:spacing w:after="0"/>
              <w:rPr>
                <w:sz w:val="20"/>
                <w:szCs w:val="20"/>
                <w:color w:val="auto"/>
              </w:rPr>
            </w:pPr>
            <w:r>
              <w:rPr>
                <w:rFonts w:ascii="Arial" w:cs="Arial" w:eastAsia="Arial" w:hAnsi="Arial"/>
                <w:sz w:val="13"/>
                <w:szCs w:val="13"/>
                <w:color w:val="auto"/>
              </w:rPr>
              <w:t>Loans held for investment, net</w:t>
            </w:r>
          </w:p>
        </w:tc>
        <w:tc>
          <w:tcPr>
            <w:tcW w:w="1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8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Deposits</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6,825</w:t>
            </w: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1,905</w:t>
            </w: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Consolidated Statements of Operations:</w:t>
            </w:r>
          </w:p>
        </w:tc>
        <w:tc>
          <w:tcPr>
            <w:tcW w:w="1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860" w:type="dxa"/>
            <w:vAlign w:val="bottom"/>
          </w:tcPr>
          <w:p>
            <w:pPr>
              <w:ind w:left="60"/>
              <w:spacing w:after="0"/>
              <w:rPr>
                <w:sz w:val="20"/>
                <w:szCs w:val="20"/>
                <w:color w:val="auto"/>
              </w:rPr>
            </w:pPr>
            <w:r>
              <w:rPr>
                <w:rFonts w:ascii="Arial" w:cs="Arial" w:eastAsia="Arial" w:hAnsi="Arial"/>
                <w:sz w:val="13"/>
                <w:szCs w:val="13"/>
                <w:color w:val="auto"/>
              </w:rPr>
              <w:t>Interest income</w:t>
            </w:r>
          </w:p>
        </w:tc>
        <w:tc>
          <w:tcPr>
            <w:tcW w:w="1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r>
      <w:tr>
        <w:trPr>
          <w:trHeight w:val="171"/>
        </w:trPr>
        <w:tc>
          <w:tcPr>
            <w:tcW w:w="40" w:type="dxa"/>
            <w:vAlign w:val="bottom"/>
          </w:tcPr>
          <w:p>
            <w:pPr>
              <w:spacing w:after="0"/>
              <w:rPr>
                <w:sz w:val="14"/>
                <w:szCs w:val="14"/>
                <w:color w:val="auto"/>
              </w:rPr>
            </w:pPr>
          </w:p>
        </w:tc>
        <w:tc>
          <w:tcPr>
            <w:tcW w:w="38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Interest expense</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54</w:t>
            </w: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16</w:t>
            </w:r>
          </w:p>
        </w:tc>
        <w:tc>
          <w:tcPr>
            <w:tcW w:w="20" w:type="dxa"/>
            <w:vAlign w:val="bottom"/>
            <w:shd w:val="clear" w:color="auto" w:fill="CCEEFF"/>
          </w:tcPr>
          <w:p>
            <w:pPr>
              <w:spacing w:after="0"/>
              <w:rPr>
                <w:sz w:val="14"/>
                <w:szCs w:val="14"/>
                <w:color w:val="auto"/>
              </w:rPr>
            </w:pPr>
          </w:p>
        </w:tc>
      </w:tr>
    </w:tbl>
    <w:p>
      <w:pPr>
        <w:spacing w:after="0" w:line="317" w:lineRule="exact"/>
        <w:rPr>
          <w:sz w:val="20"/>
          <w:szCs w:val="20"/>
          <w:color w:val="auto"/>
        </w:rPr>
      </w:pPr>
    </w:p>
    <w:p>
      <w:pPr>
        <w:ind w:left="900"/>
        <w:spacing w:after="0"/>
        <w:rPr>
          <w:sz w:val="20"/>
          <w:szCs w:val="20"/>
          <w:color w:val="auto"/>
        </w:rPr>
      </w:pPr>
      <w:r>
        <w:rPr>
          <w:rFonts w:ascii="Arial" w:cs="Arial" w:eastAsia="Arial" w:hAnsi="Arial"/>
          <w:sz w:val="14"/>
          <w:szCs w:val="14"/>
          <w:i w:val="1"/>
          <w:iCs w:val="1"/>
          <w:color w:val="auto"/>
        </w:rPr>
        <w:t>Loan Purchases</w:t>
      </w:r>
    </w:p>
    <w:p>
      <w:pPr>
        <w:spacing w:after="0" w:line="184" w:lineRule="exact"/>
        <w:rPr>
          <w:sz w:val="20"/>
          <w:szCs w:val="20"/>
          <w:color w:val="auto"/>
        </w:rPr>
      </w:pPr>
    </w:p>
    <w:p>
      <w:pPr>
        <w:ind w:left="640" w:right="719" w:firstLine="331"/>
        <w:spacing w:after="0" w:line="252" w:lineRule="auto"/>
        <w:rPr>
          <w:sz w:val="20"/>
          <w:szCs w:val="20"/>
          <w:color w:val="auto"/>
        </w:rPr>
      </w:pPr>
      <w:r>
        <w:rPr>
          <w:rFonts w:ascii="Arial" w:cs="Arial" w:eastAsia="Arial" w:hAnsi="Arial"/>
          <w:sz w:val="14"/>
          <w:szCs w:val="14"/>
          <w:color w:val="auto"/>
        </w:rPr>
        <w:t>During 2022, the Bank purchased $42.8 million of loans from entities that are deemed to be related parties. The Bank paid those entities fees of $881 thousand.</w:t>
      </w:r>
    </w:p>
    <w:p>
      <w:pPr>
        <w:spacing w:after="0" w:line="135" w:lineRule="exact"/>
        <w:rPr>
          <w:sz w:val="20"/>
          <w:szCs w:val="20"/>
          <w:color w:val="auto"/>
        </w:rPr>
      </w:pPr>
    </w:p>
    <w:p>
      <w:pPr>
        <w:ind w:left="1160" w:hanging="518"/>
        <w:spacing w:after="0"/>
        <w:tabs>
          <w:tab w:leader="none" w:pos="1160" w:val="left"/>
        </w:tabs>
        <w:numPr>
          <w:ilvl w:val="0"/>
          <w:numId w:val="23"/>
        </w:numPr>
        <w:rPr>
          <w:rFonts w:ascii="Arial" w:cs="Arial" w:eastAsia="Arial" w:hAnsi="Arial"/>
          <w:sz w:val="14"/>
          <w:szCs w:val="14"/>
          <w:b w:val="1"/>
          <w:bCs w:val="1"/>
          <w:color w:val="auto"/>
        </w:rPr>
      </w:pPr>
      <w:r>
        <w:rPr>
          <w:rFonts w:ascii="Arial" w:cs="Arial" w:eastAsia="Arial" w:hAnsi="Arial"/>
          <w:sz w:val="14"/>
          <w:szCs w:val="14"/>
          <w:b w:val="1"/>
          <w:bCs w:val="1"/>
          <w:color w:val="auto"/>
        </w:rPr>
        <w:t>PARENT COMPANY CONDENSED FINANCIAL INFORMATION</w:t>
      </w:r>
    </w:p>
    <w:p>
      <w:pPr>
        <w:spacing w:after="0" w:line="220" w:lineRule="exact"/>
        <w:rPr>
          <w:sz w:val="20"/>
          <w:szCs w:val="20"/>
          <w:color w:val="auto"/>
        </w:rPr>
      </w:pPr>
    </w:p>
    <w:p>
      <w:pPr>
        <w:jc w:val="both"/>
        <w:ind w:left="640" w:right="699" w:firstLine="256"/>
        <w:spacing w:after="0" w:line="253" w:lineRule="auto"/>
        <w:rPr>
          <w:sz w:val="20"/>
          <w:szCs w:val="20"/>
          <w:color w:val="auto"/>
        </w:rPr>
      </w:pPr>
      <w:r>
        <w:rPr>
          <w:rFonts w:ascii="Arial" w:cs="Arial" w:eastAsia="Arial" w:hAnsi="Arial"/>
          <w:sz w:val="14"/>
          <w:szCs w:val="14"/>
          <w:color w:val="auto"/>
        </w:rPr>
        <w:t>In December 2021, USCB Financial Holdings, Inc. was formed as the parent bank holding company of U.S. Century Bank. The condensed balance sheet is presented below for USCB Financial Holdings, Inc. at the dates indicated (in thousands):</w:t>
      </w:r>
    </w:p>
    <w:p>
      <w:pPr>
        <w:spacing w:after="0" w:line="149" w:lineRule="exact"/>
        <w:rPr>
          <w:sz w:val="20"/>
          <w:szCs w:val="20"/>
          <w:color w:val="auto"/>
        </w:rPr>
      </w:pPr>
    </w:p>
    <w:tbl>
      <w:tblPr>
        <w:tblLayout w:type="fixed"/>
        <w:tblInd w:w="620" w:type="dxa"/>
        <w:tblCellMar>
          <w:top w:w="0" w:type="dxa"/>
          <w:left w:w="0" w:type="dxa"/>
          <w:bottom w:w="0" w:type="dxa"/>
          <w:right w:w="0" w:type="dxa"/>
        </w:tblCellMar>
      </w:tblPr>
      <w:tr>
        <w:trPr>
          <w:trHeight w:val="173"/>
        </w:trPr>
        <w:tc>
          <w:tcPr>
            <w:tcW w:w="4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40" w:type="dxa"/>
            <w:vAlign w:val="bottom"/>
          </w:tcPr>
          <w:p>
            <w:pPr>
              <w:jc w:val="right"/>
              <w:ind w:right="96"/>
              <w:spacing w:after="0"/>
              <w:rPr>
                <w:sz w:val="20"/>
                <w:szCs w:val="20"/>
                <w:color w:val="auto"/>
              </w:rPr>
            </w:pPr>
            <w:r>
              <w:rPr>
                <w:rFonts w:ascii="Arial" w:cs="Arial" w:eastAsia="Arial" w:hAnsi="Arial"/>
                <w:sz w:val="13"/>
                <w:szCs w:val="13"/>
                <w:b w:val="1"/>
                <w:bCs w:val="1"/>
                <w:color w:val="auto"/>
                <w:w w:val="99"/>
              </w:rPr>
              <w:t>December 31, 2022</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60" w:type="dxa"/>
            <w:vAlign w:val="bottom"/>
            <w:gridSpan w:val="2"/>
          </w:tcPr>
          <w:p>
            <w:pPr>
              <w:ind w:left="20"/>
              <w:spacing w:after="0"/>
              <w:rPr>
                <w:sz w:val="20"/>
                <w:szCs w:val="20"/>
                <w:color w:val="auto"/>
              </w:rPr>
            </w:pPr>
            <w:r>
              <w:rPr>
                <w:rFonts w:ascii="Arial" w:cs="Arial" w:eastAsia="Arial" w:hAnsi="Arial"/>
                <w:sz w:val="13"/>
                <w:szCs w:val="13"/>
                <w:b w:val="1"/>
                <w:bCs w:val="1"/>
                <w:color w:val="auto"/>
              </w:rPr>
              <w:t>December 31, 2021</w:t>
            </w: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74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3"/>
                <w:szCs w:val="13"/>
                <w:b w:val="1"/>
                <w:bCs w:val="1"/>
                <w:color w:val="auto"/>
              </w:rPr>
              <w:t>ASSETS:</w:t>
            </w:r>
          </w:p>
        </w:tc>
        <w:tc>
          <w:tcPr>
            <w:tcW w:w="10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740" w:type="dxa"/>
            <w:vAlign w:val="bottom"/>
          </w:tcPr>
          <w:p>
            <w:pPr>
              <w:ind w:left="60"/>
              <w:spacing w:after="0"/>
              <w:rPr>
                <w:sz w:val="20"/>
                <w:szCs w:val="20"/>
                <w:color w:val="auto"/>
              </w:rPr>
            </w:pPr>
            <w:r>
              <w:rPr>
                <w:rFonts w:ascii="Arial" w:cs="Arial" w:eastAsia="Arial" w:hAnsi="Arial"/>
                <w:sz w:val="13"/>
                <w:szCs w:val="13"/>
                <w:color w:val="auto"/>
              </w:rPr>
              <w:t>Cash and Cash Equivalents</w:t>
            </w:r>
          </w:p>
        </w:tc>
        <w:tc>
          <w:tcPr>
            <w:tcW w:w="114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16"/>
              <w:spacing w:after="0"/>
              <w:rPr>
                <w:sz w:val="20"/>
                <w:szCs w:val="20"/>
                <w:color w:val="auto"/>
              </w:rPr>
            </w:pPr>
            <w:r>
              <w:rPr>
                <w:rFonts w:ascii="Arial" w:cs="Arial" w:eastAsia="Arial" w:hAnsi="Arial"/>
                <w:sz w:val="13"/>
                <w:szCs w:val="13"/>
                <w:color w:val="auto"/>
              </w:rPr>
              <w:t>1,102</w:t>
            </w:r>
          </w:p>
        </w:tc>
        <w:tc>
          <w:tcPr>
            <w:tcW w:w="120" w:type="dxa"/>
            <w:vAlign w:val="bottom"/>
            <w:gridSpan w:val="4"/>
          </w:tcPr>
          <w:p>
            <w:pPr>
              <w:jc w:val="right"/>
              <w:ind w:right="20"/>
              <w:spacing w:after="0"/>
              <w:rPr>
                <w:sz w:val="20"/>
                <w:szCs w:val="20"/>
                <w:color w:val="auto"/>
              </w:rPr>
            </w:pPr>
            <w:r>
              <w:rPr>
                <w:rFonts w:ascii="Arial" w:cs="Arial" w:eastAsia="Arial" w:hAnsi="Arial"/>
                <w:sz w:val="13"/>
                <w:szCs w:val="13"/>
                <w:color w:val="auto"/>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7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Investment in bank subsidiary</w:t>
            </w:r>
          </w:p>
        </w:tc>
        <w:tc>
          <w:tcPr>
            <w:tcW w:w="10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181,326</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203,897</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3740" w:type="dxa"/>
            <w:vAlign w:val="bottom"/>
          </w:tcPr>
          <w:p>
            <w:pPr>
              <w:ind w:left="60"/>
              <w:spacing w:after="0"/>
              <w:rPr>
                <w:sz w:val="20"/>
                <w:szCs w:val="20"/>
                <w:color w:val="auto"/>
              </w:rPr>
            </w:pPr>
            <w:r>
              <w:rPr>
                <w:rFonts w:ascii="Arial" w:cs="Arial" w:eastAsia="Arial" w:hAnsi="Arial"/>
                <w:sz w:val="13"/>
                <w:szCs w:val="13"/>
                <w:color w:val="auto"/>
              </w:rPr>
              <w:t>Other assets</w:t>
            </w:r>
          </w:p>
        </w:tc>
        <w:tc>
          <w:tcPr>
            <w:tcW w:w="10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0" w:type="dxa"/>
            <w:vAlign w:val="bottom"/>
          </w:tcPr>
          <w:p>
            <w:pPr>
              <w:spacing w:after="0"/>
              <w:rPr>
                <w:sz w:val="13"/>
                <w:szCs w:val="13"/>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3"/>
                <w:szCs w:val="13"/>
                <w:color w:val="auto"/>
              </w:rPr>
              <w:t>Total assets</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182,428</w:t>
            </w:r>
          </w:p>
        </w:tc>
        <w:tc>
          <w:tcPr>
            <w:tcW w:w="20" w:type="dxa"/>
            <w:vAlign w:val="bottom"/>
            <w:shd w:val="clear" w:color="auto" w:fill="CCEEFF"/>
          </w:tcPr>
          <w:p>
            <w:pPr>
              <w:spacing w:after="0"/>
              <w:rPr>
                <w:sz w:val="13"/>
                <w:szCs w:val="13"/>
                <w:color w:val="auto"/>
              </w:rPr>
            </w:pPr>
          </w:p>
        </w:tc>
        <w:tc>
          <w:tcPr>
            <w:tcW w:w="1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203,897</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CCEEFF"/>
            </w:tcBorders>
          </w:tcPr>
          <w:p>
            <w:pPr>
              <w:spacing w:after="0" w:line="20" w:lineRule="exact"/>
              <w:rPr>
                <w:sz w:val="1"/>
                <w:szCs w:val="1"/>
                <w:color w:val="auto"/>
              </w:rPr>
            </w:pPr>
          </w:p>
        </w:tc>
        <w:tc>
          <w:tcPr>
            <w:tcW w:w="134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134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40" w:type="dxa"/>
            <w:vAlign w:val="bottom"/>
            <w:vMerge w:val="restart"/>
          </w:tcPr>
          <w:p>
            <w:pPr>
              <w:spacing w:after="0"/>
              <w:rPr>
                <w:sz w:val="10"/>
                <w:szCs w:val="10"/>
                <w:color w:val="auto"/>
              </w:rPr>
            </w:pPr>
          </w:p>
        </w:tc>
        <w:tc>
          <w:tcPr>
            <w:tcW w:w="37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3740" w:type="dxa"/>
            <w:vAlign w:val="bottom"/>
          </w:tcPr>
          <w:p>
            <w:pPr>
              <w:spacing w:after="0"/>
              <w:rPr>
                <w:sz w:val="20"/>
                <w:szCs w:val="20"/>
                <w:color w:val="auto"/>
              </w:rPr>
            </w:pPr>
            <w:r>
              <w:rPr>
                <w:rFonts w:ascii="Arial" w:cs="Arial" w:eastAsia="Arial" w:hAnsi="Arial"/>
                <w:sz w:val="13"/>
                <w:szCs w:val="13"/>
                <w:b w:val="1"/>
                <w:bCs w:val="1"/>
                <w:color w:val="auto"/>
              </w:rPr>
              <w:t>LIABILITIES AND STOCKHOLDERS' EQUITY:</w:t>
            </w: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37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Other liabilities</w:t>
            </w:r>
          </w:p>
        </w:tc>
        <w:tc>
          <w:tcPr>
            <w:tcW w:w="11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3740" w:type="dxa"/>
            <w:vAlign w:val="bottom"/>
          </w:tcPr>
          <w:p>
            <w:pPr>
              <w:ind w:left="60"/>
              <w:spacing w:after="0"/>
              <w:rPr>
                <w:sz w:val="20"/>
                <w:szCs w:val="20"/>
                <w:color w:val="auto"/>
              </w:rPr>
            </w:pPr>
            <w:r>
              <w:rPr>
                <w:rFonts w:ascii="Arial" w:cs="Arial" w:eastAsia="Arial" w:hAnsi="Arial"/>
                <w:sz w:val="13"/>
                <w:szCs w:val="13"/>
                <w:color w:val="auto"/>
              </w:rPr>
              <w:t>Stockholders' equity</w:t>
            </w:r>
          </w:p>
        </w:tc>
        <w:tc>
          <w:tcPr>
            <w:tcW w:w="10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182,428</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203,897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0" w:type="dxa"/>
            <w:vAlign w:val="bottom"/>
          </w:tcPr>
          <w:p>
            <w:pPr>
              <w:spacing w:after="0"/>
              <w:rPr>
                <w:sz w:val="13"/>
                <w:szCs w:val="13"/>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3"/>
                <w:szCs w:val="13"/>
                <w:color w:val="auto"/>
              </w:rPr>
              <w:t>Total liabilities and stockholders' equity</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182,428</w:t>
            </w:r>
          </w:p>
        </w:tc>
        <w:tc>
          <w:tcPr>
            <w:tcW w:w="20" w:type="dxa"/>
            <w:vAlign w:val="bottom"/>
            <w:shd w:val="clear" w:color="auto" w:fill="CCEEFF"/>
          </w:tcPr>
          <w:p>
            <w:pPr>
              <w:spacing w:after="0"/>
              <w:rPr>
                <w:sz w:val="13"/>
                <w:szCs w:val="13"/>
                <w:color w:val="auto"/>
              </w:rPr>
            </w:pPr>
          </w:p>
        </w:tc>
        <w:tc>
          <w:tcPr>
            <w:tcW w:w="10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203,897</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47</w:t>
      </w:r>
      <w:r>
        <w:rPr>
          <w:sz w:val="20"/>
          <w:szCs w:val="20"/>
          <w:color w:val="auto"/>
        </w:rPr>
        <w:tab/>
      </w:r>
      <w:r>
        <w:rPr>
          <w:rFonts w:ascii="Arial" w:cs="Arial" w:eastAsia="Arial" w:hAnsi="Arial"/>
          <w:sz w:val="14"/>
          <w:szCs w:val="14"/>
          <w:color w:val="auto"/>
        </w:rPr>
        <w:t>USCB Financial Holdings, Inc.</w:t>
        <w:tab/>
        <w:t>2022 10-K/A</w:t>
      </w:r>
    </w:p>
    <w:p>
      <w:pPr>
        <w:sectPr>
          <w:pgSz w:w="11900" w:h="16838" w:orient="portrait"/>
          <w:cols w:equalWidth="0" w:num="1">
            <w:col w:w="9019"/>
          </w:cols>
          <w:pgMar w:left="1440" w:top="490" w:right="1440" w:bottom="1440" w:gutter="0" w:footer="0" w:header="0"/>
        </w:sectPr>
      </w:pPr>
    </w:p>
    <w:bookmarkStart w:id="47" w:name="page48"/>
    <w:bookmarkEnd w:id="47"/>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80" w:lineRule="exact"/>
        <w:rPr>
          <w:sz w:val="20"/>
          <w:szCs w:val="20"/>
          <w:color w:val="auto"/>
        </w:rPr>
      </w:pPr>
    </w:p>
    <w:p>
      <w:pPr>
        <w:ind w:left="640" w:right="659" w:firstLine="256"/>
        <w:spacing w:after="0" w:line="252" w:lineRule="auto"/>
        <w:rPr>
          <w:sz w:val="20"/>
          <w:szCs w:val="20"/>
          <w:color w:val="auto"/>
        </w:rPr>
      </w:pPr>
      <w:r>
        <w:rPr>
          <w:rFonts w:ascii="Arial" w:cs="Arial" w:eastAsia="Arial" w:hAnsi="Arial"/>
          <w:sz w:val="14"/>
          <w:szCs w:val="14"/>
          <w:color w:val="auto"/>
        </w:rPr>
        <w:t>The condensed income statement is presented below for USCB Financial Holdings, Inc. at the dates indicated (in thousands):</w:t>
      </w:r>
    </w:p>
    <w:p>
      <w:pPr>
        <w:spacing w:after="0" w:line="160" w:lineRule="exact"/>
        <w:rPr>
          <w:sz w:val="20"/>
          <w:szCs w:val="20"/>
          <w:color w:val="auto"/>
        </w:rPr>
      </w:pPr>
    </w:p>
    <w:tbl>
      <w:tblPr>
        <w:tblLayout w:type="fixed"/>
        <w:tblInd w:w="6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20" w:type="dxa"/>
            <w:vAlign w:val="bottom"/>
          </w:tcPr>
          <w:p>
            <w:pPr>
              <w:jc w:val="right"/>
              <w:ind w:right="176"/>
              <w:spacing w:after="0"/>
              <w:rPr>
                <w:sz w:val="20"/>
                <w:szCs w:val="20"/>
                <w:color w:val="auto"/>
              </w:rPr>
            </w:pPr>
            <w:r>
              <w:rPr>
                <w:rFonts w:ascii="Arial" w:cs="Arial" w:eastAsia="Arial" w:hAnsi="Arial"/>
                <w:sz w:val="13"/>
                <w:szCs w:val="13"/>
                <w:b w:val="1"/>
                <w:bCs w:val="1"/>
                <w:color w:val="auto"/>
                <w:w w:val="99"/>
              </w:rPr>
              <w:t>December 31, 2022</w:t>
            </w:r>
          </w:p>
        </w:tc>
        <w:tc>
          <w:tcPr>
            <w:tcW w:w="40" w:type="dxa"/>
            <w:vAlign w:val="bottom"/>
          </w:tcPr>
          <w:p>
            <w:pPr>
              <w:spacing w:after="0"/>
              <w:rPr>
                <w:sz w:val="15"/>
                <w:szCs w:val="15"/>
                <w:color w:val="auto"/>
              </w:rPr>
            </w:pPr>
          </w:p>
        </w:tc>
        <w:tc>
          <w:tcPr>
            <w:tcW w:w="1360" w:type="dxa"/>
            <w:vAlign w:val="bottom"/>
            <w:gridSpan w:val="2"/>
          </w:tcPr>
          <w:p>
            <w:pPr>
              <w:ind w:left="20"/>
              <w:spacing w:after="0"/>
              <w:rPr>
                <w:sz w:val="20"/>
                <w:szCs w:val="20"/>
                <w:color w:val="auto"/>
              </w:rPr>
            </w:pPr>
            <w:r>
              <w:rPr>
                <w:rFonts w:ascii="Arial" w:cs="Arial" w:eastAsia="Arial" w:hAnsi="Arial"/>
                <w:sz w:val="13"/>
                <w:szCs w:val="13"/>
                <w:b w:val="1"/>
                <w:bCs w:val="1"/>
                <w:color w:val="auto"/>
              </w:rPr>
              <w:t>December 31, 2021</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780" w:type="dxa"/>
            <w:vAlign w:val="bottom"/>
            <w:tcBorders>
              <w:top w:val="single" w:sz="8" w:color="CCEEFF"/>
            </w:tcBorders>
            <w:shd w:val="clear" w:color="auto" w:fill="CCEEFF"/>
          </w:tcPr>
          <w:p>
            <w:pPr>
              <w:ind w:left="20"/>
              <w:spacing w:after="0" w:line="140" w:lineRule="exact"/>
              <w:rPr>
                <w:sz w:val="20"/>
                <w:szCs w:val="20"/>
                <w:color w:val="auto"/>
              </w:rPr>
            </w:pPr>
            <w:r>
              <w:rPr>
                <w:rFonts w:ascii="Arial" w:cs="Arial" w:eastAsia="Arial" w:hAnsi="Arial"/>
                <w:sz w:val="13"/>
                <w:szCs w:val="13"/>
                <w:b w:val="1"/>
                <w:bCs w:val="1"/>
                <w:color w:val="auto"/>
              </w:rPr>
              <w:t>INCOME:</w:t>
            </w: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420" w:type="dxa"/>
            <w:vAlign w:val="bottom"/>
            <w:tcBorders>
              <w:top w:val="single" w:sz="8" w:color="auto"/>
              <w:right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tcPr>
          <w:p>
            <w:pPr>
              <w:ind w:left="80"/>
              <w:spacing w:after="0"/>
              <w:rPr>
                <w:sz w:val="20"/>
                <w:szCs w:val="20"/>
                <w:color w:val="auto"/>
              </w:rPr>
            </w:pPr>
            <w:r>
              <w:rPr>
                <w:rFonts w:ascii="Arial" w:cs="Arial" w:eastAsia="Arial" w:hAnsi="Arial"/>
                <w:sz w:val="13"/>
                <w:szCs w:val="13"/>
                <w:color w:val="auto"/>
              </w:rPr>
              <w:t>Dividends from subsidiaries</w:t>
            </w:r>
          </w:p>
        </w:tc>
        <w:tc>
          <w:tcPr>
            <w:tcW w:w="100" w:type="dxa"/>
            <w:vAlign w:val="bottom"/>
            <w:gridSpan w:val="3"/>
          </w:tcPr>
          <w:p>
            <w:pPr>
              <w:jc w:val="right"/>
              <w:ind w:right="20"/>
              <w:spacing w:after="0"/>
              <w:rPr>
                <w:sz w:val="20"/>
                <w:szCs w:val="20"/>
                <w:color w:val="auto"/>
              </w:rPr>
            </w:pPr>
            <w:r>
              <w:rPr>
                <w:rFonts w:ascii="Arial" w:cs="Arial" w:eastAsia="Arial" w:hAnsi="Arial"/>
                <w:sz w:val="13"/>
                <w:szCs w:val="13"/>
                <w:color w:val="auto"/>
                <w:w w:val="82"/>
              </w:rPr>
              <w:t>$</w:t>
            </w:r>
          </w:p>
        </w:tc>
        <w:tc>
          <w:tcPr>
            <w:tcW w:w="1420" w:type="dxa"/>
            <w:vAlign w:val="bottom"/>
          </w:tcPr>
          <w:p>
            <w:pPr>
              <w:jc w:val="right"/>
              <w:ind w:right="136"/>
              <w:spacing w:after="0"/>
              <w:rPr>
                <w:sz w:val="20"/>
                <w:szCs w:val="20"/>
                <w:color w:val="auto"/>
              </w:rPr>
            </w:pPr>
            <w:r>
              <w:rPr>
                <w:rFonts w:ascii="Arial" w:cs="Arial" w:eastAsia="Arial" w:hAnsi="Arial"/>
                <w:sz w:val="13"/>
                <w:szCs w:val="13"/>
                <w:color w:val="auto"/>
              </w:rPr>
              <w:t>1,000</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13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Service fees from subsidiaries</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right w:val="single" w:sz="8" w:color="CCEEFF"/>
            </w:tcBorders>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800" w:type="dxa"/>
            <w:vAlign w:val="bottom"/>
            <w:gridSpan w:val="2"/>
          </w:tcPr>
          <w:p>
            <w:pPr>
              <w:spacing w:after="0"/>
              <w:rPr>
                <w:sz w:val="20"/>
                <w:szCs w:val="20"/>
                <w:color w:val="auto"/>
              </w:rPr>
            </w:pPr>
            <w:r>
              <w:rPr>
                <w:rFonts w:ascii="Arial" w:cs="Arial" w:eastAsia="Arial" w:hAnsi="Arial"/>
                <w:sz w:val="13"/>
                <w:szCs w:val="13"/>
                <w:color w:val="auto"/>
              </w:rPr>
              <w:t>Total</w:t>
            </w:r>
          </w:p>
        </w:tc>
        <w:tc>
          <w:tcPr>
            <w:tcW w:w="100" w:type="dxa"/>
            <w:vAlign w:val="bottom"/>
            <w:gridSpan w:val="3"/>
          </w:tcPr>
          <w:p>
            <w:pPr>
              <w:jc w:val="right"/>
              <w:ind w:right="20"/>
              <w:spacing w:after="0"/>
              <w:rPr>
                <w:sz w:val="20"/>
                <w:szCs w:val="20"/>
                <w:color w:val="auto"/>
              </w:rPr>
            </w:pPr>
            <w:r>
              <w:rPr>
                <w:rFonts w:ascii="Arial" w:cs="Arial" w:eastAsia="Arial" w:hAnsi="Arial"/>
                <w:sz w:val="13"/>
                <w:szCs w:val="13"/>
                <w:color w:val="auto"/>
                <w:w w:val="82"/>
              </w:rPr>
              <w:t>$</w:t>
            </w:r>
          </w:p>
        </w:tc>
        <w:tc>
          <w:tcPr>
            <w:tcW w:w="1420" w:type="dxa"/>
            <w:vAlign w:val="bottom"/>
          </w:tcPr>
          <w:p>
            <w:pPr>
              <w:jc w:val="right"/>
              <w:ind w:right="136"/>
              <w:spacing w:after="0"/>
              <w:rPr>
                <w:sz w:val="20"/>
                <w:szCs w:val="20"/>
                <w:color w:val="auto"/>
              </w:rPr>
            </w:pPr>
            <w:r>
              <w:rPr>
                <w:rFonts w:ascii="Arial" w:cs="Arial" w:eastAsia="Arial" w:hAnsi="Arial"/>
                <w:sz w:val="13"/>
                <w:szCs w:val="13"/>
                <w:color w:val="auto"/>
              </w:rPr>
              <w:t>1,000</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1340" w:type="dxa"/>
            <w:vAlign w:val="bottom"/>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vMerge w:val="restart"/>
          </w:tcPr>
          <w:p>
            <w:pPr>
              <w:spacing w:after="0"/>
              <w:rPr>
                <w:sz w:val="12"/>
                <w:szCs w:val="12"/>
                <w:color w:val="auto"/>
              </w:rPr>
            </w:pPr>
          </w:p>
        </w:tc>
        <w:tc>
          <w:tcPr>
            <w:tcW w:w="47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420" w:type="dxa"/>
            <w:vAlign w:val="bottom"/>
            <w:tcBorders>
              <w:top w:val="single" w:sz="8" w:color="auto"/>
              <w:right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4780" w:type="dxa"/>
            <w:vAlign w:val="bottom"/>
          </w:tcPr>
          <w:p>
            <w:pPr>
              <w:spacing w:after="0"/>
              <w:rPr>
                <w:sz w:val="20"/>
                <w:szCs w:val="20"/>
                <w:color w:val="auto"/>
              </w:rPr>
            </w:pPr>
            <w:r>
              <w:rPr>
                <w:rFonts w:ascii="Arial" w:cs="Arial" w:eastAsia="Arial" w:hAnsi="Arial"/>
                <w:sz w:val="13"/>
                <w:szCs w:val="13"/>
                <w:b w:val="1"/>
                <w:bCs w:val="1"/>
                <w:color w:val="auto"/>
              </w:rPr>
              <w:t>EXPENSE:</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Employee compensation and benefits</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right w:val="single" w:sz="8" w:color="CCEEFF"/>
            </w:tcBorders>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800" w:type="dxa"/>
            <w:vAlign w:val="bottom"/>
            <w:gridSpan w:val="2"/>
          </w:tcPr>
          <w:p>
            <w:pPr>
              <w:spacing w:after="0"/>
              <w:rPr>
                <w:sz w:val="20"/>
                <w:szCs w:val="20"/>
                <w:color w:val="auto"/>
              </w:rPr>
            </w:pPr>
            <w:r>
              <w:rPr>
                <w:rFonts w:ascii="Arial" w:cs="Arial" w:eastAsia="Arial" w:hAnsi="Arial"/>
                <w:sz w:val="13"/>
                <w:szCs w:val="13"/>
                <w:color w:val="auto"/>
              </w:rPr>
              <w:t>Total</w:t>
            </w: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7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2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800" w:type="dxa"/>
            <w:vAlign w:val="bottom"/>
            <w:gridSpan w:val="2"/>
          </w:tcPr>
          <w:p>
            <w:pPr>
              <w:spacing w:after="0"/>
              <w:rPr>
                <w:sz w:val="20"/>
                <w:szCs w:val="20"/>
                <w:color w:val="auto"/>
              </w:rPr>
            </w:pPr>
            <w:r>
              <w:rPr>
                <w:rFonts w:ascii="Arial" w:cs="Arial" w:eastAsia="Arial" w:hAnsi="Arial"/>
                <w:sz w:val="13"/>
                <w:szCs w:val="13"/>
                <w:color w:val="auto"/>
              </w:rPr>
              <w:t>Income before income taxes and undistributed subsidiary income</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20" w:type="dxa"/>
            <w:vAlign w:val="bottom"/>
          </w:tcPr>
          <w:p>
            <w:pPr>
              <w:jc w:val="right"/>
              <w:ind w:right="136"/>
              <w:spacing w:after="0"/>
              <w:rPr>
                <w:sz w:val="20"/>
                <w:szCs w:val="20"/>
                <w:color w:val="auto"/>
              </w:rPr>
            </w:pPr>
            <w:r>
              <w:rPr>
                <w:rFonts w:ascii="Arial" w:cs="Arial" w:eastAsia="Arial" w:hAnsi="Arial"/>
                <w:sz w:val="13"/>
                <w:szCs w:val="13"/>
                <w:color w:val="auto"/>
              </w:rPr>
              <w:t>1,000</w:t>
            </w:r>
          </w:p>
        </w:tc>
        <w:tc>
          <w:tcPr>
            <w:tcW w:w="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Provision (benefit) for income taxes</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420" w:type="dxa"/>
            <w:vAlign w:val="bottom"/>
            <w:tcBorders>
              <w:bottom w:val="single" w:sz="8" w:color="CCEEFF"/>
              <w:right w:val="single" w:sz="8" w:color="CCEEFF"/>
            </w:tcBorders>
            <w:shd w:val="clear" w:color="auto" w:fill="CCEEFF"/>
          </w:tcPr>
          <w:p>
            <w:pPr>
              <w:jc w:val="right"/>
              <w:ind w:right="136"/>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13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800" w:type="dxa"/>
            <w:vAlign w:val="bottom"/>
            <w:gridSpan w:val="2"/>
          </w:tcPr>
          <w:p>
            <w:pPr>
              <w:spacing w:after="0"/>
              <w:rPr>
                <w:sz w:val="20"/>
                <w:szCs w:val="20"/>
                <w:color w:val="auto"/>
              </w:rPr>
            </w:pPr>
            <w:r>
              <w:rPr>
                <w:rFonts w:ascii="Arial" w:cs="Arial" w:eastAsia="Arial" w:hAnsi="Arial"/>
                <w:sz w:val="13"/>
                <w:szCs w:val="13"/>
                <w:color w:val="auto"/>
              </w:rPr>
              <w:t>Equity in undisbursed subsidiary income</w:t>
            </w: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rPr>
              <w:t>19,141</w:t>
            </w:r>
          </w:p>
        </w:tc>
        <w:tc>
          <w:tcPr>
            <w:tcW w:w="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Borders>
              <w:right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4780" w:type="dxa"/>
            <w:vAlign w:val="bottom"/>
            <w:tcBorders>
              <w:bottom w:val="single" w:sz="8" w:color="CCEEFF"/>
            </w:tcBorders>
            <w:shd w:val="clear" w:color="auto" w:fill="CCEEFF"/>
          </w:tcPr>
          <w:p>
            <w:pPr>
              <w:ind w:left="20"/>
              <w:spacing w:after="0" w:line="131" w:lineRule="exact"/>
              <w:rPr>
                <w:sz w:val="20"/>
                <w:szCs w:val="20"/>
                <w:color w:val="auto"/>
              </w:rPr>
            </w:pPr>
            <w:r>
              <w:rPr>
                <w:rFonts w:ascii="Arial" w:cs="Arial" w:eastAsia="Arial" w:hAnsi="Arial"/>
                <w:sz w:val="13"/>
                <w:szCs w:val="13"/>
                <w:color w:val="auto"/>
              </w:rPr>
              <w:t>Net Income</w:t>
            </w:r>
          </w:p>
        </w:tc>
        <w:tc>
          <w:tcPr>
            <w:tcW w:w="100" w:type="dxa"/>
            <w:vAlign w:val="bottom"/>
            <w:tcBorders>
              <w:bottom w:val="single" w:sz="8" w:color="CCEEFF"/>
            </w:tcBorders>
            <w:gridSpan w:val="3"/>
            <w:shd w:val="clear" w:color="auto" w:fill="CCEEFF"/>
          </w:tcPr>
          <w:p>
            <w:pPr>
              <w:jc w:val="right"/>
              <w:ind w:right="20"/>
              <w:spacing w:after="0" w:line="131" w:lineRule="exact"/>
              <w:rPr>
                <w:sz w:val="20"/>
                <w:szCs w:val="20"/>
                <w:color w:val="auto"/>
              </w:rPr>
            </w:pPr>
            <w:r>
              <w:rPr>
                <w:rFonts w:ascii="Arial" w:cs="Arial" w:eastAsia="Arial" w:hAnsi="Arial"/>
                <w:sz w:val="13"/>
                <w:szCs w:val="13"/>
                <w:color w:val="auto"/>
                <w:w w:val="82"/>
              </w:rPr>
              <w:t>$</w:t>
            </w:r>
          </w:p>
        </w:tc>
        <w:tc>
          <w:tcPr>
            <w:tcW w:w="1420" w:type="dxa"/>
            <w:vAlign w:val="bottom"/>
            <w:tcBorders>
              <w:bottom w:val="single" w:sz="8" w:color="CCEEFF"/>
              <w:right w:val="single" w:sz="8" w:color="CCEEFF"/>
            </w:tcBorders>
            <w:shd w:val="clear" w:color="auto" w:fill="CCEEFF"/>
          </w:tcPr>
          <w:p>
            <w:pPr>
              <w:jc w:val="right"/>
              <w:ind w:right="136"/>
              <w:spacing w:after="0" w:line="131" w:lineRule="exact"/>
              <w:rPr>
                <w:sz w:val="20"/>
                <w:szCs w:val="20"/>
                <w:color w:val="auto"/>
              </w:rPr>
            </w:pPr>
            <w:r>
              <w:rPr>
                <w:rFonts w:ascii="Arial" w:cs="Arial" w:eastAsia="Arial" w:hAnsi="Arial"/>
                <w:sz w:val="13"/>
                <w:szCs w:val="13"/>
                <w:color w:val="auto"/>
              </w:rPr>
              <w:t>20,141</w:t>
            </w:r>
          </w:p>
        </w:tc>
        <w:tc>
          <w:tcPr>
            <w:tcW w:w="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1340" w:type="dxa"/>
            <w:vAlign w:val="bottom"/>
            <w:tcBorders>
              <w:bottom w:val="single" w:sz="8" w:color="CCEEFF"/>
            </w:tcBorders>
            <w:shd w:val="clear" w:color="auto" w:fill="CCEEFF"/>
          </w:tcPr>
          <w:p>
            <w:pPr>
              <w:jc w:val="right"/>
              <w:ind w:right="56"/>
              <w:spacing w:after="0" w:line="131" w:lineRule="exact"/>
              <w:rPr>
                <w:sz w:val="20"/>
                <w:szCs w:val="20"/>
                <w:color w:val="auto"/>
              </w:rPr>
            </w:pPr>
            <w:r>
              <w:rPr>
                <w:rFonts w:ascii="Arial" w:cs="Arial" w:eastAsia="Arial" w:hAnsi="Arial"/>
                <w:sz w:val="13"/>
                <w:szCs w:val="13"/>
                <w:color w:val="auto"/>
              </w:rPr>
              <w:t>-</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condensed cash flow is presented below for USCB Financial Holdings, Inc. at the dates indicated (in thousands):</w:t>
      </w:r>
    </w:p>
    <w:p>
      <w:pPr>
        <w:spacing w:after="0" w:line="177" w:lineRule="exact"/>
        <w:rPr>
          <w:sz w:val="20"/>
          <w:szCs w:val="20"/>
          <w:color w:val="auto"/>
        </w:rPr>
      </w:pPr>
    </w:p>
    <w:tbl>
      <w:tblPr>
        <w:tblLayout w:type="fixed"/>
        <w:tblInd w:w="62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99"/>
              </w:rPr>
              <w:t>December 31, 2022</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60" w:type="dxa"/>
            <w:vAlign w:val="bottom"/>
            <w:gridSpan w:val="2"/>
          </w:tcPr>
          <w:p>
            <w:pPr>
              <w:ind w:left="20"/>
              <w:spacing w:after="0"/>
              <w:rPr>
                <w:sz w:val="20"/>
                <w:szCs w:val="20"/>
                <w:color w:val="auto"/>
              </w:rPr>
            </w:pPr>
            <w:r>
              <w:rPr>
                <w:rFonts w:ascii="Arial" w:cs="Arial" w:eastAsia="Arial" w:hAnsi="Arial"/>
                <w:sz w:val="13"/>
                <w:szCs w:val="13"/>
                <w:b w:val="1"/>
                <w:bCs w:val="1"/>
                <w:color w:val="auto"/>
              </w:rPr>
              <w:t>December 31, 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20" w:type="dxa"/>
            <w:vAlign w:val="bottom"/>
            <w:tcBorders>
              <w:top w:val="single" w:sz="8" w:color="CCEEFF"/>
            </w:tcBorders>
            <w:gridSpan w:val="2"/>
            <w:shd w:val="clear" w:color="auto" w:fill="CCEEFF"/>
          </w:tcPr>
          <w:p>
            <w:pPr>
              <w:spacing w:after="0" w:line="152" w:lineRule="exact"/>
              <w:rPr>
                <w:sz w:val="20"/>
                <w:szCs w:val="20"/>
                <w:color w:val="auto"/>
              </w:rPr>
            </w:pPr>
            <w:r>
              <w:rPr>
                <w:rFonts w:ascii="Arial" w:cs="Arial" w:eastAsia="Arial" w:hAnsi="Arial"/>
                <w:sz w:val="14"/>
                <w:szCs w:val="14"/>
                <w:b w:val="1"/>
                <w:bCs w:val="1"/>
                <w:color w:val="auto"/>
              </w:rPr>
              <w:t>Cash flows from operating activities:</w:t>
            </w:r>
          </w:p>
        </w:tc>
        <w:tc>
          <w:tcPr>
            <w:tcW w:w="1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4660" w:type="dxa"/>
            <w:vAlign w:val="bottom"/>
            <w:gridSpan w:val="4"/>
          </w:tcPr>
          <w:p>
            <w:pPr>
              <w:spacing w:after="0"/>
              <w:rPr>
                <w:sz w:val="20"/>
                <w:szCs w:val="20"/>
                <w:color w:val="auto"/>
              </w:rPr>
            </w:pPr>
            <w:r>
              <w:rPr>
                <w:rFonts w:ascii="Arial" w:cs="Arial" w:eastAsia="Arial" w:hAnsi="Arial"/>
                <w:sz w:val="14"/>
                <w:szCs w:val="14"/>
                <w:color w:val="auto"/>
              </w:rPr>
              <w:t>Net income</w:t>
            </w:r>
          </w:p>
        </w:tc>
        <w:tc>
          <w:tcPr>
            <w:tcW w:w="26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20,141</w:t>
            </w:r>
          </w:p>
        </w:tc>
        <w:tc>
          <w:tcPr>
            <w:tcW w:w="40" w:type="dxa"/>
            <w:vAlign w:val="bottom"/>
          </w:tcPr>
          <w:p>
            <w:pPr>
              <w:spacing w:after="0"/>
              <w:rPr>
                <w:sz w:val="15"/>
                <w:szCs w:val="15"/>
                <w:color w:val="auto"/>
              </w:rPr>
            </w:pPr>
          </w:p>
        </w:tc>
        <w:tc>
          <w:tcPr>
            <w:tcW w:w="120" w:type="dxa"/>
            <w:vAlign w:val="bottom"/>
            <w:gridSpan w:val="4"/>
          </w:tcPr>
          <w:p>
            <w:pPr>
              <w:jc w:val="right"/>
              <w:ind w:right="20"/>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4"/>
                <w:szCs w:val="14"/>
                <w:color w:val="auto"/>
              </w:rPr>
              <w:t>Adjustments to reconcile net income to net cash provided by operating</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4"/>
                <w:szCs w:val="14"/>
                <w:color w:val="auto"/>
              </w:rPr>
              <w:t>activities:</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right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20" w:type="dxa"/>
            <w:vAlign w:val="bottom"/>
            <w:gridSpan w:val="2"/>
          </w:tcPr>
          <w:p>
            <w:pPr>
              <w:ind w:left="60"/>
              <w:spacing w:after="0"/>
              <w:rPr>
                <w:sz w:val="20"/>
                <w:szCs w:val="20"/>
                <w:color w:val="auto"/>
              </w:rPr>
            </w:pPr>
            <w:r>
              <w:rPr>
                <w:rFonts w:ascii="Arial" w:cs="Arial" w:eastAsia="Arial" w:hAnsi="Arial"/>
                <w:sz w:val="14"/>
                <w:szCs w:val="14"/>
                <w:color w:val="auto"/>
              </w:rPr>
              <w:t>Equity in undistributed earnings of subsidiaries</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3"/>
                <w:szCs w:val="13"/>
                <w:color w:val="auto"/>
              </w:rPr>
              <w:t>(19,141)</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w:t>
            </w:r>
          </w:p>
        </w:tc>
        <w:tc>
          <w:tcPr>
            <w:tcW w:w="1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right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20" w:type="dxa"/>
            <w:vAlign w:val="bottom"/>
          </w:tcPr>
          <w:p>
            <w:pPr>
              <w:ind w:left="60"/>
              <w:spacing w:after="0"/>
              <w:rPr>
                <w:sz w:val="20"/>
                <w:szCs w:val="20"/>
                <w:color w:val="auto"/>
              </w:rPr>
            </w:pPr>
            <w:r>
              <w:rPr>
                <w:rFonts w:ascii="Arial" w:cs="Arial" w:eastAsia="Arial" w:hAnsi="Arial"/>
                <w:sz w:val="14"/>
                <w:szCs w:val="14"/>
                <w:color w:val="auto"/>
              </w:rPr>
              <w:t>Net cash provided by operating activities</w:t>
            </w:r>
          </w:p>
        </w:tc>
        <w:tc>
          <w:tcPr>
            <w:tcW w:w="26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1,000</w:t>
            </w:r>
          </w:p>
        </w:tc>
        <w:tc>
          <w:tcPr>
            <w:tcW w:w="40" w:type="dxa"/>
            <w:vAlign w:val="bottom"/>
          </w:tcPr>
          <w:p>
            <w:pPr>
              <w:spacing w:after="0"/>
              <w:rPr>
                <w:sz w:val="19"/>
                <w:szCs w:val="19"/>
                <w:color w:val="auto"/>
              </w:rPr>
            </w:pPr>
          </w:p>
        </w:tc>
        <w:tc>
          <w:tcPr>
            <w:tcW w:w="120" w:type="dxa"/>
            <w:vAlign w:val="bottom"/>
            <w:gridSpan w:val="4"/>
          </w:tcPr>
          <w:p>
            <w:pPr>
              <w:jc w:val="right"/>
              <w:ind w:right="20"/>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20" w:type="dxa"/>
            <w:vAlign w:val="bottom"/>
            <w:tcBorders>
              <w:top w:val="single" w:sz="8" w:color="CCEEFF"/>
            </w:tcBorders>
            <w:gridSpan w:val="2"/>
            <w:shd w:val="clear" w:color="auto" w:fill="CCEEFF"/>
          </w:tcPr>
          <w:p>
            <w:pPr>
              <w:spacing w:after="0" w:line="132" w:lineRule="exact"/>
              <w:rPr>
                <w:sz w:val="20"/>
                <w:szCs w:val="20"/>
                <w:color w:val="auto"/>
              </w:rPr>
            </w:pPr>
            <w:r>
              <w:rPr>
                <w:rFonts w:ascii="Arial" w:cs="Arial" w:eastAsia="Arial" w:hAnsi="Arial"/>
                <w:sz w:val="14"/>
                <w:szCs w:val="14"/>
                <w:b w:val="1"/>
                <w:bCs w:val="1"/>
                <w:color w:val="auto"/>
              </w:rPr>
              <w:t>Cash flows from investing activities:</w:t>
            </w:r>
          </w:p>
        </w:tc>
        <w:tc>
          <w:tcPr>
            <w:tcW w:w="1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3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13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right w:val="single" w:sz="8" w:color="CCEEFF"/>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4660" w:type="dxa"/>
            <w:vAlign w:val="bottom"/>
            <w:gridSpan w:val="4"/>
          </w:tcPr>
          <w:p>
            <w:pPr>
              <w:spacing w:after="0"/>
              <w:rPr>
                <w:sz w:val="20"/>
                <w:szCs w:val="20"/>
                <w:color w:val="auto"/>
              </w:rPr>
            </w:pPr>
            <w:r>
              <w:rPr>
                <w:rFonts w:ascii="Arial" w:cs="Arial" w:eastAsia="Arial" w:hAnsi="Arial"/>
                <w:sz w:val="14"/>
                <w:szCs w:val="14"/>
                <w:color w:val="auto"/>
              </w:rPr>
              <w:t>Capital contributions to subsidiary</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Other</w:t>
            </w:r>
          </w:p>
        </w:tc>
        <w:tc>
          <w:tcPr>
            <w:tcW w:w="1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right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520" w:type="dxa"/>
            <w:vAlign w:val="bottom"/>
            <w:tcBorders>
              <w:bottom w:val="single" w:sz="8" w:color="CCEEFF"/>
            </w:tcBorders>
          </w:tcPr>
          <w:p>
            <w:pPr>
              <w:ind w:left="60"/>
              <w:spacing w:after="0"/>
              <w:rPr>
                <w:sz w:val="20"/>
                <w:szCs w:val="20"/>
                <w:color w:val="auto"/>
              </w:rPr>
            </w:pPr>
            <w:r>
              <w:rPr>
                <w:rFonts w:ascii="Arial" w:cs="Arial" w:eastAsia="Arial" w:hAnsi="Arial"/>
                <w:sz w:val="14"/>
                <w:szCs w:val="14"/>
                <w:color w:val="auto"/>
              </w:rPr>
              <w:t>Net cash used in investing activities</w:t>
            </w:r>
          </w:p>
        </w:tc>
        <w:tc>
          <w:tcPr>
            <w:tcW w:w="1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20" w:type="dxa"/>
            <w:vAlign w:val="bottom"/>
            <w:tcBorders>
              <w:top w:val="single" w:sz="8" w:color="CCEEFF"/>
            </w:tcBorders>
            <w:gridSpan w:val="2"/>
            <w:shd w:val="clear" w:color="auto" w:fill="CCEEFF"/>
          </w:tcPr>
          <w:p>
            <w:pPr>
              <w:spacing w:after="0" w:line="132" w:lineRule="exact"/>
              <w:rPr>
                <w:sz w:val="20"/>
                <w:szCs w:val="20"/>
                <w:color w:val="auto"/>
              </w:rPr>
            </w:pPr>
            <w:r>
              <w:rPr>
                <w:rFonts w:ascii="Arial" w:cs="Arial" w:eastAsia="Arial" w:hAnsi="Arial"/>
                <w:sz w:val="14"/>
                <w:szCs w:val="14"/>
                <w:b w:val="1"/>
                <w:bCs w:val="1"/>
                <w:color w:val="auto"/>
              </w:rPr>
              <w:t>Cash flows from financing activities:</w:t>
            </w:r>
          </w:p>
        </w:tc>
        <w:tc>
          <w:tcPr>
            <w:tcW w:w="1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3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3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right w:val="single" w:sz="8" w:color="CCEEFF"/>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20" w:type="dxa"/>
            <w:vAlign w:val="bottom"/>
            <w:gridSpan w:val="2"/>
          </w:tcPr>
          <w:p>
            <w:pPr>
              <w:ind w:left="60"/>
              <w:spacing w:after="0"/>
              <w:rPr>
                <w:sz w:val="20"/>
                <w:szCs w:val="20"/>
                <w:color w:val="auto"/>
              </w:rPr>
            </w:pPr>
            <w:r>
              <w:rPr>
                <w:rFonts w:ascii="Arial" w:cs="Arial" w:eastAsia="Arial" w:hAnsi="Arial"/>
                <w:sz w:val="14"/>
                <w:szCs w:val="14"/>
                <w:color w:val="auto"/>
              </w:rPr>
              <w:t>Dividends paid</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4"/>
                <w:szCs w:val="14"/>
                <w:color w:val="auto"/>
              </w:rPr>
              <w:t>Proceeds from exercise of stock options</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righ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20" w:type="dxa"/>
            <w:vAlign w:val="bottom"/>
            <w:gridSpan w:val="2"/>
          </w:tcPr>
          <w:p>
            <w:pPr>
              <w:ind w:left="60"/>
              <w:spacing w:after="0"/>
              <w:rPr>
                <w:sz w:val="20"/>
                <w:szCs w:val="20"/>
                <w:color w:val="auto"/>
              </w:rPr>
            </w:pPr>
            <w:r>
              <w:rPr>
                <w:rFonts w:ascii="Arial" w:cs="Arial" w:eastAsia="Arial" w:hAnsi="Arial"/>
                <w:sz w:val="14"/>
                <w:szCs w:val="14"/>
                <w:color w:val="auto"/>
              </w:rPr>
              <w:t>Repurchase of common stock</w:t>
            </w:r>
          </w:p>
        </w:tc>
        <w:tc>
          <w:tcPr>
            <w:tcW w:w="1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520" w:type="dxa"/>
            <w:vAlign w:val="bottom"/>
            <w:tcBorders>
              <w:top w:val="single" w:sz="8" w:color="CCEEFF"/>
            </w:tcBorders>
            <w:shd w:val="clear" w:color="auto" w:fill="CCEEFF"/>
          </w:tcPr>
          <w:p>
            <w:pPr>
              <w:spacing w:after="0" w:line="152" w:lineRule="exact"/>
              <w:rPr>
                <w:sz w:val="20"/>
                <w:szCs w:val="20"/>
                <w:color w:val="auto"/>
              </w:rPr>
            </w:pPr>
            <w:r>
              <w:rPr>
                <w:rFonts w:ascii="Arial" w:cs="Arial" w:eastAsia="Arial" w:hAnsi="Arial"/>
                <w:sz w:val="14"/>
                <w:szCs w:val="14"/>
                <w:color w:val="auto"/>
              </w:rPr>
              <w:t>Net cash (used in) provided by financing activities</w:t>
            </w:r>
          </w:p>
        </w:tc>
        <w:tc>
          <w:tcPr>
            <w:tcW w:w="1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right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20" w:type="dxa"/>
            <w:vAlign w:val="bottom"/>
            <w:gridSpan w:val="2"/>
            <w:vMerge w:val="restart"/>
          </w:tcPr>
          <w:p>
            <w:pPr>
              <w:ind w:left="60"/>
              <w:spacing w:after="0"/>
              <w:rPr>
                <w:sz w:val="20"/>
                <w:szCs w:val="20"/>
                <w:color w:val="auto"/>
              </w:rPr>
            </w:pPr>
            <w:r>
              <w:rPr>
                <w:rFonts w:ascii="Arial" w:cs="Arial" w:eastAsia="Arial" w:hAnsi="Arial"/>
                <w:sz w:val="14"/>
                <w:szCs w:val="14"/>
                <w:color w:val="auto"/>
              </w:rPr>
              <w:t>Net increase (decrease) in cash and cash equivalents</w:t>
            </w: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2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00" w:type="dxa"/>
            <w:vAlign w:val="bottom"/>
          </w:tcPr>
          <w:p>
            <w:pPr>
              <w:jc w:val="right"/>
              <w:spacing w:after="0" w:line="123" w:lineRule="exact"/>
              <w:rPr>
                <w:sz w:val="20"/>
                <w:szCs w:val="20"/>
                <w:color w:val="auto"/>
              </w:rPr>
            </w:pPr>
            <w:r>
              <w:rPr>
                <w:rFonts w:ascii="Arial" w:cs="Arial" w:eastAsia="Arial" w:hAnsi="Arial"/>
                <w:sz w:val="13"/>
                <w:szCs w:val="13"/>
                <w:color w:val="auto"/>
              </w:rPr>
              <w:t>1,102</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00" w:type="dxa"/>
            <w:vAlign w:val="bottom"/>
          </w:tcPr>
          <w:p>
            <w:pPr>
              <w:jc w:val="right"/>
              <w:spacing w:after="0" w:line="123"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and cash equivalents, beginning of period</w:t>
            </w:r>
          </w:p>
        </w:tc>
        <w:tc>
          <w:tcPr>
            <w:tcW w:w="1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auto"/>
              <w:right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20" w:type="dxa"/>
            <w:vAlign w:val="bottom"/>
            <w:gridSpan w:val="2"/>
          </w:tcPr>
          <w:p>
            <w:pPr>
              <w:ind w:left="60"/>
              <w:spacing w:after="0"/>
              <w:rPr>
                <w:sz w:val="20"/>
                <w:szCs w:val="20"/>
                <w:color w:val="auto"/>
              </w:rPr>
            </w:pPr>
            <w:r>
              <w:rPr>
                <w:rFonts w:ascii="Arial" w:cs="Arial" w:eastAsia="Arial" w:hAnsi="Arial"/>
                <w:sz w:val="14"/>
                <w:szCs w:val="14"/>
                <w:color w:val="auto"/>
              </w:rPr>
              <w:t>Cash and cash equivalents, end of period</w:t>
            </w:r>
          </w:p>
        </w:tc>
        <w:tc>
          <w:tcPr>
            <w:tcW w:w="260" w:type="dxa"/>
            <w:vAlign w:val="bottom"/>
            <w:gridSpan w:val="3"/>
          </w:tcPr>
          <w:p>
            <w:pPr>
              <w:jc w:val="right"/>
              <w:ind w:right="20"/>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1,102</w:t>
            </w:r>
          </w:p>
        </w:tc>
        <w:tc>
          <w:tcPr>
            <w:tcW w:w="40" w:type="dxa"/>
            <w:vAlign w:val="bottom"/>
          </w:tcPr>
          <w:p>
            <w:pPr>
              <w:spacing w:after="0"/>
              <w:rPr>
                <w:sz w:val="15"/>
                <w:szCs w:val="15"/>
                <w:color w:val="auto"/>
              </w:rPr>
            </w:pPr>
          </w:p>
        </w:tc>
        <w:tc>
          <w:tcPr>
            <w:tcW w:w="120" w:type="dxa"/>
            <w:vAlign w:val="bottom"/>
            <w:gridSpan w:val="4"/>
          </w:tcPr>
          <w:p>
            <w:pPr>
              <w:jc w:val="right"/>
              <w:ind w:right="20"/>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18.   LOSS CONTINGENCIES</w:t>
            </w: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20" w:type="dxa"/>
            <w:vAlign w:val="bottom"/>
          </w:tcPr>
          <w:p>
            <w:pPr>
              <w:spacing w:after="0"/>
              <w:rPr>
                <w:sz w:val="24"/>
                <w:szCs w:val="24"/>
                <w:color w:val="auto"/>
              </w:rPr>
            </w:pPr>
          </w:p>
        </w:tc>
        <w:tc>
          <w:tcPr>
            <w:tcW w:w="4640" w:type="dxa"/>
            <w:vAlign w:val="bottom"/>
            <w:tcBorders>
              <w:bottom w:val="single" w:sz="8" w:color="auto"/>
            </w:tcBorders>
            <w:gridSpan w:val="3"/>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left="640" w:right="719" w:firstLine="256"/>
        <w:spacing w:after="0" w:line="253" w:lineRule="auto"/>
        <w:rPr>
          <w:sz w:val="20"/>
          <w:szCs w:val="20"/>
          <w:color w:val="auto"/>
        </w:rPr>
      </w:pPr>
      <w:r>
        <w:rPr>
          <w:rFonts w:ascii="Arial" w:cs="Arial" w:eastAsia="Arial" w:hAnsi="Arial"/>
          <w:sz w:val="14"/>
          <w:szCs w:val="14"/>
          <w:color w:val="auto"/>
        </w:rPr>
        <w:t>Loss contingencies, including claims and legal actions may arise in the ordinary course of business. In the opinion of management, none of these actions, either individually or in the aggregate, is expected to have a material adverse effect on the Company’s Consolidated Financial Statements.</w:t>
      </w:r>
    </w:p>
    <w:p>
      <w:pPr>
        <w:spacing w:after="0" w:line="134" w:lineRule="exact"/>
        <w:rPr>
          <w:sz w:val="20"/>
          <w:szCs w:val="20"/>
          <w:color w:val="auto"/>
        </w:rPr>
      </w:pPr>
    </w:p>
    <w:p>
      <w:pPr>
        <w:ind w:left="1160" w:hanging="518"/>
        <w:spacing w:after="0"/>
        <w:tabs>
          <w:tab w:leader="none" w:pos="1160" w:val="left"/>
        </w:tabs>
        <w:numPr>
          <w:ilvl w:val="0"/>
          <w:numId w:val="24"/>
        </w:numPr>
        <w:rPr>
          <w:rFonts w:ascii="Arial" w:cs="Arial" w:eastAsia="Arial" w:hAnsi="Arial"/>
          <w:sz w:val="14"/>
          <w:szCs w:val="14"/>
          <w:b w:val="1"/>
          <w:bCs w:val="1"/>
          <w:color w:val="auto"/>
        </w:rPr>
      </w:pPr>
      <w:r>
        <w:rPr>
          <w:rFonts w:ascii="Arial" w:cs="Arial" w:eastAsia="Arial" w:hAnsi="Arial"/>
          <w:sz w:val="14"/>
          <w:szCs w:val="14"/>
          <w:b w:val="1"/>
          <w:bCs w:val="1"/>
          <w:color w:val="auto"/>
        </w:rPr>
        <w:t>SUBSEQUENT EVENTS</w:t>
      </w:r>
    </w:p>
    <w:p>
      <w:pPr>
        <w:spacing w:after="0" w:line="220" w:lineRule="exact"/>
        <w:rPr>
          <w:sz w:val="20"/>
          <w:szCs w:val="20"/>
          <w:color w:val="auto"/>
        </w:rPr>
      </w:pPr>
    </w:p>
    <w:p>
      <w:pPr>
        <w:ind w:left="640" w:right="719" w:firstLine="256"/>
        <w:spacing w:after="0" w:line="252" w:lineRule="auto"/>
        <w:rPr>
          <w:sz w:val="20"/>
          <w:szCs w:val="20"/>
          <w:color w:val="auto"/>
        </w:rPr>
      </w:pPr>
      <w:r>
        <w:rPr>
          <w:rFonts w:ascii="Arial" w:cs="Arial" w:eastAsia="Arial" w:hAnsi="Arial"/>
          <w:sz w:val="14"/>
          <w:szCs w:val="14"/>
          <w:color w:val="auto"/>
        </w:rPr>
        <w:t>Management has evaluated subsequent events from January 1, 2023 through March 24, 2023, which is the date this Annual Report Form 10-K was available to be issued.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Share Repurchase Program</w:t>
      </w:r>
    </w:p>
    <w:p>
      <w:pPr>
        <w:spacing w:after="0" w:line="273"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48</w:t>
      </w:r>
      <w:r>
        <w:rPr>
          <w:sz w:val="20"/>
          <w:szCs w:val="20"/>
          <w:color w:val="auto"/>
        </w:rPr>
        <w:tab/>
      </w:r>
      <w:r>
        <w:rPr>
          <w:rFonts w:ascii="Arial" w:cs="Arial" w:eastAsia="Arial" w:hAnsi="Arial"/>
          <w:sz w:val="14"/>
          <w:szCs w:val="14"/>
          <w:color w:val="auto"/>
        </w:rPr>
        <w:t>USCB Financial Holdings, Inc.</w:t>
        <w:tab/>
        <w:t>2022 10-K/A</w:t>
      </w:r>
    </w:p>
    <w:p>
      <w:pPr>
        <w:sectPr>
          <w:pgSz w:w="11900" w:h="16838" w:orient="portrait"/>
          <w:cols w:equalWidth="0" w:num="1">
            <w:col w:w="9019"/>
          </w:cols>
          <w:pgMar w:left="1440" w:top="490" w:right="1440" w:bottom="1440" w:gutter="0" w:footer="0" w:header="0"/>
        </w:sectPr>
      </w:pPr>
    </w:p>
    <w:bookmarkStart w:id="48" w:name="page49"/>
    <w:bookmarkEnd w:id="48"/>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340" w:lineRule="exact"/>
        <w:rPr>
          <w:sz w:val="20"/>
          <w:szCs w:val="20"/>
          <w:color w:val="auto"/>
        </w:rPr>
      </w:pPr>
    </w:p>
    <w:p>
      <w:pPr>
        <w:jc w:val="both"/>
        <w:ind w:left="640" w:right="699" w:firstLine="256"/>
        <w:spacing w:after="0" w:line="248" w:lineRule="auto"/>
        <w:rPr>
          <w:sz w:val="20"/>
          <w:szCs w:val="20"/>
          <w:color w:val="auto"/>
        </w:rPr>
      </w:pPr>
      <w:r>
        <w:rPr>
          <w:rFonts w:ascii="Arial" w:cs="Arial" w:eastAsia="Arial" w:hAnsi="Arial"/>
          <w:sz w:val="14"/>
          <w:szCs w:val="14"/>
          <w:color w:val="auto"/>
        </w:rPr>
        <w:t>In February 2023 the Company repurchased 250,000 shares of USCB Financial Holdings Inc. Class A common stock at a price of $12.04. Additionally, the Company repurchased 250,000 shares of USCB Financial Holdings Inc Class A Common stock at a price of $11.39 in March 2023. These repurchases were made thru the open market pursuant to the Company’s publicly announced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49</w:t>
      </w:r>
      <w:r>
        <w:rPr>
          <w:sz w:val="20"/>
          <w:szCs w:val="20"/>
          <w:color w:val="auto"/>
        </w:rPr>
        <w:tab/>
      </w:r>
      <w:r>
        <w:rPr>
          <w:rFonts w:ascii="Arial" w:cs="Arial" w:eastAsia="Arial" w:hAnsi="Arial"/>
          <w:sz w:val="14"/>
          <w:szCs w:val="14"/>
          <w:color w:val="auto"/>
        </w:rPr>
        <w:t>USCB Financial Holdings, Inc.</w:t>
        <w:tab/>
        <w:t>2022 10-K/A</w:t>
      </w:r>
    </w:p>
    <w:p>
      <w:pPr>
        <w:sectPr>
          <w:pgSz w:w="11900" w:h="16838" w:orient="portrait"/>
          <w:cols w:equalWidth="0" w:num="1">
            <w:col w:w="9019"/>
          </w:cols>
          <w:pgMar w:left="1440" w:top="490" w:right="1440" w:bottom="1440" w:gutter="0" w:footer="0" w:header="0"/>
        </w:sectPr>
      </w:pPr>
    </w:p>
    <w:bookmarkStart w:id="49" w:name="page50"/>
    <w:bookmarkEnd w:id="49"/>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PART IV</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15. Exhibits and Financial Statement Schedules</w:t>
      </w:r>
    </w:p>
    <w:p>
      <w:pPr>
        <w:spacing w:after="0" w:line="188" w:lineRule="exact"/>
        <w:rPr>
          <w:sz w:val="20"/>
          <w:szCs w:val="20"/>
          <w:color w:val="auto"/>
        </w:rPr>
      </w:pPr>
    </w:p>
    <w:p>
      <w:pPr>
        <w:ind w:left="920" w:right="699" w:hanging="257"/>
        <w:spacing w:after="0" w:line="262" w:lineRule="auto"/>
        <w:tabs>
          <w:tab w:leader="none" w:pos="922" w:val="left"/>
        </w:tabs>
        <w:numPr>
          <w:ilvl w:val="0"/>
          <w:numId w:val="25"/>
        </w:numPr>
        <w:rPr>
          <w:rFonts w:ascii="Arial" w:cs="Arial" w:eastAsia="Arial" w:hAnsi="Arial"/>
          <w:sz w:val="14"/>
          <w:szCs w:val="14"/>
          <w:color w:val="auto"/>
        </w:rPr>
      </w:pPr>
      <w:r>
        <w:rPr>
          <w:rFonts w:ascii="Arial" w:cs="Arial" w:eastAsia="Arial" w:hAnsi="Arial"/>
          <w:sz w:val="14"/>
          <w:szCs w:val="14"/>
          <w:color w:val="auto"/>
        </w:rPr>
        <w:t>List of documents filed as part of this Amendment No. 1 to the Annual Report on Form 10-K and are set forth in Item 8 hereto:</w:t>
      </w:r>
    </w:p>
    <w:p>
      <w:pPr>
        <w:ind w:left="1180" w:hanging="261"/>
        <w:spacing w:after="0"/>
        <w:tabs>
          <w:tab w:leader="none" w:pos="1180" w:val="left"/>
        </w:tabs>
        <w:numPr>
          <w:ilvl w:val="1"/>
          <w:numId w:val="25"/>
        </w:numPr>
        <w:rPr>
          <w:rFonts w:ascii="Arial" w:cs="Arial" w:eastAsia="Arial" w:hAnsi="Arial"/>
          <w:sz w:val="14"/>
          <w:szCs w:val="14"/>
          <w:color w:val="auto"/>
        </w:rPr>
      </w:pPr>
      <w:r>
        <w:rPr>
          <w:rFonts w:ascii="Arial" w:cs="Arial" w:eastAsia="Arial" w:hAnsi="Arial"/>
          <w:sz w:val="14"/>
          <w:szCs w:val="14"/>
          <w:i w:val="1"/>
          <w:iCs w:val="1"/>
          <w:color w:val="auto"/>
        </w:rPr>
        <w:t>Financial Statements:</w:t>
      </w:r>
    </w:p>
    <w:p>
      <w:pPr>
        <w:spacing w:after="0" w:line="32"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Report of Independent Registered Public Accounting Firm</w:t>
      </w:r>
    </w:p>
    <w:p>
      <w:pPr>
        <w:spacing w:after="0" w:line="20"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Consolidated Balance Sheets as of December 31, 2022 and 2021</w:t>
      </w:r>
    </w:p>
    <w:p>
      <w:pPr>
        <w:spacing w:after="0" w:line="10"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Consolidated Statements of Operations for the years ended December 31, 2022 and 2021</w:t>
      </w:r>
    </w:p>
    <w:p>
      <w:pPr>
        <w:spacing w:after="0" w:line="20"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Consolidated Statements of Comprehensive Income (Loss) for the years ended December 31, 2022 and 2021</w:t>
      </w:r>
    </w:p>
    <w:p>
      <w:pPr>
        <w:spacing w:after="0" w:line="20"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Consolidated Statements of Changes in Stockholders' Equity for the years ended December 31, 2022 and 2021</w:t>
      </w:r>
    </w:p>
    <w:p>
      <w:pPr>
        <w:spacing w:after="0" w:line="10"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Consolidated Statements of Cash Flows for the years ended December 31, 2022 and 2021</w:t>
      </w:r>
    </w:p>
    <w:p>
      <w:pPr>
        <w:spacing w:after="0" w:line="20"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Notes to Consolidated Financial Statements</w:t>
      </w:r>
    </w:p>
    <w:p>
      <w:pPr>
        <w:spacing w:after="0" w:line="9" w:lineRule="exact"/>
        <w:rPr>
          <w:sz w:val="20"/>
          <w:szCs w:val="20"/>
          <w:color w:val="auto"/>
        </w:rPr>
      </w:pPr>
    </w:p>
    <w:p>
      <w:pPr>
        <w:ind w:left="1180" w:hanging="261"/>
        <w:spacing w:after="0"/>
        <w:tabs>
          <w:tab w:leader="none" w:pos="1180" w:val="left"/>
        </w:tabs>
        <w:numPr>
          <w:ilvl w:val="0"/>
          <w:numId w:val="26"/>
        </w:numPr>
        <w:rPr>
          <w:rFonts w:ascii="Arial" w:cs="Arial" w:eastAsia="Arial" w:hAnsi="Arial"/>
          <w:sz w:val="14"/>
          <w:szCs w:val="14"/>
          <w:color w:val="auto"/>
        </w:rPr>
      </w:pPr>
      <w:r>
        <w:rPr>
          <w:rFonts w:ascii="Arial" w:cs="Arial" w:eastAsia="Arial" w:hAnsi="Arial"/>
          <w:sz w:val="14"/>
          <w:szCs w:val="14"/>
          <w:i w:val="1"/>
          <w:iCs w:val="1"/>
          <w:color w:val="auto"/>
        </w:rPr>
        <w:t>Financial Statement Schedules:</w:t>
      </w:r>
    </w:p>
    <w:p>
      <w:pPr>
        <w:spacing w:after="0" w:line="42" w:lineRule="exact"/>
        <w:rPr>
          <w:sz w:val="20"/>
          <w:szCs w:val="20"/>
          <w:color w:val="auto"/>
        </w:rPr>
      </w:pPr>
    </w:p>
    <w:p>
      <w:pPr>
        <w:ind w:left="1280" w:right="1159"/>
        <w:spacing w:after="0" w:line="252" w:lineRule="auto"/>
        <w:rPr>
          <w:sz w:val="20"/>
          <w:szCs w:val="20"/>
          <w:color w:val="auto"/>
        </w:rPr>
      </w:pPr>
      <w:r>
        <w:rPr>
          <w:rFonts w:ascii="Arial" w:cs="Arial" w:eastAsia="Arial" w:hAnsi="Arial"/>
          <w:sz w:val="14"/>
          <w:szCs w:val="14"/>
          <w:color w:val="auto"/>
        </w:rPr>
        <w:t>Financial statement schedules are omitted as not required or not applicable or because the information is included in the Consolidated Financial Statements or notes thereto.</w:t>
      </w:r>
    </w:p>
    <w:p>
      <w:pPr>
        <w:spacing w:after="0" w:line="3" w:lineRule="exact"/>
        <w:rPr>
          <w:sz w:val="20"/>
          <w:szCs w:val="20"/>
          <w:color w:val="auto"/>
        </w:rPr>
      </w:pPr>
    </w:p>
    <w:p>
      <w:pPr>
        <w:ind w:left="660"/>
        <w:spacing w:after="0"/>
        <w:rPr>
          <w:sz w:val="20"/>
          <w:szCs w:val="20"/>
          <w:color w:val="auto"/>
        </w:rPr>
      </w:pPr>
      <w:r>
        <w:rPr>
          <w:rFonts w:ascii="Arial" w:cs="Arial" w:eastAsia="Arial" w:hAnsi="Arial"/>
          <w:sz w:val="14"/>
          <w:szCs w:val="14"/>
          <w:color w:val="auto"/>
        </w:rPr>
        <w:t>(b) List of Exhibits:</w:t>
      </w:r>
    </w:p>
    <w:p>
      <w:pPr>
        <w:spacing w:after="0" w:line="31" w:lineRule="exact"/>
        <w:rPr>
          <w:sz w:val="20"/>
          <w:szCs w:val="20"/>
          <w:color w:val="auto"/>
        </w:rPr>
      </w:pPr>
    </w:p>
    <w:p>
      <w:pPr>
        <w:ind w:left="1280" w:right="1279"/>
        <w:spacing w:after="0" w:line="252" w:lineRule="auto"/>
        <w:rPr>
          <w:sz w:val="20"/>
          <w:szCs w:val="20"/>
          <w:color w:val="auto"/>
        </w:rPr>
      </w:pPr>
      <w:r>
        <w:rPr>
          <w:rFonts w:ascii="Arial" w:cs="Arial" w:eastAsia="Arial" w:hAnsi="Arial"/>
          <w:sz w:val="14"/>
          <w:szCs w:val="14"/>
          <w:color w:val="auto"/>
        </w:rPr>
        <w:t>Item 15(b) of the Original Report is hereby amended solely to provide the exhibits required to be filed in connection with the Form 10-K/A.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50</w:t>
      </w:r>
      <w:r>
        <w:rPr>
          <w:sz w:val="20"/>
          <w:szCs w:val="20"/>
          <w:color w:val="auto"/>
        </w:rPr>
        <w:tab/>
      </w:r>
      <w:r>
        <w:rPr>
          <w:rFonts w:ascii="Arial" w:cs="Arial" w:eastAsia="Arial" w:hAnsi="Arial"/>
          <w:sz w:val="14"/>
          <w:szCs w:val="14"/>
          <w:color w:val="auto"/>
        </w:rPr>
        <w:t>USCB Financial Holdings, Inc.</w:t>
        <w:tab/>
        <w:t>2022 10-K/A</w:t>
      </w:r>
    </w:p>
    <w:p>
      <w:pPr>
        <w:sectPr>
          <w:pgSz w:w="11900" w:h="16838" w:orient="portrait"/>
          <w:cols w:equalWidth="0" w:num="1">
            <w:col w:w="9019"/>
          </w:cols>
          <w:pgMar w:left="1440" w:top="490" w:right="1440" w:bottom="1440" w:gutter="0" w:footer="0" w:header="0"/>
        </w:sectPr>
      </w:pPr>
    </w:p>
    <w:bookmarkStart w:id="50" w:name="page51"/>
    <w:bookmarkEnd w:id="50"/>
    <w:p>
      <w:pPr>
        <w:ind w:left="660"/>
        <w:spacing w:after="0"/>
        <w:rPr>
          <w:sz w:val="20"/>
          <w:szCs w:val="20"/>
          <w:color w:val="auto"/>
        </w:rPr>
      </w:pPr>
      <w:r>
        <w:rPr>
          <w:rFonts w:ascii="Arial" w:cs="Arial" w:eastAsia="Arial" w:hAnsi="Arial"/>
          <w:sz w:val="14"/>
          <w:szCs w:val="14"/>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tbl>
      <w:tblPr>
        <w:tblLayout w:type="fixed"/>
        <w:tblInd w:w="300" w:type="dxa"/>
        <w:tblCellMar>
          <w:top w:w="0" w:type="dxa"/>
          <w:left w:w="0" w:type="dxa"/>
          <w:bottom w:w="0" w:type="dxa"/>
          <w:right w:w="0" w:type="dxa"/>
        </w:tblCellMar>
      </w:tblPr>
      <w:tr>
        <w:trPr>
          <w:trHeight w:val="195"/>
        </w:trPr>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420" w:type="dxa"/>
            <w:vAlign w:val="bottom"/>
            <w:tcBorders>
              <w:top w:val="single" w:sz="8" w:color="0000FF"/>
            </w:tcBorders>
          </w:tcPr>
          <w:p>
            <w:pPr>
              <w:spacing w:after="0"/>
              <w:rPr>
                <w:sz w:val="16"/>
                <w:szCs w:val="16"/>
                <w:color w:val="auto"/>
              </w:rPr>
            </w:pPr>
          </w:p>
        </w:tc>
        <w:tc>
          <w:tcPr>
            <w:tcW w:w="676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rPr>
              <w:t>USCB FINANCIAL HOLDINGS, INC.</w:t>
            </w:r>
          </w:p>
        </w:tc>
        <w:tc>
          <w:tcPr>
            <w:tcW w:w="0" w:type="dxa"/>
            <w:vAlign w:val="bottom"/>
          </w:tcPr>
          <w:p>
            <w:pPr>
              <w:spacing w:after="0"/>
              <w:rPr>
                <w:sz w:val="1"/>
                <w:szCs w:val="1"/>
                <w:color w:val="auto"/>
              </w:rPr>
            </w:pPr>
          </w:p>
        </w:tc>
      </w:tr>
      <w:tr>
        <w:trPr>
          <w:trHeight w:val="154"/>
        </w:trPr>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760" w:type="dxa"/>
            <w:vAlign w:val="bottom"/>
            <w:gridSpan w:val="3"/>
          </w:tcPr>
          <w:p>
            <w:pPr>
              <w:jc w:val="center"/>
              <w:ind w:right="1320"/>
              <w:spacing w:after="0"/>
              <w:rPr>
                <w:sz w:val="20"/>
                <w:szCs w:val="20"/>
                <w:color w:val="auto"/>
              </w:rPr>
            </w:pPr>
            <w:r>
              <w:rPr>
                <w:rFonts w:ascii="Arial" w:cs="Arial" w:eastAsia="Arial" w:hAnsi="Arial"/>
                <w:sz w:val="13"/>
                <w:szCs w:val="13"/>
                <w:color w:val="auto"/>
                <w:w w:val="99"/>
              </w:rPr>
              <w:t>Notes to the Consolidated Financial Statements</w:t>
            </w:r>
          </w:p>
        </w:tc>
        <w:tc>
          <w:tcPr>
            <w:tcW w:w="0" w:type="dxa"/>
            <w:vAlign w:val="bottom"/>
          </w:tcPr>
          <w:p>
            <w:pPr>
              <w:spacing w:after="0"/>
              <w:rPr>
                <w:sz w:val="1"/>
                <w:szCs w:val="1"/>
                <w:color w:val="auto"/>
              </w:rPr>
            </w:pPr>
          </w:p>
        </w:tc>
      </w:tr>
      <w:tr>
        <w:trPr>
          <w:trHeight w:val="345"/>
        </w:trPr>
        <w:tc>
          <w:tcPr>
            <w:tcW w:w="780" w:type="dxa"/>
            <w:vAlign w:val="bottom"/>
            <w:gridSpan w:val="6"/>
            <w:vMerge w:val="restart"/>
          </w:tcPr>
          <w:p>
            <w:pPr>
              <w:jc w:val="center"/>
              <w:spacing w:after="0"/>
              <w:rPr>
                <w:sz w:val="20"/>
                <w:szCs w:val="20"/>
                <w:color w:val="auto"/>
              </w:rPr>
            </w:pPr>
            <w:r>
              <w:rPr>
                <w:rFonts w:ascii="Arial" w:cs="Arial" w:eastAsia="Arial" w:hAnsi="Arial"/>
                <w:sz w:val="13"/>
                <w:szCs w:val="13"/>
                <w:b w:val="1"/>
                <w:bCs w:val="1"/>
                <w:color w:val="auto"/>
                <w:w w:val="96"/>
              </w:rPr>
              <w:t>Exhibit</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76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rPr>
              <w:t>EXHIBIT INDEX</w:t>
            </w:r>
          </w:p>
        </w:tc>
        <w:tc>
          <w:tcPr>
            <w:tcW w:w="0" w:type="dxa"/>
            <w:vAlign w:val="bottom"/>
          </w:tcPr>
          <w:p>
            <w:pPr>
              <w:spacing w:after="0"/>
              <w:rPr>
                <w:sz w:val="1"/>
                <w:szCs w:val="1"/>
                <w:color w:val="auto"/>
              </w:rPr>
            </w:pPr>
          </w:p>
        </w:tc>
      </w:tr>
      <w:tr>
        <w:trPr>
          <w:trHeight w:val="125"/>
        </w:trPr>
        <w:tc>
          <w:tcPr>
            <w:tcW w:w="780" w:type="dxa"/>
            <w:vAlign w:val="bottom"/>
            <w:gridSpan w:val="6"/>
            <w:vMerge w:val="continue"/>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780" w:type="dxa"/>
            <w:vAlign w:val="bottom"/>
            <w:tcBorders>
              <w:bottom w:val="single" w:sz="8" w:color="auto"/>
            </w:tcBorders>
            <w:gridSpan w:val="6"/>
          </w:tcPr>
          <w:p>
            <w:pPr>
              <w:jc w:val="center"/>
              <w:spacing w:after="0"/>
              <w:rPr>
                <w:sz w:val="20"/>
                <w:szCs w:val="20"/>
                <w:color w:val="auto"/>
              </w:rPr>
            </w:pPr>
            <w:r>
              <w:rPr>
                <w:rFonts w:ascii="Arial" w:cs="Arial" w:eastAsia="Arial" w:hAnsi="Arial"/>
                <w:sz w:val="13"/>
                <w:szCs w:val="13"/>
                <w:b w:val="1"/>
                <w:bCs w:val="1"/>
                <w:color w:val="auto"/>
              </w:rPr>
              <w:t>Number</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18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rPr>
              <w:t>Description of Exhibit</w:t>
            </w:r>
          </w:p>
        </w:tc>
        <w:tc>
          <w:tcPr>
            <w:tcW w:w="0" w:type="dxa"/>
            <w:vAlign w:val="bottom"/>
          </w:tcPr>
          <w:p>
            <w:pPr>
              <w:spacing w:after="0"/>
              <w:rPr>
                <w:sz w:val="1"/>
                <w:szCs w:val="1"/>
                <w:color w:val="auto"/>
              </w:rPr>
            </w:pPr>
          </w:p>
        </w:tc>
      </w:tr>
      <w:tr>
        <w:trPr>
          <w:trHeight w:val="119"/>
        </w:trPr>
        <w:tc>
          <w:tcPr>
            <w:tcW w:w="520" w:type="dxa"/>
            <w:vAlign w:val="bottom"/>
            <w:gridSpan w:val="3"/>
          </w:tcPr>
          <w:p>
            <w:pPr>
              <w:jc w:val="center"/>
              <w:ind w:left="216"/>
              <w:spacing w:after="0" w:line="119" w:lineRule="exact"/>
              <w:rPr>
                <w:sz w:val="20"/>
                <w:szCs w:val="20"/>
                <w:color w:val="auto"/>
              </w:rPr>
            </w:pPr>
            <w:r>
              <w:rPr>
                <w:rFonts w:ascii="Arial" w:cs="Arial" w:eastAsia="Arial" w:hAnsi="Arial"/>
                <w:sz w:val="13"/>
                <w:szCs w:val="13"/>
                <w:color w:val="0000FF"/>
                <w:w w:val="94"/>
              </w:rPr>
              <w:t>31.</w:t>
            </w:r>
            <w:r>
              <w:rPr>
                <w:rFonts w:ascii="Arial" w:cs="Arial" w:eastAsia="Arial" w:hAnsi="Arial"/>
                <w:sz w:val="13"/>
                <w:szCs w:val="13"/>
                <w:u w:val="single" w:color="auto"/>
                <w:color w:val="0000FF"/>
                <w:w w:val="94"/>
              </w:rPr>
              <w:t>1</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180" w:type="dxa"/>
            <w:vAlign w:val="bottom"/>
            <w:gridSpan w:val="4"/>
          </w:tcPr>
          <w:p>
            <w:pPr>
              <w:spacing w:after="0" w:line="119" w:lineRule="exact"/>
              <w:rPr>
                <w:sz w:val="20"/>
                <w:szCs w:val="20"/>
                <w:color w:val="auto"/>
              </w:rPr>
            </w:pPr>
            <w:r>
              <w:rPr>
                <w:rFonts w:ascii="Arial" w:cs="Arial" w:eastAsia="Arial" w:hAnsi="Arial"/>
                <w:sz w:val="13"/>
                <w:szCs w:val="13"/>
                <w:color w:val="0000FF"/>
              </w:rPr>
              <w:t>Certification of Chief Executive Officer pursuant to Rule 13a-14(a) of the Securities Exchange Act of 1934.</w:t>
            </w:r>
            <w:r>
              <w:rPr>
                <w:rFonts w:ascii="Arial" w:cs="Arial" w:eastAsia="Arial" w:hAnsi="Arial"/>
                <w:sz w:val="13"/>
                <w:szCs w:val="13"/>
                <w:color w:val="000000"/>
              </w:rPr>
              <w:t>*</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0" w:type="dxa"/>
            <w:vAlign w:val="bottom"/>
            <w:gridSpan w:val="2"/>
            <w:shd w:val="clear" w:color="auto" w:fill="0000FF"/>
          </w:tcPr>
          <w:p>
            <w:pPr>
              <w:spacing w:after="0" w:line="20" w:lineRule="exact"/>
              <w:rPr>
                <w:sz w:val="1"/>
                <w:szCs w:val="1"/>
                <w:color w:val="auto"/>
              </w:rPr>
            </w:pPr>
          </w:p>
        </w:tc>
        <w:tc>
          <w:tcPr>
            <w:tcW w:w="1760" w:type="dxa"/>
            <w:vAlign w:val="bottom"/>
            <w:tcBorders>
              <w:left w:val="single" w:sz="8" w:color="0000FF"/>
            </w:tcBorders>
            <w:shd w:val="clear" w:color="auto" w:fill="0000FF"/>
          </w:tcPr>
          <w:p>
            <w:pPr>
              <w:spacing w:after="0" w:line="20" w:lineRule="exact"/>
              <w:rPr>
                <w:sz w:val="1"/>
                <w:szCs w:val="1"/>
                <w:color w:val="auto"/>
              </w:rPr>
            </w:pPr>
          </w:p>
        </w:tc>
        <w:tc>
          <w:tcPr>
            <w:tcW w:w="12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20" w:type="dxa"/>
            <w:vAlign w:val="bottom"/>
            <w:gridSpan w:val="3"/>
          </w:tcPr>
          <w:p>
            <w:pPr>
              <w:jc w:val="center"/>
              <w:ind w:left="216"/>
              <w:spacing w:after="0"/>
              <w:rPr>
                <w:sz w:val="20"/>
                <w:szCs w:val="20"/>
                <w:color w:val="auto"/>
              </w:rPr>
            </w:pPr>
            <w:r>
              <w:rPr>
                <w:rFonts w:ascii="Arial" w:cs="Arial" w:eastAsia="Arial" w:hAnsi="Arial"/>
                <w:sz w:val="13"/>
                <w:szCs w:val="13"/>
                <w:color w:val="0000FF"/>
                <w:w w:val="94"/>
              </w:rPr>
              <w:t>31.</w:t>
            </w:r>
            <w:r>
              <w:rPr>
                <w:rFonts w:ascii="Arial" w:cs="Arial" w:eastAsia="Arial" w:hAnsi="Arial"/>
                <w:sz w:val="13"/>
                <w:szCs w:val="13"/>
                <w:u w:val="single" w:color="auto"/>
                <w:color w:val="0000FF"/>
                <w:w w:val="94"/>
              </w:rPr>
              <w:t>2</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180" w:type="dxa"/>
            <w:vAlign w:val="bottom"/>
            <w:gridSpan w:val="4"/>
          </w:tcPr>
          <w:p>
            <w:pPr>
              <w:spacing w:after="0"/>
              <w:rPr>
                <w:sz w:val="20"/>
                <w:szCs w:val="20"/>
                <w:color w:val="auto"/>
              </w:rPr>
            </w:pPr>
            <w:r>
              <w:rPr>
                <w:rFonts w:ascii="Arial" w:cs="Arial" w:eastAsia="Arial" w:hAnsi="Arial"/>
                <w:sz w:val="13"/>
                <w:szCs w:val="13"/>
                <w:color w:val="0000FF"/>
              </w:rPr>
              <w:t>Certification of Chief Financial Officer pursuant to Rule 13a-14(a) of the Securities Exchange Act of 1934.</w:t>
            </w:r>
            <w:r>
              <w:rPr>
                <w:rFonts w:ascii="Arial" w:cs="Arial" w:eastAsia="Arial" w:hAnsi="Arial"/>
                <w:sz w:val="13"/>
                <w:szCs w:val="13"/>
                <w:color w:val="000000"/>
              </w:rPr>
              <w:t>*</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0" w:type="dxa"/>
            <w:vAlign w:val="bottom"/>
            <w:gridSpan w:val="2"/>
            <w:shd w:val="clear" w:color="auto" w:fill="0000FF"/>
          </w:tcPr>
          <w:p>
            <w:pPr>
              <w:spacing w:after="0" w:line="20" w:lineRule="exact"/>
              <w:rPr>
                <w:sz w:val="1"/>
                <w:szCs w:val="1"/>
                <w:color w:val="auto"/>
              </w:rPr>
            </w:pPr>
          </w:p>
        </w:tc>
        <w:tc>
          <w:tcPr>
            <w:tcW w:w="1760" w:type="dxa"/>
            <w:vAlign w:val="bottom"/>
            <w:tcBorders>
              <w:left w:val="single" w:sz="8" w:color="0000FF"/>
            </w:tcBorders>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520" w:type="dxa"/>
            <w:vAlign w:val="bottom"/>
            <w:gridSpan w:val="3"/>
          </w:tcPr>
          <w:p>
            <w:pPr>
              <w:jc w:val="center"/>
              <w:ind w:left="216"/>
              <w:spacing w:after="0" w:line="140" w:lineRule="exact"/>
              <w:rPr>
                <w:sz w:val="20"/>
                <w:szCs w:val="20"/>
                <w:color w:val="auto"/>
              </w:rPr>
            </w:pPr>
            <w:r>
              <w:rPr>
                <w:rFonts w:ascii="Arial" w:cs="Arial" w:eastAsia="Arial" w:hAnsi="Arial"/>
                <w:sz w:val="13"/>
                <w:szCs w:val="13"/>
                <w:color w:val="0000FF"/>
                <w:w w:val="94"/>
              </w:rPr>
              <w:t>32.</w:t>
            </w:r>
            <w:r>
              <w:rPr>
                <w:rFonts w:ascii="Arial" w:cs="Arial" w:eastAsia="Arial" w:hAnsi="Arial"/>
                <w:sz w:val="13"/>
                <w:szCs w:val="13"/>
                <w:u w:val="single" w:color="auto"/>
                <w:color w:val="0000FF"/>
                <w:w w:val="94"/>
              </w:rPr>
              <w:t>1</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180" w:type="dxa"/>
            <w:vAlign w:val="bottom"/>
            <w:gridSpan w:val="4"/>
          </w:tcPr>
          <w:p>
            <w:pPr>
              <w:spacing w:after="0" w:line="140" w:lineRule="exact"/>
              <w:rPr>
                <w:sz w:val="20"/>
                <w:szCs w:val="20"/>
                <w:color w:val="auto"/>
              </w:rPr>
            </w:pPr>
            <w:r>
              <w:rPr>
                <w:rFonts w:ascii="Arial" w:cs="Arial" w:eastAsia="Arial" w:hAnsi="Arial"/>
                <w:sz w:val="13"/>
                <w:szCs w:val="13"/>
                <w:color w:val="0000FF"/>
              </w:rPr>
              <w:t>Certification of Chief Executive Officer pursuant to 18 U.S.C. Section 1350.</w:t>
            </w:r>
            <w:r>
              <w:rPr>
                <w:rFonts w:ascii="Arial" w:cs="Arial" w:eastAsia="Arial" w:hAnsi="Arial"/>
                <w:sz w:val="13"/>
                <w:szCs w:val="13"/>
                <w:color w:val="000000"/>
              </w:rPr>
              <w:t>**</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0" w:type="dxa"/>
            <w:vAlign w:val="bottom"/>
            <w:gridSpan w:val="2"/>
            <w:shd w:val="clear" w:color="auto" w:fill="0000FF"/>
          </w:tcPr>
          <w:p>
            <w:pPr>
              <w:spacing w:after="0" w:line="20" w:lineRule="exact"/>
              <w:rPr>
                <w:sz w:val="1"/>
                <w:szCs w:val="1"/>
                <w:color w:val="auto"/>
              </w:rPr>
            </w:pPr>
          </w:p>
        </w:tc>
        <w:tc>
          <w:tcPr>
            <w:tcW w:w="2980" w:type="dxa"/>
            <w:vAlign w:val="bottom"/>
            <w:tcBorders>
              <w:left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520" w:type="dxa"/>
            <w:vAlign w:val="bottom"/>
            <w:gridSpan w:val="3"/>
          </w:tcPr>
          <w:p>
            <w:pPr>
              <w:jc w:val="center"/>
              <w:ind w:left="216"/>
              <w:spacing w:after="0" w:line="140" w:lineRule="exact"/>
              <w:rPr>
                <w:sz w:val="20"/>
                <w:szCs w:val="20"/>
                <w:color w:val="auto"/>
              </w:rPr>
            </w:pPr>
            <w:r>
              <w:rPr>
                <w:rFonts w:ascii="Arial" w:cs="Arial" w:eastAsia="Arial" w:hAnsi="Arial"/>
                <w:sz w:val="13"/>
                <w:szCs w:val="13"/>
                <w:color w:val="0000FF"/>
                <w:w w:val="94"/>
              </w:rPr>
              <w:t>32.</w:t>
            </w:r>
            <w:r>
              <w:rPr>
                <w:rFonts w:ascii="Arial" w:cs="Arial" w:eastAsia="Arial" w:hAnsi="Arial"/>
                <w:sz w:val="13"/>
                <w:szCs w:val="13"/>
                <w:u w:val="single" w:color="auto"/>
                <w:color w:val="0000FF"/>
                <w:w w:val="94"/>
              </w:rPr>
              <w:t>2</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180" w:type="dxa"/>
            <w:vAlign w:val="bottom"/>
            <w:gridSpan w:val="4"/>
          </w:tcPr>
          <w:p>
            <w:pPr>
              <w:spacing w:after="0" w:line="140" w:lineRule="exact"/>
              <w:rPr>
                <w:sz w:val="20"/>
                <w:szCs w:val="20"/>
                <w:color w:val="auto"/>
              </w:rPr>
            </w:pPr>
            <w:r>
              <w:rPr>
                <w:rFonts w:ascii="Arial" w:cs="Arial" w:eastAsia="Arial" w:hAnsi="Arial"/>
                <w:sz w:val="13"/>
                <w:szCs w:val="13"/>
                <w:color w:val="0000FF"/>
              </w:rPr>
              <w:t>Certification of Chief Financial Officer pursuant to 18 U.S.C. Section 1350.</w:t>
            </w:r>
            <w:r>
              <w:rPr>
                <w:rFonts w:ascii="Arial" w:cs="Arial" w:eastAsia="Arial" w:hAnsi="Arial"/>
                <w:sz w:val="13"/>
                <w:szCs w:val="13"/>
                <w:color w:val="000000"/>
              </w:rPr>
              <w:t>**</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780" w:type="dxa"/>
            <w:vAlign w:val="bottom"/>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0"/>
          <w:szCs w:val="20"/>
          <w:color w:val="auto"/>
        </w:rPr>
      </w:pPr>
    </w:p>
    <w:p>
      <w:pPr>
        <w:ind w:left="1360" w:right="559" w:hanging="772"/>
        <w:spacing w:after="0" w:line="235" w:lineRule="auto"/>
        <w:tabs>
          <w:tab w:leader="none" w:pos="136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following financial statements from the Company’s Annual Report on Form 10-K for the year ended December 31, 2021, formatted in Inline XBRL: (i) Consolidated Balance Sheets, (ii) Consolidated Statements of Operations, (iii) Consolidated Statements of Comprehensive Income, (iv) Consolidated Statements of Changes in Stockholders’ Equity, (v) Consolidated Statements of Cash Flows, (vi) Notes to Consolidated Financial Statements.</w:t>
      </w:r>
    </w:p>
    <w:p>
      <w:pPr>
        <w:spacing w:after="0" w:line="1" w:lineRule="exact"/>
        <w:rPr>
          <w:sz w:val="20"/>
          <w:szCs w:val="20"/>
          <w:color w:val="auto"/>
        </w:rPr>
      </w:pPr>
    </w:p>
    <w:p>
      <w:pPr>
        <w:ind w:left="1160" w:right="2619" w:hanging="572"/>
        <w:spacing w:after="0" w:line="393" w:lineRule="auto"/>
        <w:tabs>
          <w:tab w:leader="none" w:pos="1363" w:val="left"/>
        </w:tabs>
        <w:numPr>
          <w:ilvl w:val="0"/>
          <w:numId w:val="28"/>
        </w:numPr>
        <w:rPr>
          <w:rFonts w:ascii="Arial" w:cs="Arial" w:eastAsia="Arial" w:hAnsi="Arial"/>
          <w:sz w:val="13"/>
          <w:szCs w:val="13"/>
          <w:color w:val="auto"/>
        </w:rPr>
      </w:pPr>
      <w:r>
        <w:rPr>
          <w:rFonts w:ascii="Arial" w:cs="Arial" w:eastAsia="Arial" w:hAnsi="Arial"/>
          <w:sz w:val="13"/>
          <w:szCs w:val="13"/>
          <w:color w:val="auto"/>
        </w:rPr>
        <w:t>Cover Page Interactive Data File (formatted as Inline XBRL and contained in Exhibit 101) * Filed herewith.</w:t>
      </w:r>
    </w:p>
    <w:p>
      <w:pPr>
        <w:spacing w:after="0" w:line="1" w:lineRule="exact"/>
        <w:rPr>
          <w:rFonts w:ascii="Arial" w:cs="Arial" w:eastAsia="Arial" w:hAnsi="Arial"/>
          <w:sz w:val="13"/>
          <w:szCs w:val="13"/>
          <w:color w:val="auto"/>
        </w:rPr>
      </w:pPr>
    </w:p>
    <w:p>
      <w:pPr>
        <w:ind w:left="1360" w:hanging="249"/>
        <w:spacing w:after="0"/>
        <w:tabs>
          <w:tab w:leader="none" w:pos="1360" w:val="left"/>
        </w:tabs>
        <w:numPr>
          <w:ilvl w:val="1"/>
          <w:numId w:val="29"/>
        </w:numPr>
        <w:rPr>
          <w:rFonts w:ascii="Arial" w:cs="Arial" w:eastAsia="Arial" w:hAnsi="Arial"/>
          <w:sz w:val="13"/>
          <w:szCs w:val="13"/>
          <w:color w:val="auto"/>
        </w:rPr>
      </w:pPr>
      <w:r>
        <w:rPr>
          <w:rFonts w:ascii="Arial" w:cs="Arial" w:eastAsia="Arial" w:hAnsi="Arial"/>
          <w:sz w:val="13"/>
          <w:szCs w:val="13"/>
          <w:color w:val="auto"/>
        </w:rPr>
        <w:t>Furnished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51</w:t>
      </w:r>
      <w:r>
        <w:rPr>
          <w:sz w:val="20"/>
          <w:szCs w:val="20"/>
          <w:color w:val="auto"/>
        </w:rPr>
        <w:tab/>
      </w:r>
      <w:r>
        <w:rPr>
          <w:rFonts w:ascii="Arial" w:cs="Arial" w:eastAsia="Arial" w:hAnsi="Arial"/>
          <w:sz w:val="14"/>
          <w:szCs w:val="14"/>
          <w:color w:val="auto"/>
        </w:rPr>
        <w:t>USCB Financial Holdings, Inc.</w:t>
        <w:tab/>
        <w:t>2022 10-K/A</w:t>
      </w:r>
    </w:p>
    <w:p>
      <w:pPr>
        <w:sectPr>
          <w:pgSz w:w="11900" w:h="16838" w:orient="portrait"/>
          <w:cols w:equalWidth="0" w:num="1">
            <w:col w:w="9019"/>
          </w:cols>
          <w:pgMar w:left="1440" w:top="469" w:right="1440" w:bottom="1440" w:gutter="0" w:footer="0" w:header="0"/>
        </w:sectPr>
      </w:pPr>
    </w:p>
    <w:bookmarkStart w:id="51" w:name="page52"/>
    <w:bookmarkEnd w:id="51"/>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Table of Contents</w:t>
      </w:r>
    </w:p>
    <w:p>
      <w:pPr>
        <w:jc w:val="center"/>
        <w:ind w:right="3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SIGNATURES</w:t>
      </w:r>
    </w:p>
    <w:p>
      <w:pPr>
        <w:spacing w:after="0" w:line="177" w:lineRule="exact"/>
        <w:rPr>
          <w:sz w:val="20"/>
          <w:szCs w:val="20"/>
          <w:color w:val="auto"/>
        </w:rPr>
      </w:pPr>
    </w:p>
    <w:p>
      <w:pPr>
        <w:ind w:left="660" w:right="699" w:firstLine="256"/>
        <w:spacing w:after="0" w:line="268" w:lineRule="auto"/>
        <w:rPr>
          <w:sz w:val="20"/>
          <w:szCs w:val="20"/>
          <w:color w:val="auto"/>
        </w:rPr>
      </w:pPr>
      <w:r>
        <w:rPr>
          <w:rFonts w:ascii="Arial" w:cs="Arial" w:eastAsia="Arial" w:hAnsi="Arial"/>
          <w:sz w:val="14"/>
          <w:szCs w:val="14"/>
          <w:color w:val="auto"/>
        </w:rPr>
        <w:t>Pursuant to the requirements of the Exchange Act, the registrant has duly caused this Amendment No. 1 to this report to be signed on its behalf by the undersigned thereunto duly authorized.</w:t>
      </w:r>
    </w:p>
    <w:p>
      <w:pPr>
        <w:spacing w:after="0" w:line="113" w:lineRule="exact"/>
        <w:rPr>
          <w:sz w:val="20"/>
          <w:szCs w:val="20"/>
          <w:color w:val="auto"/>
        </w:rPr>
      </w:pPr>
    </w:p>
    <w:tbl>
      <w:tblPr>
        <w:tblLayout w:type="fixed"/>
        <w:tblInd w:w="860" w:type="dxa"/>
        <w:tblCellMar>
          <w:top w:w="0" w:type="dxa"/>
          <w:left w:w="0" w:type="dxa"/>
          <w:bottom w:w="0" w:type="dxa"/>
          <w:right w:w="0" w:type="dxa"/>
        </w:tblCellMar>
      </w:tblPr>
      <w:tr>
        <w:trPr>
          <w:trHeight w:val="188"/>
        </w:trPr>
        <w:tc>
          <w:tcPr>
            <w:tcW w:w="24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500" w:type="dxa"/>
            <w:vAlign w:val="bottom"/>
          </w:tcPr>
          <w:p>
            <w:pPr>
              <w:ind w:left="80"/>
              <w:spacing w:after="0"/>
              <w:rPr>
                <w:sz w:val="20"/>
                <w:szCs w:val="20"/>
                <w:color w:val="auto"/>
              </w:rPr>
            </w:pPr>
            <w:r>
              <w:rPr>
                <w:rFonts w:ascii="Arial" w:cs="Arial" w:eastAsia="Arial" w:hAnsi="Arial"/>
                <w:sz w:val="14"/>
                <w:szCs w:val="14"/>
                <w:b w:val="1"/>
                <w:bCs w:val="1"/>
                <w:color w:val="auto"/>
              </w:rPr>
              <w:t>USCB FINANCIAL HOLDINGS, INC.</w:t>
            </w:r>
          </w:p>
        </w:tc>
      </w:tr>
      <w:tr>
        <w:trPr>
          <w:trHeight w:val="353"/>
        </w:trPr>
        <w:tc>
          <w:tcPr>
            <w:tcW w:w="2480" w:type="dxa"/>
            <w:vAlign w:val="bottom"/>
          </w:tcPr>
          <w:p>
            <w:pPr>
              <w:spacing w:after="0"/>
              <w:rPr>
                <w:sz w:val="20"/>
                <w:szCs w:val="20"/>
                <w:color w:val="auto"/>
              </w:rPr>
            </w:pPr>
            <w:r>
              <w:rPr>
                <w:rFonts w:ascii="Arial" w:cs="Arial" w:eastAsia="Arial" w:hAnsi="Arial"/>
                <w:sz w:val="14"/>
                <w:szCs w:val="14"/>
                <w:color w:val="auto"/>
              </w:rPr>
              <w:t>Date: March 27, 2023</w:t>
            </w:r>
          </w:p>
        </w:tc>
        <w:tc>
          <w:tcPr>
            <w:tcW w:w="4880" w:type="dxa"/>
            <w:vAlign w:val="bottom"/>
            <w:gridSpan w:val="2"/>
          </w:tcPr>
          <w:p>
            <w:pPr>
              <w:ind w:left="1100"/>
              <w:spacing w:after="0"/>
              <w:rPr>
                <w:sz w:val="20"/>
                <w:szCs w:val="20"/>
                <w:color w:val="auto"/>
              </w:rPr>
            </w:pPr>
            <w:r>
              <w:rPr>
                <w:rFonts w:ascii="Arial" w:cs="Arial" w:eastAsia="Arial" w:hAnsi="Arial"/>
                <w:sz w:val="14"/>
                <w:szCs w:val="14"/>
                <w:color w:val="auto"/>
              </w:rPr>
              <w:t>By:  /s/ Luis de la Aguilera</w:t>
            </w:r>
          </w:p>
        </w:tc>
      </w:tr>
      <w:tr>
        <w:trPr>
          <w:trHeight w:val="161"/>
        </w:trPr>
        <w:tc>
          <w:tcPr>
            <w:tcW w:w="24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500" w:type="dxa"/>
            <w:vAlign w:val="bottom"/>
            <w:tcBorders>
              <w:top w:val="single" w:sz="8" w:color="auto"/>
            </w:tcBorders>
          </w:tcPr>
          <w:p>
            <w:pPr>
              <w:ind w:left="80"/>
              <w:spacing w:after="0"/>
              <w:rPr>
                <w:sz w:val="20"/>
                <w:szCs w:val="20"/>
                <w:color w:val="auto"/>
              </w:rPr>
            </w:pPr>
            <w:r>
              <w:rPr>
                <w:rFonts w:ascii="Arial" w:cs="Arial" w:eastAsia="Arial" w:hAnsi="Arial"/>
                <w:sz w:val="14"/>
                <w:szCs w:val="14"/>
                <w:color w:val="auto"/>
              </w:rPr>
              <w:t>Luis de la Aguilera</w:t>
            </w:r>
          </w:p>
        </w:tc>
      </w:tr>
      <w:tr>
        <w:trPr>
          <w:trHeight w:val="170"/>
        </w:trPr>
        <w:tc>
          <w:tcPr>
            <w:tcW w:w="24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500" w:type="dxa"/>
            <w:vAlign w:val="bottom"/>
          </w:tcPr>
          <w:p>
            <w:pPr>
              <w:ind w:left="80"/>
              <w:spacing w:after="0"/>
              <w:rPr>
                <w:sz w:val="20"/>
                <w:szCs w:val="20"/>
                <w:color w:val="auto"/>
              </w:rPr>
            </w:pPr>
            <w:r>
              <w:rPr>
                <w:rFonts w:ascii="Arial" w:cs="Arial" w:eastAsia="Arial" w:hAnsi="Arial"/>
                <w:sz w:val="14"/>
                <w:szCs w:val="14"/>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tabs>
          <w:tab w:leader="none" w:pos="260" w:val="left"/>
          <w:tab w:leader="none" w:pos="140" w:val="left"/>
        </w:tabs>
        <w:rPr>
          <w:sz w:val="20"/>
          <w:szCs w:val="20"/>
          <w:color w:val="auto"/>
        </w:rPr>
      </w:pPr>
      <w:r>
        <w:rPr>
          <w:rFonts w:ascii="Arial" w:cs="Arial" w:eastAsia="Arial" w:hAnsi="Arial"/>
          <w:sz w:val="14"/>
          <w:szCs w:val="14"/>
          <w:color w:val="auto"/>
        </w:rPr>
        <w:t>52</w:t>
      </w:r>
      <w:r>
        <w:rPr>
          <w:sz w:val="20"/>
          <w:szCs w:val="20"/>
          <w:color w:val="auto"/>
        </w:rPr>
        <w:tab/>
      </w:r>
      <w:r>
        <w:rPr>
          <w:rFonts w:ascii="Arial" w:cs="Arial" w:eastAsia="Arial" w:hAnsi="Arial"/>
          <w:sz w:val="14"/>
          <w:szCs w:val="14"/>
          <w:color w:val="auto"/>
        </w:rPr>
        <w:t>USCB Financial Holdings, Inc.</w:t>
        <w:tab/>
        <w:t>2022 10-K/A</w:t>
      </w:r>
    </w:p>
    <w:p>
      <w:pPr>
        <w:sectPr>
          <w:pgSz w:w="11900" w:h="16838" w:orient="portrait"/>
          <w:cols w:equalWidth="0" w:num="1">
            <w:col w:w="9019"/>
          </w:cols>
          <w:pgMar w:left="1440" w:top="490" w:right="1440" w:bottom="1440" w:gutter="0" w:footer="0" w:header="0"/>
        </w:sectPr>
      </w:pPr>
    </w:p>
    <w:bookmarkStart w:id="52" w:name="page53"/>
    <w:bookmarkEnd w:id="52"/>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62" w:lineRule="exact"/>
        <w:rPr>
          <w:sz w:val="20"/>
          <w:szCs w:val="20"/>
          <w:color w:val="auto"/>
        </w:rPr>
      </w:pPr>
    </w:p>
    <w:p>
      <w:pPr>
        <w:jc w:val="right"/>
        <w:ind w:right="679"/>
        <w:spacing w:after="0"/>
        <w:rPr>
          <w:sz w:val="20"/>
          <w:szCs w:val="20"/>
          <w:color w:val="auto"/>
        </w:rPr>
      </w:pPr>
      <w:r>
        <w:rPr>
          <w:rFonts w:ascii="Arial" w:cs="Arial" w:eastAsia="Arial" w:hAnsi="Arial"/>
          <w:sz w:val="14"/>
          <w:szCs w:val="14"/>
          <w:b w:val="1"/>
          <w:bCs w:val="1"/>
          <w:color w:val="auto"/>
        </w:rPr>
        <w:t>Exhibit 31.1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Certification of Chief Executive Officer</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Pursuant to Section 302 of the Sarbanes-Oxley Act of 2002</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4"/>
          <w:szCs w:val="14"/>
          <w:color w:val="auto"/>
        </w:rPr>
        <w:t>I, Luis de la Aguilera, certify that:</w:t>
      </w:r>
    </w:p>
    <w:p>
      <w:pPr>
        <w:spacing w:after="0" w:line="170" w:lineRule="exact"/>
        <w:rPr>
          <w:sz w:val="20"/>
          <w:szCs w:val="20"/>
          <w:color w:val="auto"/>
        </w:rPr>
      </w:pPr>
    </w:p>
    <w:p>
      <w:pPr>
        <w:ind w:left="640" w:hanging="233"/>
        <w:spacing w:after="0"/>
        <w:tabs>
          <w:tab w:leader="none" w:pos="6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 have reviewed this Annual Report on Form 10-K/A of USCB Financial Holdings, Inc.;</w:t>
      </w:r>
    </w:p>
    <w:p>
      <w:pPr>
        <w:spacing w:after="0" w:line="169" w:lineRule="exact"/>
        <w:rPr>
          <w:rFonts w:ascii="Arial" w:cs="Arial" w:eastAsia="Arial" w:hAnsi="Arial"/>
          <w:sz w:val="14"/>
          <w:szCs w:val="14"/>
          <w:color w:val="auto"/>
        </w:rPr>
      </w:pPr>
    </w:p>
    <w:p>
      <w:pPr>
        <w:jc w:val="both"/>
        <w:ind w:left="660" w:right="679" w:hanging="253"/>
        <w:spacing w:after="0" w:line="245" w:lineRule="auto"/>
        <w:tabs>
          <w:tab w:leader="none" w:pos="641" w:val="left"/>
        </w:tabs>
        <w:numPr>
          <w:ilvl w:val="0"/>
          <w:numId w:val="30"/>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7" w:lineRule="exact"/>
        <w:rPr>
          <w:rFonts w:ascii="Arial" w:cs="Arial" w:eastAsia="Arial" w:hAnsi="Arial"/>
          <w:sz w:val="14"/>
          <w:szCs w:val="14"/>
          <w:color w:val="auto"/>
        </w:rPr>
      </w:pPr>
    </w:p>
    <w:p>
      <w:pPr>
        <w:jc w:val="both"/>
        <w:ind w:left="660" w:right="679" w:hanging="253"/>
        <w:spacing w:after="0" w:line="253" w:lineRule="auto"/>
        <w:tabs>
          <w:tab w:leader="none" w:pos="641" w:val="left"/>
        </w:tabs>
        <w:numPr>
          <w:ilvl w:val="0"/>
          <w:numId w:val="30"/>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rFonts w:ascii="Arial" w:cs="Arial" w:eastAsia="Arial" w:hAnsi="Arial"/>
          <w:sz w:val="14"/>
          <w:szCs w:val="14"/>
          <w:color w:val="auto"/>
        </w:rPr>
      </w:pPr>
    </w:p>
    <w:p>
      <w:pPr>
        <w:ind w:left="660" w:right="679" w:hanging="253"/>
        <w:spacing w:after="0" w:line="268" w:lineRule="auto"/>
        <w:tabs>
          <w:tab w:leader="none" w:pos="639"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have:</w:t>
      </w:r>
    </w:p>
    <w:p>
      <w:pPr>
        <w:spacing w:after="0" w:line="141" w:lineRule="exact"/>
        <w:rPr>
          <w:rFonts w:ascii="Arial" w:cs="Arial" w:eastAsia="Arial" w:hAnsi="Arial"/>
          <w:sz w:val="14"/>
          <w:szCs w:val="14"/>
          <w:color w:val="auto"/>
        </w:rPr>
      </w:pPr>
    </w:p>
    <w:p>
      <w:pPr>
        <w:jc w:val="both"/>
        <w:ind w:left="1180" w:right="679" w:hanging="261"/>
        <w:spacing w:after="0" w:line="243" w:lineRule="auto"/>
        <w:tabs>
          <w:tab w:leader="none" w:pos="1180" w:val="left"/>
        </w:tabs>
        <w:numPr>
          <w:ilvl w:val="1"/>
          <w:numId w:val="30"/>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8" w:lineRule="exact"/>
        <w:rPr>
          <w:rFonts w:ascii="Arial" w:cs="Arial" w:eastAsia="Arial" w:hAnsi="Arial"/>
          <w:sz w:val="14"/>
          <w:szCs w:val="14"/>
          <w:color w:val="auto"/>
        </w:rPr>
      </w:pPr>
    </w:p>
    <w:p>
      <w:pPr>
        <w:jc w:val="both"/>
        <w:ind w:left="1180" w:right="679" w:hanging="261"/>
        <w:spacing w:after="0" w:line="253" w:lineRule="auto"/>
        <w:tabs>
          <w:tab w:leader="none" w:pos="1180" w:val="left"/>
        </w:tabs>
        <w:numPr>
          <w:ilvl w:val="1"/>
          <w:numId w:val="30"/>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4"/>
          <w:szCs w:val="14"/>
          <w:color w:val="auto"/>
        </w:rPr>
      </w:pPr>
    </w:p>
    <w:p>
      <w:pPr>
        <w:jc w:val="both"/>
        <w:ind w:left="1180" w:right="679" w:hanging="261"/>
        <w:spacing w:after="0" w:line="253" w:lineRule="auto"/>
        <w:tabs>
          <w:tab w:leader="none" w:pos="1181" w:val="left"/>
        </w:tabs>
        <w:numPr>
          <w:ilvl w:val="1"/>
          <w:numId w:val="30"/>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2" w:lineRule="exact"/>
        <w:rPr>
          <w:rFonts w:ascii="Arial" w:cs="Arial" w:eastAsia="Arial" w:hAnsi="Arial"/>
          <w:sz w:val="14"/>
          <w:szCs w:val="14"/>
          <w:color w:val="auto"/>
        </w:rPr>
      </w:pPr>
    </w:p>
    <w:p>
      <w:pPr>
        <w:jc w:val="both"/>
        <w:ind w:left="660" w:right="679" w:hanging="253"/>
        <w:spacing w:after="0" w:line="253" w:lineRule="auto"/>
        <w:tabs>
          <w:tab w:leader="none" w:pos="639"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4"/>
          <w:szCs w:val="14"/>
          <w:color w:val="auto"/>
        </w:rPr>
      </w:pPr>
    </w:p>
    <w:p>
      <w:pPr>
        <w:jc w:val="both"/>
        <w:ind w:left="1180" w:right="679" w:hanging="261"/>
        <w:spacing w:after="0" w:line="253" w:lineRule="auto"/>
        <w:tabs>
          <w:tab w:leader="none" w:pos="1168" w:val="left"/>
        </w:tabs>
        <w:numPr>
          <w:ilvl w:val="1"/>
          <w:numId w:val="30"/>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14"/>
          <w:szCs w:val="14"/>
          <w:color w:val="auto"/>
        </w:rPr>
      </w:pPr>
    </w:p>
    <w:p>
      <w:pPr>
        <w:ind w:left="1180" w:right="679" w:hanging="261"/>
        <w:spacing w:after="0" w:line="252" w:lineRule="auto"/>
        <w:tabs>
          <w:tab w:leader="none" w:pos="1180" w:val="left"/>
        </w:tabs>
        <w:numPr>
          <w:ilvl w:val="1"/>
          <w:numId w:val="30"/>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27"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 Luis de la Aguilera</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4"/>
          <w:szCs w:val="14"/>
          <w:color w:val="auto"/>
        </w:rPr>
        <w:t>Luis de la Aguilera</w:t>
      </w:r>
    </w:p>
    <w:p>
      <w:pPr>
        <w:spacing w:after="0" w:line="4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President and Chief Executive Officer</w:t>
      </w:r>
    </w:p>
    <w:p>
      <w:pPr>
        <w:spacing w:after="0" w:line="21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Date: 3/27/2023</w:t>
      </w:r>
    </w:p>
    <w:p>
      <w:pPr>
        <w:sectPr>
          <w:pgSz w:w="11900" w:h="16838" w:orient="portrait"/>
          <w:cols w:equalWidth="0" w:num="1">
            <w:col w:w="9019"/>
          </w:cols>
          <w:pgMar w:left="1440" w:top="490" w:right="1440" w:bottom="1440" w:gutter="0" w:footer="0" w:header="0"/>
        </w:sectPr>
      </w:pPr>
    </w:p>
    <w:bookmarkStart w:id="53" w:name="page54"/>
    <w:bookmarkEnd w:id="53"/>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62" w:lineRule="exact"/>
        <w:rPr>
          <w:sz w:val="20"/>
          <w:szCs w:val="20"/>
          <w:color w:val="auto"/>
        </w:rPr>
      </w:pPr>
    </w:p>
    <w:p>
      <w:pPr>
        <w:jc w:val="right"/>
        <w:ind w:right="679"/>
        <w:spacing w:after="0"/>
        <w:rPr>
          <w:sz w:val="20"/>
          <w:szCs w:val="20"/>
          <w:color w:val="auto"/>
        </w:rPr>
      </w:pPr>
      <w:r>
        <w:rPr>
          <w:rFonts w:ascii="Arial" w:cs="Arial" w:eastAsia="Arial" w:hAnsi="Arial"/>
          <w:sz w:val="14"/>
          <w:szCs w:val="14"/>
          <w:b w:val="1"/>
          <w:bCs w:val="1"/>
          <w:color w:val="auto"/>
        </w:rPr>
        <w:t>Exhibit 31.2</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Certification of Chief Financial Officer</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Pursuant to Section 302 of the Sarbanes-Oxley Act of 2002</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4"/>
          <w:szCs w:val="14"/>
          <w:color w:val="auto"/>
        </w:rPr>
        <w:t>I, Robert Anderson, certify that:</w:t>
      </w:r>
    </w:p>
    <w:p>
      <w:pPr>
        <w:spacing w:after="0" w:line="170" w:lineRule="exact"/>
        <w:rPr>
          <w:sz w:val="20"/>
          <w:szCs w:val="20"/>
          <w:color w:val="auto"/>
        </w:rPr>
      </w:pPr>
    </w:p>
    <w:p>
      <w:pPr>
        <w:ind w:left="640" w:hanging="233"/>
        <w:spacing w:after="0"/>
        <w:tabs>
          <w:tab w:leader="none" w:pos="6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 have reviewed this Annual Report on Form 10-K/A of USCB Financial Holdings, Inc.;</w:t>
      </w:r>
    </w:p>
    <w:p>
      <w:pPr>
        <w:spacing w:after="0" w:line="169" w:lineRule="exact"/>
        <w:rPr>
          <w:rFonts w:ascii="Arial" w:cs="Arial" w:eastAsia="Arial" w:hAnsi="Arial"/>
          <w:sz w:val="14"/>
          <w:szCs w:val="14"/>
          <w:color w:val="auto"/>
        </w:rPr>
      </w:pPr>
    </w:p>
    <w:p>
      <w:pPr>
        <w:jc w:val="both"/>
        <w:ind w:left="660" w:right="679" w:hanging="253"/>
        <w:spacing w:after="0" w:line="245" w:lineRule="auto"/>
        <w:tabs>
          <w:tab w:leader="none" w:pos="641" w:val="left"/>
        </w:tabs>
        <w:numPr>
          <w:ilvl w:val="0"/>
          <w:numId w:val="31"/>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7" w:lineRule="exact"/>
        <w:rPr>
          <w:rFonts w:ascii="Arial" w:cs="Arial" w:eastAsia="Arial" w:hAnsi="Arial"/>
          <w:sz w:val="14"/>
          <w:szCs w:val="14"/>
          <w:color w:val="auto"/>
        </w:rPr>
      </w:pPr>
    </w:p>
    <w:p>
      <w:pPr>
        <w:jc w:val="both"/>
        <w:ind w:left="660" w:right="679" w:hanging="253"/>
        <w:spacing w:after="0" w:line="253" w:lineRule="auto"/>
        <w:tabs>
          <w:tab w:leader="none" w:pos="641" w:val="left"/>
        </w:tabs>
        <w:numPr>
          <w:ilvl w:val="0"/>
          <w:numId w:val="31"/>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rFonts w:ascii="Arial" w:cs="Arial" w:eastAsia="Arial" w:hAnsi="Arial"/>
          <w:sz w:val="14"/>
          <w:szCs w:val="14"/>
          <w:color w:val="auto"/>
        </w:rPr>
      </w:pPr>
    </w:p>
    <w:p>
      <w:pPr>
        <w:ind w:left="660" w:right="679" w:hanging="253"/>
        <w:spacing w:after="0" w:line="268" w:lineRule="auto"/>
        <w:tabs>
          <w:tab w:leader="none" w:pos="639"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have:</w:t>
      </w:r>
    </w:p>
    <w:p>
      <w:pPr>
        <w:spacing w:after="0" w:line="141" w:lineRule="exact"/>
        <w:rPr>
          <w:rFonts w:ascii="Arial" w:cs="Arial" w:eastAsia="Arial" w:hAnsi="Arial"/>
          <w:sz w:val="14"/>
          <w:szCs w:val="14"/>
          <w:color w:val="auto"/>
        </w:rPr>
      </w:pPr>
    </w:p>
    <w:p>
      <w:pPr>
        <w:jc w:val="both"/>
        <w:ind w:left="1180" w:right="679" w:hanging="261"/>
        <w:spacing w:after="0" w:line="243" w:lineRule="auto"/>
        <w:tabs>
          <w:tab w:leader="none" w:pos="1180" w:val="left"/>
        </w:tabs>
        <w:numPr>
          <w:ilvl w:val="1"/>
          <w:numId w:val="31"/>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8" w:lineRule="exact"/>
        <w:rPr>
          <w:rFonts w:ascii="Arial" w:cs="Arial" w:eastAsia="Arial" w:hAnsi="Arial"/>
          <w:sz w:val="14"/>
          <w:szCs w:val="14"/>
          <w:color w:val="auto"/>
        </w:rPr>
      </w:pPr>
    </w:p>
    <w:p>
      <w:pPr>
        <w:jc w:val="both"/>
        <w:ind w:left="1180" w:right="679" w:hanging="261"/>
        <w:spacing w:after="0" w:line="253" w:lineRule="auto"/>
        <w:tabs>
          <w:tab w:leader="none" w:pos="1180" w:val="left"/>
        </w:tabs>
        <w:numPr>
          <w:ilvl w:val="1"/>
          <w:numId w:val="31"/>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4"/>
          <w:szCs w:val="14"/>
          <w:color w:val="auto"/>
        </w:rPr>
      </w:pPr>
    </w:p>
    <w:p>
      <w:pPr>
        <w:jc w:val="both"/>
        <w:ind w:left="1180" w:right="679" w:hanging="261"/>
        <w:spacing w:after="0" w:line="253" w:lineRule="auto"/>
        <w:tabs>
          <w:tab w:leader="none" w:pos="1181" w:val="left"/>
        </w:tabs>
        <w:numPr>
          <w:ilvl w:val="1"/>
          <w:numId w:val="31"/>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2" w:lineRule="exact"/>
        <w:rPr>
          <w:rFonts w:ascii="Arial" w:cs="Arial" w:eastAsia="Arial" w:hAnsi="Arial"/>
          <w:sz w:val="14"/>
          <w:szCs w:val="14"/>
          <w:color w:val="auto"/>
        </w:rPr>
      </w:pPr>
    </w:p>
    <w:p>
      <w:pPr>
        <w:jc w:val="both"/>
        <w:ind w:left="660" w:right="679" w:hanging="253"/>
        <w:spacing w:after="0" w:line="253" w:lineRule="auto"/>
        <w:tabs>
          <w:tab w:leader="none" w:pos="639"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4"/>
          <w:szCs w:val="14"/>
          <w:color w:val="auto"/>
        </w:rPr>
      </w:pPr>
    </w:p>
    <w:p>
      <w:pPr>
        <w:jc w:val="both"/>
        <w:ind w:left="1180" w:right="679" w:hanging="261"/>
        <w:spacing w:after="0" w:line="253" w:lineRule="auto"/>
        <w:tabs>
          <w:tab w:leader="none" w:pos="1168" w:val="left"/>
        </w:tabs>
        <w:numPr>
          <w:ilvl w:val="1"/>
          <w:numId w:val="31"/>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Arial" w:cs="Arial" w:eastAsia="Arial" w:hAnsi="Arial"/>
          <w:sz w:val="14"/>
          <w:szCs w:val="14"/>
          <w:color w:val="auto"/>
        </w:rPr>
      </w:pPr>
    </w:p>
    <w:p>
      <w:pPr>
        <w:ind w:left="1180" w:right="679" w:hanging="261"/>
        <w:spacing w:after="0" w:line="252" w:lineRule="auto"/>
        <w:tabs>
          <w:tab w:leader="none" w:pos="1168" w:val="left"/>
        </w:tabs>
        <w:numPr>
          <w:ilvl w:val="1"/>
          <w:numId w:val="31"/>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27"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 Robert Anderson</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4"/>
          <w:szCs w:val="14"/>
          <w:color w:val="auto"/>
        </w:rPr>
        <w:t>Robert Anderson</w:t>
      </w:r>
    </w:p>
    <w:p>
      <w:pPr>
        <w:spacing w:after="0" w:line="4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Chief Financial Officer</w:t>
      </w:r>
    </w:p>
    <w:p>
      <w:pPr>
        <w:spacing w:after="0" w:line="21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Date: 3/27/2023</w:t>
      </w:r>
    </w:p>
    <w:p>
      <w:pPr>
        <w:sectPr>
          <w:pgSz w:w="11900" w:h="16838" w:orient="portrait"/>
          <w:cols w:equalWidth="0" w:num="1">
            <w:col w:w="9019"/>
          </w:cols>
          <w:pgMar w:left="1440" w:top="490" w:right="1440" w:bottom="1440" w:gutter="0" w:footer="0" w:header="0"/>
        </w:sectPr>
      </w:pPr>
    </w:p>
    <w:bookmarkStart w:id="54" w:name="page55"/>
    <w:bookmarkEnd w:id="54"/>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62" w:lineRule="exact"/>
        <w:rPr>
          <w:sz w:val="20"/>
          <w:szCs w:val="20"/>
          <w:color w:val="auto"/>
        </w:rPr>
      </w:pPr>
    </w:p>
    <w:p>
      <w:pPr>
        <w:ind w:left="7560"/>
        <w:spacing w:after="0"/>
        <w:rPr>
          <w:sz w:val="20"/>
          <w:szCs w:val="20"/>
          <w:color w:val="auto"/>
        </w:rPr>
      </w:pPr>
      <w:r>
        <w:rPr>
          <w:rFonts w:ascii="Arial" w:cs="Arial" w:eastAsia="Arial" w:hAnsi="Arial"/>
          <w:sz w:val="14"/>
          <w:szCs w:val="14"/>
          <w:b w:val="1"/>
          <w:bCs w:val="1"/>
          <w:color w:val="auto"/>
        </w:rPr>
        <w:t>Exhibit 32.1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Certification of Chief Executive Officer Pursuant to 18 U.S.C. Section 1350</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as Adopted Pursuant to Section 906 of the Sarbanes-Oxley Act of 2002</w:t>
      </w:r>
    </w:p>
    <w:p>
      <w:pPr>
        <w:spacing w:after="0" w:line="159" w:lineRule="exact"/>
        <w:rPr>
          <w:sz w:val="20"/>
          <w:szCs w:val="20"/>
          <w:color w:val="auto"/>
        </w:rPr>
      </w:pPr>
    </w:p>
    <w:p>
      <w:pPr>
        <w:jc w:val="both"/>
        <w:ind w:left="660" w:right="679" w:firstLine="256"/>
        <w:spacing w:after="0" w:line="249" w:lineRule="auto"/>
        <w:rPr>
          <w:sz w:val="20"/>
          <w:szCs w:val="20"/>
          <w:color w:val="auto"/>
        </w:rPr>
      </w:pPr>
      <w:r>
        <w:rPr>
          <w:rFonts w:ascii="Arial" w:cs="Arial" w:eastAsia="Arial" w:hAnsi="Arial"/>
          <w:sz w:val="14"/>
          <w:szCs w:val="14"/>
          <w:color w:val="auto"/>
        </w:rPr>
        <w:t>In connection with the Annual Report of USCB Financial Holdings, Inc. (the “Company”) on Form 10-K/A for the year ended December 31, 2022, as filed with the Securities and Exchange Commission on the date hereof (the “Report”), I, Luis de la Aguilera, as President and Chief Executive Officer of the Company, certify, to the best of my knowledge, pursuant to</w:t>
      </w:r>
    </w:p>
    <w:p>
      <w:pPr>
        <w:ind w:left="660"/>
        <w:spacing w:after="0"/>
        <w:rPr>
          <w:sz w:val="20"/>
          <w:szCs w:val="20"/>
          <w:color w:val="auto"/>
        </w:rPr>
      </w:pPr>
      <w:r>
        <w:rPr>
          <w:rFonts w:ascii="Arial" w:cs="Arial" w:eastAsia="Arial" w:hAnsi="Arial"/>
          <w:sz w:val="14"/>
          <w:szCs w:val="14"/>
          <w:color w:val="auto"/>
        </w:rPr>
        <w:t>18 U.S.C. §1350, as adopted pursuant to Section 906 of the Sarbanes-Oxley Act of 2002, that:</w:t>
      </w:r>
    </w:p>
    <w:p>
      <w:pPr>
        <w:spacing w:after="0" w:line="159" w:lineRule="exact"/>
        <w:rPr>
          <w:sz w:val="20"/>
          <w:szCs w:val="20"/>
          <w:color w:val="auto"/>
        </w:rPr>
      </w:pPr>
    </w:p>
    <w:p>
      <w:pPr>
        <w:ind w:left="1440" w:right="679" w:hanging="265"/>
        <w:spacing w:after="0" w:line="252" w:lineRule="auto"/>
        <w:tabs>
          <w:tab w:leader="none" w:pos="1428"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as applicable, of the Securities Exchange Act of 1934; and</w:t>
      </w:r>
    </w:p>
    <w:p>
      <w:pPr>
        <w:spacing w:after="0" w:line="152" w:lineRule="exact"/>
        <w:rPr>
          <w:rFonts w:ascii="Arial" w:cs="Arial" w:eastAsia="Arial" w:hAnsi="Arial"/>
          <w:sz w:val="14"/>
          <w:szCs w:val="14"/>
          <w:color w:val="auto"/>
        </w:rPr>
      </w:pPr>
    </w:p>
    <w:p>
      <w:pPr>
        <w:ind w:left="1440" w:right="679" w:hanging="265"/>
        <w:spacing w:after="0" w:line="268" w:lineRule="auto"/>
        <w:tabs>
          <w:tab w:leader="none" w:pos="1428"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153"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 Luis de la Aguilera</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4"/>
          <w:szCs w:val="14"/>
          <w:color w:val="auto"/>
        </w:rPr>
        <w:t>Luis de la Aguilera</w:t>
      </w:r>
    </w:p>
    <w:p>
      <w:pPr>
        <w:spacing w:after="0" w:line="4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President and Chief Executive Officer</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4"/>
          <w:szCs w:val="14"/>
          <w:color w:val="auto"/>
        </w:rPr>
        <w:t>Date: 3/27/2023</w:t>
      </w:r>
    </w:p>
    <w:p>
      <w:pPr>
        <w:sectPr>
          <w:pgSz w:w="11900" w:h="16838" w:orient="portrait"/>
          <w:cols w:equalWidth="0" w:num="1">
            <w:col w:w="9019"/>
          </w:cols>
          <w:pgMar w:left="1440" w:top="490" w:right="1440" w:bottom="1440" w:gutter="0" w:footer="0" w:header="0"/>
        </w:sectPr>
      </w:pPr>
    </w:p>
    <w:bookmarkStart w:id="55" w:name="page56"/>
    <w:bookmarkEnd w:id="55"/>
    <w:p>
      <w:pPr>
        <w:ind w:left="66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Table of Contents</w:t>
      </w:r>
    </w:p>
    <w:p>
      <w:pPr>
        <w:jc w:val="center"/>
        <w:ind w:right="19"/>
        <w:spacing w:after="0"/>
        <w:rPr>
          <w:sz w:val="20"/>
          <w:szCs w:val="20"/>
          <w:color w:val="auto"/>
        </w:rPr>
      </w:pPr>
      <w:r>
        <w:rPr>
          <w:rFonts w:ascii="Arial" w:cs="Arial" w:eastAsia="Arial" w:hAnsi="Arial"/>
          <w:sz w:val="14"/>
          <w:szCs w:val="14"/>
          <w:b w:val="1"/>
          <w:bCs w:val="1"/>
          <w:color w:val="auto"/>
        </w:rPr>
        <w:t>USCB FINANCIAL HOLDINGS,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Notes to the Consolidated Financial Statements</w:t>
      </w:r>
    </w:p>
    <w:p>
      <w:pPr>
        <w:spacing w:after="0" w:line="162" w:lineRule="exact"/>
        <w:rPr>
          <w:sz w:val="20"/>
          <w:szCs w:val="20"/>
          <w:color w:val="auto"/>
        </w:rPr>
      </w:pPr>
    </w:p>
    <w:p>
      <w:pPr>
        <w:jc w:val="right"/>
        <w:ind w:right="679"/>
        <w:spacing w:after="0"/>
        <w:rPr>
          <w:sz w:val="20"/>
          <w:szCs w:val="20"/>
          <w:color w:val="auto"/>
        </w:rPr>
      </w:pPr>
      <w:r>
        <w:rPr>
          <w:rFonts w:ascii="Arial" w:cs="Arial" w:eastAsia="Arial" w:hAnsi="Arial"/>
          <w:sz w:val="14"/>
          <w:szCs w:val="14"/>
          <w:b w:val="1"/>
          <w:bCs w:val="1"/>
          <w:color w:val="auto"/>
        </w:rPr>
        <w:t>Exhibit 32.2</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Certification of Chief Financial Officer Pursuant to 18 U.S.C. Section 1350</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as Adopted Pursuant to Section 906 of the Sarbanes-Oxley Act of 2002</w:t>
      </w:r>
    </w:p>
    <w:p>
      <w:pPr>
        <w:spacing w:after="0" w:line="159" w:lineRule="exact"/>
        <w:rPr>
          <w:sz w:val="20"/>
          <w:szCs w:val="20"/>
          <w:color w:val="auto"/>
        </w:rPr>
      </w:pPr>
    </w:p>
    <w:p>
      <w:pPr>
        <w:jc w:val="both"/>
        <w:ind w:left="660" w:right="679" w:firstLine="256"/>
        <w:spacing w:after="0" w:line="253" w:lineRule="auto"/>
        <w:rPr>
          <w:sz w:val="20"/>
          <w:szCs w:val="20"/>
          <w:color w:val="auto"/>
        </w:rPr>
      </w:pPr>
      <w:r>
        <w:rPr>
          <w:rFonts w:ascii="Arial" w:cs="Arial" w:eastAsia="Arial" w:hAnsi="Arial"/>
          <w:sz w:val="14"/>
          <w:szCs w:val="14"/>
          <w:color w:val="auto"/>
        </w:rPr>
        <w:t>In connection with the Annual Report of USCB Financial Holdings, Inc. (the “Company”) on Form 10-K/A for the year ended December 31, 2022, as filed with the Securities and Exchange Commission on the date hereof (the “Report”), I, Robert Anderson, as Chief Financial Officer of the Company, certify, to the best of my knowledge, pursuant to 18 U.S.C. §1350, as adopted pursuant to Section 906 of the Sarbanes-Oxley Act of 2002, that:</w:t>
      </w:r>
    </w:p>
    <w:p>
      <w:pPr>
        <w:spacing w:after="0" w:line="143" w:lineRule="exact"/>
        <w:rPr>
          <w:sz w:val="20"/>
          <w:szCs w:val="20"/>
          <w:color w:val="auto"/>
        </w:rPr>
      </w:pPr>
    </w:p>
    <w:p>
      <w:pPr>
        <w:ind w:left="1440" w:right="679" w:hanging="265"/>
        <w:spacing w:after="0" w:line="252" w:lineRule="auto"/>
        <w:tabs>
          <w:tab w:leader="none" w:pos="1428"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as applicable, of the Securities Exchange Act of 1934; and</w:t>
      </w:r>
    </w:p>
    <w:p>
      <w:pPr>
        <w:spacing w:after="0" w:line="152" w:lineRule="exact"/>
        <w:rPr>
          <w:rFonts w:ascii="Arial" w:cs="Arial" w:eastAsia="Arial" w:hAnsi="Arial"/>
          <w:sz w:val="14"/>
          <w:szCs w:val="14"/>
          <w:color w:val="auto"/>
        </w:rPr>
      </w:pPr>
    </w:p>
    <w:p>
      <w:pPr>
        <w:ind w:left="1440" w:right="679" w:hanging="265"/>
        <w:spacing w:after="0" w:line="268" w:lineRule="auto"/>
        <w:tabs>
          <w:tab w:leader="none" w:pos="1428"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153"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 Robert Anderson</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4"/>
          <w:szCs w:val="14"/>
          <w:color w:val="auto"/>
        </w:rPr>
        <w:t>Robert Anderson</w:t>
      </w:r>
    </w:p>
    <w:p>
      <w:pPr>
        <w:spacing w:after="0" w:line="4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Chief Financial Officer</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4"/>
          <w:szCs w:val="14"/>
          <w:color w:val="auto"/>
        </w:rPr>
        <w:t>Date: 3/27/2023</w:t>
      </w:r>
    </w:p>
    <w:p>
      <w:pPr>
        <w:sectPr>
          <w:pgSz w:w="11900" w:h="16838" w:orient="portrait"/>
          <w:cols w:equalWidth="0" w:num="1">
            <w:col w:w="9019"/>
          </w:cols>
          <w:pgMar w:left="1440" w:top="490" w:right="1440" w:bottom="1440" w:gutter="0" w:footer="0" w:header="0"/>
        </w:sectPr>
      </w:pPr>
    </w:p>
    <w:bookmarkStart w:id="56" w:name="page57"/>
    <w:bookmarkEnd w:id="5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1."/>
      <w:numFmt w:val="decimal"/>
      <w:start w:val="2"/>
    </w:lvl>
  </w:abstractNum>
  <w:abstractNum w:abstractNumId="8">
    <w:nsid w:val="628C895D"/>
    <w:multiLevelType w:val="hybridMultilevel"/>
    <w:lvl w:ilvl="0">
      <w:lvlJc w:val="left"/>
      <w:lvlText w:val="%1."/>
      <w:numFmt w:val="decimal"/>
      <w:start w:val="3"/>
    </w:lvl>
  </w:abstractNum>
  <w:abstractNum w:abstractNumId="9">
    <w:nsid w:val="333AB105"/>
    <w:multiLevelType w:val="hybridMultilevel"/>
    <w:lvl w:ilvl="0">
      <w:lvlJc w:val="left"/>
      <w:lvlText w:val="%1."/>
      <w:numFmt w:val="decimal"/>
      <w:start w:val="4"/>
    </w:lvl>
  </w:abstractNum>
  <w:abstractNum w:abstractNumId="10">
    <w:nsid w:val="721DA317"/>
    <w:multiLevelType w:val="hybridMultilevel"/>
    <w:lvl w:ilvl="0">
      <w:lvlJc w:val="left"/>
      <w:lvlText w:val="%1."/>
      <w:numFmt w:val="decimal"/>
      <w:start w:val="5"/>
    </w:lvl>
  </w:abstractNum>
  <w:abstractNum w:abstractNumId="11">
    <w:nsid w:val="2443A858"/>
    <w:multiLevelType w:val="hybridMultilevel"/>
    <w:lvl w:ilvl="0">
      <w:lvlJc w:val="left"/>
      <w:lvlText w:val="%1."/>
      <w:numFmt w:val="decimal"/>
      <w:start w:val="6"/>
    </w:lvl>
  </w:abstractNum>
  <w:abstractNum w:abstractNumId="12">
    <w:nsid w:val="2D1D5AE9"/>
    <w:multiLevelType w:val="hybridMultilevel"/>
    <w:lvl w:ilvl="0">
      <w:lvlJc w:val="left"/>
      <w:lvlText w:val="%1."/>
      <w:numFmt w:val="decimal"/>
      <w:start w:val="7"/>
    </w:lvl>
  </w:abstractNum>
  <w:abstractNum w:abstractNumId="13">
    <w:nsid w:val="6763845E"/>
    <w:multiLevelType w:val="hybridMultilevel"/>
    <w:lvl w:ilvl="0">
      <w:lvlJc w:val="left"/>
      <w:lvlText w:val="%1."/>
      <w:numFmt w:val="decimal"/>
      <w:start w:val="8"/>
    </w:lvl>
  </w:abstractNum>
  <w:abstractNum w:abstractNumId="14">
    <w:nsid w:val="75A2A8D4"/>
    <w:multiLevelType w:val="hybridMultilevel"/>
    <w:lvl w:ilvl="0">
      <w:lvlJc w:val="left"/>
      <w:lvlText w:val="%1."/>
      <w:numFmt w:val="decimal"/>
      <w:start w:val="9"/>
    </w:lvl>
  </w:abstractNum>
  <w:abstractNum w:abstractNumId="15">
    <w:nsid w:val="8EDBDAB"/>
    <w:multiLevelType w:val="hybridMultilevel"/>
    <w:lvl w:ilvl="0">
      <w:lvlJc w:val="left"/>
      <w:lvlText w:val="%1."/>
      <w:numFmt w:val="decimal"/>
      <w:start w:val="10"/>
    </w:lvl>
  </w:abstractNum>
  <w:abstractNum w:abstractNumId="16">
    <w:nsid w:val="79838CB2"/>
    <w:multiLevelType w:val="hybridMultilevel"/>
    <w:lvl w:ilvl="0">
      <w:lvlJc w:val="left"/>
      <w:lvlText w:val="%1."/>
      <w:numFmt w:val="decimal"/>
      <w:start w:val="11"/>
    </w:lvl>
  </w:abstractNum>
  <w:abstractNum w:abstractNumId="17">
    <w:nsid w:val="4353D0CD"/>
    <w:multiLevelType w:val="hybridMultilevel"/>
    <w:lvl w:ilvl="0">
      <w:lvlJc w:val="left"/>
      <w:lvlText w:val="%1."/>
      <w:numFmt w:val="decimal"/>
      <w:start w:val="12"/>
    </w:lvl>
  </w:abstractNum>
  <w:abstractNum w:abstractNumId="18">
    <w:nsid w:val="B03E0C6"/>
    <w:multiLevelType w:val="hybridMultilevel"/>
    <w:lvl w:ilvl="0">
      <w:lvlJc w:val="left"/>
      <w:lvlText w:val="%1."/>
      <w:numFmt w:val="decimal"/>
      <w:start w:val="13"/>
    </w:lvl>
  </w:abstractNum>
  <w:abstractNum w:abstractNumId="19">
    <w:nsid w:val="189A769B"/>
    <w:multiLevelType w:val="hybridMultilevel"/>
    <w:lvl w:ilvl="0">
      <w:lvlJc w:val="left"/>
      <w:lvlText w:val="%1."/>
      <w:numFmt w:val="decimal"/>
      <w:start w:val="14"/>
    </w:lvl>
  </w:abstractNum>
  <w:abstractNum w:abstractNumId="20">
    <w:nsid w:val="54E49EB4"/>
    <w:multiLevelType w:val="hybridMultilevel"/>
    <w:lvl w:ilvl="0">
      <w:lvlJc w:val="left"/>
      <w:lvlText w:val="%1."/>
      <w:numFmt w:val="decimal"/>
      <w:start w:val="15"/>
    </w:lvl>
  </w:abstractNum>
  <w:abstractNum w:abstractNumId="21">
    <w:nsid w:val="71F32454"/>
    <w:multiLevelType w:val="hybridMultilevel"/>
    <w:lvl w:ilvl="0">
      <w:lvlJc w:val="left"/>
      <w:lvlText w:val="%1."/>
      <w:numFmt w:val="decimal"/>
      <w:start w:val="16"/>
    </w:lvl>
  </w:abstractNum>
  <w:abstractNum w:abstractNumId="22">
    <w:nsid w:val="2CA88611"/>
    <w:multiLevelType w:val="hybridMultilevel"/>
    <w:lvl w:ilvl="0">
      <w:lvlJc w:val="left"/>
      <w:lvlText w:val="%1."/>
      <w:numFmt w:val="decimal"/>
      <w:start w:val="17"/>
    </w:lvl>
  </w:abstractNum>
  <w:abstractNum w:abstractNumId="23">
    <w:nsid w:val="836C40E"/>
    <w:multiLevelType w:val="hybridMultilevel"/>
    <w:lvl w:ilvl="0">
      <w:lvlJc w:val="left"/>
      <w:lvlText w:val="%1."/>
      <w:numFmt w:val="decimal"/>
      <w:start w:val="19"/>
    </w:lvl>
  </w:abstractNum>
  <w:abstractNum w:abstractNumId="24">
    <w:nsid w:val="2901D82"/>
    <w:multiLevelType w:val="hybridMultilevel"/>
    <w:lvl w:ilvl="0">
      <w:lvlJc w:val="left"/>
      <w:lvlText w:val="(%1)"/>
      <w:numFmt w:val="lowerLetter"/>
      <w:start w:val="1"/>
    </w:lvl>
    <w:lvl w:ilvl="1">
      <w:lvlJc w:val="left"/>
      <w:lvlText w:val="%2)"/>
      <w:numFmt w:val="decimal"/>
      <w:start w:val="1"/>
    </w:lvl>
  </w:abstractNum>
  <w:abstractNum w:abstractNumId="25">
    <w:nsid w:val="3A95F874"/>
    <w:multiLevelType w:val="hybridMultilevel"/>
    <w:lvl w:ilvl="0">
      <w:lvlJc w:val="left"/>
      <w:lvlText w:val="%1)"/>
      <w:numFmt w:val="decimal"/>
      <w:start w:val="2"/>
    </w:lvl>
  </w:abstractNum>
  <w:abstractNum w:abstractNumId="26">
    <w:nsid w:val="8138641"/>
    <w:multiLevelType w:val="hybridMultilevel"/>
    <w:lvl w:ilvl="0">
      <w:lvlJc w:val="left"/>
      <w:lvlText w:val="%1"/>
      <w:numFmt w:val="decimal"/>
      <w:start w:val="101"/>
    </w:lvl>
  </w:abstractNum>
  <w:abstractNum w:abstractNumId="27">
    <w:nsid w:val="1E7FF521"/>
    <w:multiLevelType w:val="hybridMultilevel"/>
    <w:lvl w:ilvl="0">
      <w:lvlJc w:val="left"/>
      <w:lvlText w:val="%1"/>
      <w:numFmt w:val="decimal"/>
      <w:start w:val="104"/>
    </w:lvl>
    <w:lvl w:ilvl="1">
      <w:lvlJc w:val="left"/>
      <w:lvlText w:val="*"/>
      <w:numFmt w:val="bullet"/>
      <w:start w:val="1"/>
    </w:lvl>
  </w:abstractNum>
  <w:abstractNum w:abstractNumId="28">
    <w:nsid w:val="7C3DBD3D"/>
    <w:multiLevelType w:val="hybridMultilevel"/>
    <w:lvl w:ilvl="0">
      <w:lvlJc w:val="left"/>
      <w:lvlText w:val="%1"/>
      <w:numFmt w:val="decimal"/>
      <w:start w:val="1"/>
    </w:lvl>
    <w:lvl w:ilvl="1">
      <w:lvlJc w:val="left"/>
      <w:lvlText w:val="**"/>
      <w:numFmt w:val="bullet"/>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2023-03-28T05:37:08Z</dcterms:created>
  <dcterms:modified xsi:type="dcterms:W3CDTF">2023-03-28T05:37:08Z</dcterms:modified>
</cp:coreProperties>
</file>