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23495</wp:posOffset>
            </wp:positionV>
            <wp:extent cx="6993255" cy="5053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5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ALONSO MARIA C.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USCB FINANCIAL HOLDINGS, INC.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 w:line="238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USCB FINANCIAL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USCB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620" w:firstLine="2"/>
        <w:spacing w:after="0" w:line="25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8" w:val="left"/>
          <w:tab w:leader="none" w:pos="2078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40" w:space="382"/>
            <w:col w:w="3338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5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6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12.5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13.86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04/07/2032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04/07/2023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-2189480</wp:posOffset>
            </wp:positionV>
            <wp:extent cx="29210" cy="21945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6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fully vest on first anniversary of the date of grant which was on April 7, 2022; the options remain exercisable until the earlier of (i) 10 years from the date of grant or (ii) three months after the Reporting Person ceases service as a director.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Jalal Shehadeh by P.O.A. for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02/03/2023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589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Maria C. Alonso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-20320</wp:posOffset>
            </wp:positionV>
            <wp:extent cx="715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5581650</wp:posOffset>
            </wp:positionH>
            <wp:positionV relativeFrom="paragraph">
              <wp:posOffset>-85725</wp:posOffset>
            </wp:positionV>
            <wp:extent cx="4864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22066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2023-02-03T08:29:15Z</dcterms:created>
  <dcterms:modified xsi:type="dcterms:W3CDTF">2023-02-03T08:29:15Z</dcterms:modified>
</cp:coreProperties>
</file>