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283"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tc>
        <w:tc>
          <w:tcPr>
            <w:tcW w:w="1240" w:type="dxa"/>
            <w:vAlign w:val="bottom"/>
          </w:tcPr>
          <w:p>
            <w:pPr>
              <w:spacing w:after="0"/>
              <w:rPr>
                <w:sz w:val="13"/>
                <w:szCs w:val="13"/>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March 31, 2022</w:t>
            </w:r>
          </w:p>
        </w:tc>
        <w:tc>
          <w:tcPr>
            <w:tcW w:w="3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2"/>
                <w:szCs w:val="12"/>
                <w:color w:val="auto"/>
                <w:w w:val="99"/>
              </w:rPr>
              <w:t>USCB Financial Holdings, Inc.</w:t>
            </w: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12"/>
                <w:szCs w:val="12"/>
                <w:color w:val="auto"/>
              </w:rPr>
            </w:pPr>
          </w:p>
        </w:tc>
        <w:tc>
          <w:tcPr>
            <w:tcW w:w="410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Florida</w:t>
            </w:r>
          </w:p>
        </w:tc>
        <w:tc>
          <w:tcPr>
            <w:tcW w:w="4100" w:type="dxa"/>
            <w:vAlign w:val="bottom"/>
            <w:tcBorders>
              <w:bottom w:val="single" w:sz="8" w:color="auto"/>
            </w:tcBorders>
            <w:gridSpan w:val="2"/>
          </w:tcPr>
          <w:p>
            <w:pPr>
              <w:jc w:val="right"/>
              <w:ind w:right="2180"/>
              <w:spacing w:after="0"/>
              <w:rPr>
                <w:sz w:val="20"/>
                <w:szCs w:val="20"/>
                <w:color w:val="auto"/>
              </w:rPr>
            </w:pPr>
            <w:r>
              <w:rPr>
                <w:rFonts w:ascii="Times New Roman" w:cs="Times New Roman" w:eastAsia="Times New Roman" w:hAnsi="Times New Roman"/>
                <w:sz w:val="12"/>
                <w:szCs w:val="12"/>
                <w:color w:val="auto"/>
              </w:rPr>
              <w:t>001-41196</w:t>
            </w:r>
          </w:p>
        </w:tc>
        <w:tc>
          <w:tcPr>
            <w:tcW w:w="3260" w:type="dxa"/>
            <w:vAlign w:val="bottom"/>
            <w:tcBorders>
              <w:bottom w:val="single" w:sz="8" w:color="auto"/>
            </w:tcBorders>
          </w:tcPr>
          <w:p>
            <w:pPr>
              <w:jc w:val="center"/>
              <w:ind w:right="500"/>
              <w:spacing w:after="0"/>
              <w:rPr>
                <w:sz w:val="20"/>
                <w:szCs w:val="20"/>
                <w:color w:val="auto"/>
              </w:rPr>
            </w:pPr>
            <w:r>
              <w:rPr>
                <w:rFonts w:ascii="Times New Roman" w:cs="Times New Roman" w:eastAsia="Times New Roman" w:hAnsi="Times New Roman"/>
                <w:sz w:val="12"/>
                <w:szCs w:val="12"/>
                <w:color w:val="auto"/>
                <w:w w:val="99"/>
              </w:rPr>
              <w:t>87-4070846</w:t>
            </w:r>
          </w:p>
        </w:tc>
        <w:tc>
          <w:tcPr>
            <w:tcW w:w="20" w:type="dxa"/>
            <w:vAlign w:val="bottom"/>
          </w:tcPr>
          <w:p>
            <w:pPr>
              <w:spacing w:after="0"/>
              <w:rPr>
                <w:sz w:val="24"/>
                <w:szCs w:val="24"/>
                <w:color w:val="auto"/>
              </w:rPr>
            </w:pPr>
          </w:p>
        </w:tc>
      </w:tr>
      <w:tr>
        <w:trPr>
          <w:trHeight w:val="122"/>
        </w:trPr>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(State or other jurisdiction</w:t>
            </w:r>
          </w:p>
        </w:tc>
        <w:tc>
          <w:tcPr>
            <w:tcW w:w="4100" w:type="dxa"/>
            <w:vAlign w:val="bottom"/>
            <w:gridSpan w:val="2"/>
          </w:tcPr>
          <w:p>
            <w:pPr>
              <w:jc w:val="center"/>
              <w:ind w:right="840"/>
              <w:spacing w:after="0" w:line="122"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3260" w:type="dxa"/>
            <w:vAlign w:val="bottom"/>
          </w:tcPr>
          <w:p>
            <w:pPr>
              <w:jc w:val="center"/>
              <w:ind w:right="500"/>
              <w:spacing w:after="0" w:line="122" w:lineRule="exact"/>
              <w:rPr>
                <w:sz w:val="20"/>
                <w:szCs w:val="20"/>
                <w:color w:val="auto"/>
              </w:rPr>
            </w:pPr>
            <w:r>
              <w:rPr>
                <w:rFonts w:ascii="Times New Roman" w:cs="Times New Roman" w:eastAsia="Times New Roman" w:hAnsi="Times New Roman"/>
                <w:sz w:val="12"/>
                <w:szCs w:val="12"/>
                <w:color w:val="auto"/>
              </w:rPr>
              <w:t>(IRS Employer</w:t>
            </w:r>
          </w:p>
        </w:tc>
        <w:tc>
          <w:tcPr>
            <w:tcW w:w="20" w:type="dxa"/>
            <w:vAlign w:val="bottom"/>
          </w:tcPr>
          <w:p>
            <w:pPr>
              <w:spacing w:after="0"/>
              <w:rPr>
                <w:sz w:val="10"/>
                <w:szCs w:val="10"/>
                <w:color w:val="auto"/>
              </w:rPr>
            </w:pPr>
          </w:p>
        </w:tc>
      </w:t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of incorporation)</w:t>
            </w:r>
          </w:p>
        </w:tc>
        <w:tc>
          <w:tcPr>
            <w:tcW w:w="1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8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8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2301 N.W. 87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Avenue, Miami, Florida</w:t>
            </w:r>
          </w:p>
        </w:tc>
        <w:tc>
          <w:tcPr>
            <w:tcW w:w="1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33172</w:t>
            </w: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(Zip Code)</w:t>
            </w:r>
          </w:p>
        </w:tc>
        <w:tc>
          <w:tcPr>
            <w:tcW w:w="20" w:type="dxa"/>
            <w:vAlign w:val="bottom"/>
          </w:tcPr>
          <w:p>
            <w:pPr>
              <w:spacing w:after="0"/>
              <w:rPr>
                <w:sz w:val="12"/>
                <w:szCs w:val="12"/>
                <w:color w:val="auto"/>
              </w:rPr>
            </w:pPr>
          </w:p>
        </w:tc>
      </w:tr>
      <w:tr>
        <w:trPr>
          <w:trHeight w:val="277"/>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2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5"/>
              </w:rPr>
              <w:t>(305) 715-5200</w:t>
            </w:r>
          </w:p>
        </w:tc>
        <w:tc>
          <w:tcPr>
            <w:tcW w:w="2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1860"/>
              <w:spacing w:after="0"/>
              <w:rPr>
                <w:sz w:val="20"/>
                <w:szCs w:val="20"/>
                <w:color w:val="auto"/>
              </w:rPr>
            </w:pPr>
            <w:r>
              <w:rPr>
                <w:rFonts w:ascii="Times New Roman" w:cs="Times New Roman" w:eastAsia="Times New Roman" w:hAnsi="Times New Roman"/>
                <w:sz w:val="12"/>
                <w:szCs w:val="12"/>
                <w:color w:val="auto"/>
              </w:rPr>
              <w:t>Not Applicable</w:t>
            </w:r>
          </w:p>
        </w:tc>
        <w:tc>
          <w:tcPr>
            <w:tcW w:w="3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3940" w:type="dxa"/>
            <w:vAlign w:val="bottom"/>
          </w:tcPr>
          <w:p>
            <w:pPr>
              <w:spacing w:after="0"/>
              <w:rPr>
                <w:sz w:val="12"/>
                <w:szCs w:val="12"/>
                <w:color w:val="auto"/>
              </w:rPr>
            </w:pPr>
          </w:p>
        </w:tc>
        <w:tc>
          <w:tcPr>
            <w:tcW w:w="410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2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8" w:lineRule="exact"/>
        <w:rPr>
          <w:rFonts w:ascii="MS PGothic" w:cs="MS PGothic" w:eastAsia="MS PGothic" w:hAnsi="MS PGothic"/>
          <w:sz w:val="29"/>
          <w:szCs w:val="2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28" w:lineRule="exact"/>
        <w:rPr>
          <w:rFonts w:ascii="MS PGothic" w:cs="MS PGothic" w:eastAsia="MS PGothic" w:hAnsi="MS PGothic"/>
          <w:sz w:val="19"/>
          <w:szCs w:val="1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28" w:lineRule="exact"/>
        <w:rPr>
          <w:rFonts w:ascii="MS PGothic" w:cs="MS PGothic" w:eastAsia="MS PGothic" w:hAnsi="MS PGothic"/>
          <w:sz w:val="19"/>
          <w:szCs w:val="19"/>
          <w:color w:val="auto"/>
          <w:vertAlign w:val="subscript"/>
        </w:rPr>
      </w:pPr>
    </w:p>
    <w:p>
      <w:pPr>
        <w:ind w:left="268" w:hanging="268"/>
        <w:spacing w:after="0" w:line="180" w:lineRule="auto"/>
        <w:tabs>
          <w:tab w:leader="none" w:pos="268" w:val="left"/>
        </w:tabs>
        <w:numPr>
          <w:ilvl w:val="0"/>
          <w:numId w:val="1"/>
        </w:numPr>
        <w:rPr>
          <w:rFonts w:ascii="MS PGothic" w:cs="MS PGothic" w:eastAsia="MS PGothic" w:hAnsi="MS PGothic"/>
          <w:sz w:val="19"/>
          <w:szCs w:val="19"/>
          <w:color w:val="auto"/>
          <w:vertAlign w:val="subscript"/>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16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5" w:lineRule="exact"/>
        <w:rPr>
          <w:sz w:val="24"/>
          <w:szCs w:val="24"/>
          <w:color w:val="auto"/>
        </w:rPr>
      </w:pPr>
    </w:p>
    <w:tbl>
      <w:tblPr>
        <w:tblLayout w:type="fixed"/>
        <w:tblInd w:w="1398" w:type="dxa"/>
        <w:tblCellMar>
          <w:top w:w="0" w:type="dxa"/>
          <w:left w:w="0" w:type="dxa"/>
          <w:bottom w:w="0" w:type="dxa"/>
          <w:right w:w="0" w:type="dxa"/>
        </w:tblCellMar>
      </w:tblPr>
      <w:tr>
        <w:trPr>
          <w:trHeight w:val="148"/>
        </w:trPr>
        <w:tc>
          <w:tcPr>
            <w:tcW w:w="3080" w:type="dxa"/>
            <w:vAlign w:val="bottom"/>
            <w:tcBorders>
              <w:top w:val="single" w:sz="8" w:color="auto"/>
              <w:left w:val="single" w:sz="8" w:color="auto"/>
              <w:right w:val="single" w:sz="8" w:color="auto"/>
            </w:tcBorders>
          </w:tcPr>
          <w:p>
            <w:pPr>
              <w:spacing w:after="0"/>
              <w:rPr>
                <w:sz w:val="12"/>
                <w:szCs w:val="12"/>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Trading</w:t>
            </w:r>
          </w:p>
        </w:tc>
        <w:tc>
          <w:tcPr>
            <w:tcW w:w="2680" w:type="dxa"/>
            <w:vAlign w:val="bottom"/>
            <w:tcBorders>
              <w:top w:val="single" w:sz="8" w:color="auto"/>
              <w:right w:val="single" w:sz="8" w:color="auto"/>
            </w:tcBorders>
          </w:tcPr>
          <w:p>
            <w:pPr>
              <w:spacing w:after="0"/>
              <w:rPr>
                <w:sz w:val="12"/>
                <w:szCs w:val="12"/>
                <w:color w:val="auto"/>
              </w:rPr>
            </w:pPr>
          </w:p>
        </w:tc>
      </w:tr>
      <w:tr>
        <w:trPr>
          <w:trHeight w:val="158"/>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08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Common Stock</w:t>
            </w:r>
          </w:p>
        </w:tc>
        <w:tc>
          <w:tcPr>
            <w:tcW w:w="27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USCB</w:t>
            </w:r>
          </w:p>
        </w:tc>
        <w:tc>
          <w:tcPr>
            <w:tcW w:w="26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8"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ind w:left="7448"/>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76" w:lineRule="exact"/>
        <w:rPr>
          <w:sz w:val="24"/>
          <w:szCs w:val="24"/>
          <w:color w:val="auto"/>
        </w:rPr>
      </w:pPr>
    </w:p>
    <w:p>
      <w:pPr>
        <w:ind w:left="8"/>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41" w:right="299" w:bottom="1440" w:gutter="0" w:footer="0" w:header="0"/>
        </w:sectPr>
      </w:pPr>
    </w:p>
    <w:bookmarkStart w:id="1" w:name="page2"/>
    <w:bookmarkEnd w:id="1"/>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Item</w:t>
        <w:tab/>
        <w:t xml:space="preserve">5.02  </w:t>
      </w:r>
      <w:r>
        <w:rPr>
          <w:rFonts w:ascii="Times New Roman" w:cs="Times New Roman" w:eastAsia="Times New Roman" w:hAnsi="Times New Roman"/>
          <w:sz w:val="12"/>
          <w:szCs w:val="12"/>
          <w:b w:val="1"/>
          <w:bCs w:val="1"/>
          <w:u w:val="single" w:color="auto"/>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left="740" w:hanging="316"/>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6" w:lineRule="exact"/>
        <w:rPr>
          <w:rFonts w:ascii="Times New Roman" w:cs="Times New Roman" w:eastAsia="Times New Roman" w:hAnsi="Times New Roman"/>
          <w:sz w:val="12"/>
          <w:szCs w:val="12"/>
          <w:color w:val="auto"/>
        </w:rPr>
      </w:pPr>
    </w:p>
    <w:p>
      <w:pPr>
        <w:ind w:left="740" w:hanging="316"/>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40" w:hanging="316"/>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jc w:val="both"/>
        <w:ind w:left="740" w:hanging="316"/>
        <w:spacing w:after="0" w:line="250" w:lineRule="auto"/>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March 31, 2022, the Board of Directors (the “Board”) of USCB Financial Holdings, Inc. (the “Company”) appointed Ms. Maria del Carmen Alonso to the Board of the Company effective, March 31, 2022. Ms. Alonso’s initial term will expire at the 2022 annual meeting of shareholders of the Company. Ms. Alonso was also appointed to the Board of Directors (the “Bank Board”) of U.S. Century Bank (the “Bank”), the Company’s wholly owned subsidiary.</w:t>
      </w:r>
    </w:p>
    <w:p>
      <w:pPr>
        <w:ind w:left="7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determination has been made as of the date hereof regarding Ms. Alonso’s appointment to committees of the Board of the Company or of the Bank Board to which she may be appointed.</w:t>
      </w:r>
    </w:p>
    <w:p>
      <w:pPr>
        <w:spacing w:after="0" w:line="6" w:lineRule="exact"/>
        <w:rPr>
          <w:rFonts w:ascii="Times New Roman" w:cs="Times New Roman" w:eastAsia="Times New Roman" w:hAnsi="Times New Roman"/>
          <w:sz w:val="12"/>
          <w:szCs w:val="12"/>
          <w:color w:val="auto"/>
        </w:rPr>
      </w:pPr>
    </w:p>
    <w:p>
      <w:pPr>
        <w:ind w:left="7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arrangements or understandings between a director or executive officer of the Company or the Bank and Ms. Alonso pursuant to which she was elected as a director of the Company and the Bank.</w:t>
      </w:r>
    </w:p>
    <w:p>
      <w:pPr>
        <w:spacing w:after="0" w:line="6" w:lineRule="exact"/>
        <w:rPr>
          <w:rFonts w:ascii="Times New Roman" w:cs="Times New Roman" w:eastAsia="Times New Roman" w:hAnsi="Times New Roman"/>
          <w:sz w:val="12"/>
          <w:szCs w:val="12"/>
          <w:color w:val="auto"/>
        </w:rPr>
      </w:pPr>
    </w:p>
    <w:p>
      <w:pPr>
        <w:ind w:left="740"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directors or executive officers of the Company or the Bank are related to Ms. Alonso by blood, marriage, or adoption. Ms. Alonso has not engaged in any transactions with the Company or any of its subsidiaries that would be required to be reported under Item 404(a) of Regulation S-K promulgated by the Securities and Exchange Commission.</w:t>
      </w:r>
    </w:p>
    <w:p>
      <w:pPr>
        <w:ind w:left="740" w:right="96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her appointment, Ms. Alonso will be granted an option covering 5,000 shares of Class A Voting Common Stock, which grant will vest upon the first anniversary of the date of grant. A copy of the press release announcing the election of Ms. Alonso dated April 6, 2022 is attached hereto as Exhibit 99.1 and is incorporated herein by reference thereto.</w:t>
      </w:r>
    </w:p>
    <w:p>
      <w:pPr>
        <w:ind w:left="740" w:hanging="316"/>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40" w:hanging="316"/>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135" w:lineRule="exact"/>
        <w:rPr>
          <w:sz w:val="20"/>
          <w:szCs w:val="20"/>
          <w:color w:val="auto"/>
        </w:rPr>
      </w:pPr>
    </w:p>
    <w:p>
      <w:pPr>
        <w:spacing w:after="0"/>
        <w:tabs>
          <w:tab w:leader="none" w:pos="380" w:val="left"/>
          <w:tab w:leader="none" w:pos="720" w:val="left"/>
        </w:tabs>
        <w:rPr>
          <w:sz w:val="20"/>
          <w:szCs w:val="20"/>
          <w:color w:val="auto"/>
        </w:rPr>
      </w:pPr>
      <w:r>
        <w:rPr>
          <w:rFonts w:ascii="Times New Roman" w:cs="Times New Roman" w:eastAsia="Times New Roman" w:hAnsi="Times New Roman"/>
          <w:sz w:val="12"/>
          <w:szCs w:val="12"/>
          <w:b w:val="1"/>
          <w:bCs w:val="1"/>
          <w:color w:val="auto"/>
        </w:rPr>
        <w:t>Item</w:t>
        <w:tab/>
        <w:t>9.01</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and Exhibits</w:t>
      </w:r>
    </w:p>
    <w:p>
      <w:pPr>
        <w:spacing w:after="0" w:line="21" w:lineRule="exact"/>
        <w:rPr>
          <w:sz w:val="20"/>
          <w:szCs w:val="20"/>
          <w:color w:val="auto"/>
        </w:rPr>
      </w:pPr>
    </w:p>
    <w:p>
      <w:pPr>
        <w:ind w:left="740" w:hanging="334"/>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40" w:hanging="334"/>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40" w:hanging="334"/>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w:t>
      </w:r>
    </w:p>
    <w:p>
      <w:pPr>
        <w:spacing w:after="0" w:line="6" w:lineRule="exact"/>
        <w:rPr>
          <w:rFonts w:ascii="Times New Roman" w:cs="Times New Roman" w:eastAsia="Times New Roman" w:hAnsi="Times New Roman"/>
          <w:sz w:val="12"/>
          <w:szCs w:val="12"/>
          <w:color w:val="auto"/>
        </w:rPr>
      </w:pPr>
    </w:p>
    <w:p>
      <w:pPr>
        <w:ind w:left="740" w:hanging="334"/>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exhibits are included with this Report:</w:t>
      </w:r>
    </w:p>
    <w:p>
      <w:pPr>
        <w:spacing w:after="0" w:line="129"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4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3320" w:type="dxa"/>
            <w:vAlign w:val="bottom"/>
            <w:gridSpan w:val="2"/>
          </w:tcPr>
          <w:p>
            <w:pPr>
              <w:spacing w:after="0"/>
              <w:rPr>
                <w:sz w:val="12"/>
                <w:szCs w:val="12"/>
                <w:color w:val="auto"/>
              </w:rPr>
            </w:pPr>
          </w:p>
        </w:tc>
      </w:tr>
      <w:tr>
        <w:trPr>
          <w:trHeight w:val="124"/>
        </w:trPr>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480" w:type="dxa"/>
            <w:vAlign w:val="bottom"/>
          </w:tcPr>
          <w:p>
            <w:pPr>
              <w:spacing w:after="0"/>
              <w:rPr>
                <w:sz w:val="10"/>
                <w:szCs w:val="10"/>
                <w:color w:val="auto"/>
              </w:rPr>
            </w:pPr>
          </w:p>
        </w:tc>
        <w:tc>
          <w:tcPr>
            <w:tcW w:w="162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w:anchor="page4">
              <w:r>
                <w:rPr>
                  <w:rFonts w:ascii="Times New Roman" w:cs="Times New Roman" w:eastAsia="Times New Roman" w:hAnsi="Times New Roman"/>
                  <w:sz w:val="12"/>
                  <w:szCs w:val="12"/>
                  <w:color w:val="0000EE"/>
                  <w:w w:val="98"/>
                </w:rPr>
                <w:t>Press Release dated April 6, 2022</w:t>
              </w:r>
            </w:hyperlink>
          </w:p>
        </w:tc>
        <w:tc>
          <w:tcPr>
            <w:tcW w:w="2260" w:type="dxa"/>
            <w:vAlign w:val="bottom"/>
          </w:tcPr>
          <w:p>
            <w:pPr>
              <w:spacing w:after="0"/>
              <w:rPr>
                <w:sz w:val="10"/>
                <w:szCs w:val="10"/>
                <w:color w:val="auto"/>
              </w:rPr>
            </w:pPr>
          </w:p>
        </w:tc>
      </w:tr>
      <w:tr>
        <w:trPr>
          <w:trHeight w:val="151"/>
        </w:trPr>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480" w:type="dxa"/>
            <w:vAlign w:val="bottom"/>
          </w:tcPr>
          <w:p>
            <w:pPr>
              <w:spacing w:after="0"/>
              <w:rPr>
                <w:sz w:val="13"/>
                <w:szCs w:val="13"/>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color w:val="auto"/>
        </w:rPr>
        <w:t>USCB FINANCIAL HOLDINGS, INC.</w:t>
      </w:r>
    </w:p>
    <w:p>
      <w:pPr>
        <w:spacing w:after="0" w:line="294" w:lineRule="exact"/>
        <w:rPr>
          <w:sz w:val="20"/>
          <w:szCs w:val="20"/>
          <w:color w:val="auto"/>
        </w:rPr>
      </w:pPr>
    </w:p>
    <w:tbl>
      <w:tblPr>
        <w:tblLayout w:type="fixed"/>
        <w:tblInd w:w="4080" w:type="dxa"/>
        <w:tblCellMar>
          <w:top w:w="0" w:type="dxa"/>
          <w:left w:w="0" w:type="dxa"/>
          <w:bottom w:w="0" w:type="dxa"/>
          <w:right w:w="0" w:type="dxa"/>
        </w:tblCellMar>
      </w:tblP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/s/Robert Anderson</w:t>
            </w:r>
          </w:p>
        </w:tc>
      </w:tr>
      <w:tr>
        <w:trPr>
          <w:trHeight w:val="122"/>
        </w:trPr>
        <w:tc>
          <w:tcPr>
            <w:tcW w:w="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67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Robert Anderson</w:t>
            </w:r>
          </w:p>
        </w:tc>
      </w:tr>
      <w:tr>
        <w:trPr>
          <w:trHeight w:val="155"/>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670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Date: April 6,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431"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129730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73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APPOINTS MARIA C. ALONSO TO ITS BOARD OF DIRECTORS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Miami, FL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April 6, 2022 </w:t>
      </w:r>
      <w:r>
        <w:rPr>
          <w:rFonts w:ascii="Times New Roman" w:cs="Times New Roman" w:eastAsia="Times New Roman" w:hAnsi="Times New Roman"/>
          <w:sz w:val="12"/>
          <w:szCs w:val="12"/>
          <w:color w:val="auto"/>
        </w:rPr>
        <w:t>– USCB Financial Holdings, Inc. (the “Company”) (NASDAQ: USCB) and its wholly owned subsidiary, U.S. Century Bank (the “Bank”), announced today the appointment of Maria C. Alonso as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independent director of both the Company and the Bank.</w:t>
      </w:r>
    </w:p>
    <w:p>
      <w:pPr>
        <w:spacing w:after="0" w:line="10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Ms. Alonso, a highly respected business executive with a proven track record spanning more than 25 years across banking, marketing, social responsibility, and community engagement, most recently served as the President and CEO of United Way Miami, one of the region’s largest philanthropies, from 2017 through 2021.</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“Maria brings decades of corporate experience, philanthropic leadership, and deep community ties across South Florida, making her an incredible addition to our board,” said Luis de la Aguilera, President and CEO of the Company and the Bank. “She’s a dynamo with tremendous energy and know-how that will help us realize our vision to be the best community bank in Florida.”</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her strategic direction at United Way Miami, Ms. Alonso managed the community’s largest funder of health and human services while overseeing a $40 million dollar budget and more than 250 staff members across multiple locations, as well as a diverse Board of Directors comprised of private and public sector leaders.</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 am honored to join the U.S. Century Bank family at such an exciting time,” said Ms. Alonso. “I look forward to leveraging my experience in support of the Bank’s growth goals and commitment to giving back to the communities it serves.”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Ms. Alonso earned a Master of Business Administration (MBA) degree from Florida International University and is a Cum Laude graduate from the University of Miami with a Bachelor of Science degree in Industrial Engineering.</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Her involvement in community organizations has included: New World School of the Arts (past Executive Committee Chair), Leadership Florida, International Women’s Forum, Greater Miami Chamber of Commerce (past Board Chair), Miami-Dade Beacon Council (past One Community, One Goal Co-Chair), Camillus House, Miami Dade College Foundation, The Miami Foundation, and Teach for America. Ms. Alonso is a recognized community leader having received numerous awards celebrating her civic, business, and philanthropic contributions to the South Florida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322580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About USCB Financial Holdings, Inc.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6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 # #</w:t>
      </w:r>
    </w:p>
    <w:sectPr>
      <w:pgSz w:w="11900" w:h="16838" w:orient="portrait"/>
      <w:cols w:equalWidth="0" w:num="1">
        <w:col w:w="11300"/>
      </w:cols>
      <w:pgMar w:left="300" w:top="4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2022-04-06T15:47:53Z</dcterms:created>
  <dcterms:modified xsi:type="dcterms:W3CDTF">2022-04-06T15:47:53Z</dcterms:modified>
</cp:coreProperties>
</file>