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1860" w:type="dxa"/>
            <w:vAlign w:val="bottom"/>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January 6, 2025</w:t>
            </w:r>
          </w:p>
        </w:tc>
        <w:tc>
          <w:tcPr>
            <w:tcW w:w="3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26"/>
        </w:trPr>
        <w:tc>
          <w:tcPr>
            <w:tcW w:w="36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rPr>
              <w:t>USCB Financial Holdings, Inc.</w:t>
            </w:r>
          </w:p>
        </w:tc>
        <w:tc>
          <w:tcPr>
            <w:tcW w:w="3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600" w:type="dxa"/>
            <w:vAlign w:val="bottom"/>
          </w:tcPr>
          <w:p>
            <w:pPr>
              <w:spacing w:after="0"/>
              <w:rPr>
                <w:sz w:val="19"/>
                <w:szCs w:val="19"/>
                <w:color w:val="auto"/>
              </w:rPr>
            </w:pPr>
          </w:p>
        </w:tc>
        <w:tc>
          <w:tcPr>
            <w:tcW w:w="454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Florida</w:t>
            </w:r>
          </w:p>
        </w:tc>
        <w:tc>
          <w:tcPr>
            <w:tcW w:w="4540" w:type="dxa"/>
            <w:vAlign w:val="bottom"/>
            <w:tcBorders>
              <w:bottom w:val="single" w:sz="8" w:color="auto"/>
            </w:tcBorders>
            <w:gridSpan w:val="2"/>
          </w:tcPr>
          <w:p>
            <w:pPr>
              <w:jc w:val="right"/>
              <w:ind w:right="1870"/>
              <w:spacing w:after="0"/>
              <w:rPr>
                <w:sz w:val="20"/>
                <w:szCs w:val="20"/>
                <w:color w:val="auto"/>
              </w:rPr>
            </w:pPr>
            <w:r>
              <w:rPr>
                <w:rFonts w:ascii="Times New Roman" w:cs="Times New Roman" w:eastAsia="Times New Roman" w:hAnsi="Times New Roman"/>
                <w:sz w:val="18"/>
                <w:szCs w:val="18"/>
                <w:color w:val="auto"/>
              </w:rPr>
              <w:t>001-41196</w:t>
            </w:r>
          </w:p>
        </w:tc>
        <w:tc>
          <w:tcPr>
            <w:tcW w:w="310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rPr>
              <w:t>87-4070846</w:t>
            </w:r>
          </w:p>
        </w:tc>
        <w:tc>
          <w:tcPr>
            <w:tcW w:w="20" w:type="dxa"/>
            <w:vAlign w:val="bottom"/>
          </w:tcPr>
          <w:p>
            <w:pPr>
              <w:spacing w:after="0"/>
              <w:rPr>
                <w:sz w:val="24"/>
                <w:szCs w:val="24"/>
                <w:color w:val="auto"/>
              </w:rPr>
            </w:pPr>
          </w:p>
        </w:tc>
      </w:tr>
      <w:tr>
        <w:trPr>
          <w:trHeight w:val="191"/>
        </w:trPr>
        <w:tc>
          <w:tcPr>
            <w:tcW w:w="3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540" w:type="dxa"/>
            <w:vAlign w:val="bottom"/>
            <w:gridSpan w:val="2"/>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100" w:type="dxa"/>
            <w:vAlign w:val="bottom"/>
          </w:tcPr>
          <w:p>
            <w:pPr>
              <w:jc w:val="center"/>
              <w:ind w:right="370"/>
              <w:spacing w:after="0" w:line="191" w:lineRule="exact"/>
              <w:rPr>
                <w:sz w:val="20"/>
                <w:szCs w:val="20"/>
                <w:color w:val="auto"/>
              </w:rPr>
            </w:pPr>
            <w:r>
              <w:rPr>
                <w:rFonts w:ascii="Times New Roman" w:cs="Times New Roman" w:eastAsia="Times New Roman" w:hAnsi="Times New Roman"/>
                <w:sz w:val="18"/>
                <w:szCs w:val="18"/>
                <w:color w:val="auto"/>
                <w:w w:val="98"/>
              </w:rPr>
              <w:t>(IRS Employer</w:t>
            </w:r>
          </w:p>
        </w:tc>
        <w:tc>
          <w:tcPr>
            <w:tcW w:w="20" w:type="dxa"/>
            <w:vAlign w:val="bottom"/>
          </w:tcPr>
          <w:p>
            <w:pPr>
              <w:spacing w:after="0"/>
              <w:rPr>
                <w:sz w:val="16"/>
                <w:szCs w:val="16"/>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18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1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2301 N.W. 87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Doral, Florida</w:t>
            </w:r>
          </w:p>
        </w:tc>
        <w:tc>
          <w:tcPr>
            <w:tcW w:w="18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33172</w:t>
            </w:r>
          </w:p>
        </w:tc>
      </w:tr>
      <w:tr>
        <w:trPr>
          <w:trHeight w:val="22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8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  (305) 715-5200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17145</wp:posOffset>
            </wp:positionV>
            <wp:extent cx="4705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1390" w:type="dxa"/>
        <w:tblCellMar>
          <w:top w:w="0" w:type="dxa"/>
          <w:left w:w="0" w:type="dxa"/>
          <w:bottom w:w="0" w:type="dxa"/>
          <w:right w:w="0" w:type="dxa"/>
        </w:tblCellMar>
      </w:tblPr>
      <w:tr>
        <w:trPr>
          <w:trHeight w:val="214"/>
        </w:trPr>
        <w:tc>
          <w:tcPr>
            <w:tcW w:w="30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w:t>
            </w:r>
          </w:p>
        </w:tc>
        <w:tc>
          <w:tcPr>
            <w:tcW w:w="0" w:type="dxa"/>
            <w:vAlign w:val="bottom"/>
          </w:tcPr>
          <w:p>
            <w:pPr>
              <w:spacing w:after="0"/>
              <w:rPr>
                <w:sz w:val="1"/>
                <w:szCs w:val="1"/>
                <w:color w:val="auto"/>
              </w:rPr>
            </w:pPr>
          </w:p>
        </w:tc>
      </w:tr>
      <w:tr>
        <w:trPr>
          <w:trHeight w:val="126"/>
        </w:trPr>
        <w:tc>
          <w:tcPr>
            <w:tcW w:w="3080" w:type="dxa"/>
            <w:vAlign w:val="bottom"/>
            <w:tcBorders>
              <w:left w:val="single" w:sz="8" w:color="auto"/>
              <w:right w:val="single" w:sz="8" w:color="auto"/>
            </w:tcBorders>
            <w:vMerge w:val="continue"/>
          </w:tcPr>
          <w:p>
            <w:pPr>
              <w:spacing w:after="0"/>
              <w:rPr>
                <w:sz w:val="10"/>
                <w:szCs w:val="10"/>
                <w:color w:val="auto"/>
              </w:rPr>
            </w:pPr>
          </w:p>
        </w:tc>
        <w:tc>
          <w:tcPr>
            <w:tcW w:w="2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2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c>
          <w:tcPr>
            <w:tcW w:w="0" w:type="dxa"/>
            <w:vAlign w:val="bottom"/>
          </w:tcPr>
          <w:p>
            <w:pPr>
              <w:spacing w:after="0"/>
              <w:rPr>
                <w:sz w:val="1"/>
                <w:szCs w:val="1"/>
                <w:color w:val="auto"/>
              </w:rPr>
            </w:pPr>
          </w:p>
        </w:tc>
      </w:tr>
      <w:tr>
        <w:trPr>
          <w:trHeight w:val="118"/>
        </w:trPr>
        <w:tc>
          <w:tcPr>
            <w:tcW w:w="3080" w:type="dxa"/>
            <w:vAlign w:val="bottom"/>
            <w:tcBorders>
              <w:left w:val="single" w:sz="8" w:color="auto"/>
              <w:bottom w:val="single" w:sz="8" w:color="auto"/>
              <w:right w:val="single" w:sz="8" w:color="auto"/>
            </w:tcBorders>
          </w:tcPr>
          <w:p>
            <w:pPr>
              <w:spacing w:after="0"/>
              <w:rPr>
                <w:sz w:val="10"/>
                <w:szCs w:val="10"/>
                <w:color w:val="auto"/>
              </w:rPr>
            </w:pPr>
          </w:p>
        </w:tc>
        <w:tc>
          <w:tcPr>
            <w:tcW w:w="2740" w:type="dxa"/>
            <w:vAlign w:val="bottom"/>
            <w:tcBorders>
              <w:bottom w:val="single" w:sz="8" w:color="auto"/>
              <w:right w:val="single" w:sz="8" w:color="auto"/>
            </w:tcBorders>
            <w:vMerge w:val="continue"/>
          </w:tcPr>
          <w:p>
            <w:pPr>
              <w:spacing w:after="0"/>
              <w:rPr>
                <w:sz w:val="10"/>
                <w:szCs w:val="10"/>
                <w:color w:val="auto"/>
              </w:rPr>
            </w:pPr>
          </w:p>
        </w:tc>
        <w:tc>
          <w:tcPr>
            <w:tcW w:w="26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USCB</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94"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00"/>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7" w:lineRule="exact"/>
        <w:rPr>
          <w:sz w:val="24"/>
          <w:szCs w:val="24"/>
          <w:color w:val="auto"/>
        </w:rPr>
      </w:pPr>
    </w:p>
    <w:p>
      <w:pPr>
        <w:spacing w:after="0" w:line="207" w:lineRule="exact"/>
        <w:tabs>
          <w:tab w:leader="none" w:pos="8880" w:val="left"/>
        </w:tabs>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5.02</w:t>
            </w:r>
          </w:p>
        </w:tc>
        <w:tc>
          <w:tcPr>
            <w:tcW w:w="9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w:t>
            </w:r>
          </w:p>
        </w:tc>
      </w:tr>
      <w:tr>
        <w:trPr>
          <w:trHeight w:val="196"/>
        </w:trPr>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Arrangements of Certain Officers.</w:t>
            </w:r>
          </w:p>
        </w:tc>
      </w:tr>
      <w:tr>
        <w:trPr>
          <w:trHeight w:val="434"/>
        </w:trPr>
        <w:tc>
          <w:tcPr>
            <w:tcW w:w="5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2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1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580" w:type="dxa"/>
            <w:vAlign w:val="bottom"/>
          </w:tcPr>
          <w:p>
            <w:pPr>
              <w:spacing w:after="0"/>
              <w:rPr>
                <w:sz w:val="18"/>
                <w:szCs w:val="18"/>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580" w:type="dxa"/>
            <w:vAlign w:val="bottom"/>
          </w:tcPr>
          <w:p>
            <w:pPr>
              <w:spacing w:after="0"/>
              <w:rPr>
                <w:sz w:val="18"/>
                <w:szCs w:val="18"/>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580" w:type="dxa"/>
            <w:vAlign w:val="bottom"/>
          </w:tcPr>
          <w:p>
            <w:pPr>
              <w:spacing w:after="0"/>
              <w:rPr>
                <w:sz w:val="18"/>
                <w:szCs w:val="18"/>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as of January 6, 2025, U.S. Century Bank (the “Bank”), the wholly owned subsidiary of USCB Financial Holdings, Inc. (the</w:t>
            </w: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the Company and Robert Anderson, the Executive Vice President and Chief Financial Officer of each of the Company</w:t>
            </w: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Bank, entered into Amendment No. 1 (the “Amendment”) to his employment agreement dated as of January 29, 2023 (the</w:t>
            </w: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 The Amendment to the Agreement was approved by the Compensation Committee of the Board of Directors of the</w:t>
            </w: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the terms of the Amendment, the multiplier used in calculating severance in Section 5(f) was changed from two (2) times to two</w:t>
            </w: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one half (2.5) times.</w:t>
            </w: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 were no other changes effected to the Agreement pursuant to the Amendment.</w:t>
            </w: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foregoing description of the Amendment is qualified in its entirety by reference to the Amendment, a copy of which is attached as</w:t>
            </w: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 hereto and incorporated herein by reference thereto.</w:t>
            </w:r>
          </w:p>
        </w:tc>
      </w:tr>
      <w:tr>
        <w:trPr>
          <w:trHeight w:val="234"/>
        </w:trPr>
        <w:tc>
          <w:tcPr>
            <w:tcW w:w="580" w:type="dxa"/>
            <w:vAlign w:val="bottom"/>
          </w:tcPr>
          <w:p>
            <w:pPr>
              <w:spacing w:after="0"/>
              <w:rPr>
                <w:sz w:val="20"/>
                <w:szCs w:val="20"/>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780" w:val="left"/>
          <w:tab w:leader="none" w:pos="1460" w:val="left"/>
        </w:tabs>
        <w:rPr>
          <w:sz w:val="20"/>
          <w:szCs w:val="20"/>
          <w:color w:val="auto"/>
        </w:rPr>
      </w:pP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8"/>
          <w:szCs w:val="18"/>
          <w:b w:val="1"/>
          <w:bCs w:val="1"/>
          <w:color w:val="auto"/>
        </w:rPr>
        <w:t>9.01</w:t>
      </w:r>
      <w:r>
        <w:rPr>
          <w:sz w:val="20"/>
          <w:szCs w:val="20"/>
          <w:color w:val="auto"/>
        </w:rPr>
        <w:tab/>
      </w:r>
      <w:r>
        <w:rPr>
          <w:rFonts w:ascii="Times New Roman" w:cs="Times New Roman" w:eastAsia="Times New Roman" w:hAnsi="Times New Roman"/>
          <w:sz w:val="18"/>
          <w:szCs w:val="18"/>
          <w:b w:val="1"/>
          <w:bCs w:val="1"/>
          <w:u w:val="single" w:color="auto"/>
          <w:color w:val="auto"/>
        </w:rPr>
        <w:t>Financial Statements and Exhibits</w:t>
      </w:r>
    </w:p>
    <w:p>
      <w:pPr>
        <w:spacing w:after="0" w:line="31" w:lineRule="exact"/>
        <w:rPr>
          <w:sz w:val="20"/>
          <w:szCs w:val="20"/>
          <w:color w:val="auto"/>
        </w:rPr>
      </w:pPr>
    </w:p>
    <w:p>
      <w:pPr>
        <w:ind w:left="1480" w:hanging="676"/>
        <w:spacing w:after="0"/>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1480" w:hanging="676"/>
        <w:spacing w:after="0"/>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1480" w:hanging="676"/>
        <w:spacing w:after="0"/>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1480" w:hanging="676"/>
        <w:spacing w:after="0"/>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included with this Report: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gridSpan w:val="4"/>
          </w:tcPr>
          <w:p>
            <w:pPr>
              <w:ind w:left="1300"/>
              <w:spacing w:after="0"/>
              <w:rPr>
                <w:sz w:val="20"/>
                <w:szCs w:val="20"/>
                <w:color w:val="auto"/>
              </w:rPr>
            </w:pPr>
            <w:r>
              <w:rPr>
                <w:rFonts w:ascii="Times New Roman" w:cs="Times New Roman" w:eastAsia="Times New Roman" w:hAnsi="Times New Roman"/>
                <w:sz w:val="18"/>
                <w:szCs w:val="18"/>
                <w:color w:val="auto"/>
              </w:rPr>
              <w:t>Exhibit No.</w:t>
            </w: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00" w:type="dxa"/>
            <w:vAlign w:val="bottom"/>
            <w:vMerge w:val="restart"/>
          </w:tcPr>
          <w:p>
            <w:pPr>
              <w:spacing w:after="0" w:line="20" w:lineRule="exact"/>
              <w:rPr>
                <w:sz w:val="1"/>
                <w:szCs w:val="1"/>
                <w:color w:val="auto"/>
              </w:rPr>
            </w:pPr>
          </w:p>
        </w:tc>
        <w:tc>
          <w:tcPr>
            <w:tcW w:w="840" w:type="dxa"/>
            <w:vAlign w:val="bottom"/>
            <w:tcBorders>
              <w:top w:val="single" w:sz="8" w:color="auto"/>
              <w:bottom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Borders>
              <w:bottom w:val="single" w:sz="8" w:color="0000EE"/>
            </w:tcBorders>
            <w:vMerge w:val="continue"/>
          </w:tcPr>
          <w:p>
            <w:pPr>
              <w:spacing w:after="0"/>
              <w:rPr>
                <w:sz w:val="14"/>
                <w:szCs w:val="14"/>
                <w:color w:val="auto"/>
              </w:rPr>
            </w:pPr>
          </w:p>
        </w:tc>
        <w:tc>
          <w:tcPr>
            <w:tcW w:w="752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Amendment No. 1 dated January 6, 2025 to the Employment Agreement by and among U.S. Century</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64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Bank, USCB Financial Holdings, Inc. and Robert Anderson dated as of January 29, 2023</w:t>
            </w: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7"/>
        </w:trPr>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jc w:val="right"/>
              <w:ind w:right="3326"/>
              <w:spacing w:after="0"/>
              <w:rPr>
                <w:sz w:val="20"/>
                <w:szCs w:val="20"/>
                <w:color w:val="auto"/>
              </w:rPr>
            </w:pPr>
            <w:r>
              <w:rPr>
                <w:rFonts w:ascii="Times New Roman" w:cs="Times New Roman" w:eastAsia="Times New Roman" w:hAnsi="Times New Roman"/>
                <w:sz w:val="22"/>
                <w:szCs w:val="22"/>
                <w:color w:val="auto"/>
              </w:rPr>
              <w:t>2</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p>
      <w:pPr>
        <w:ind w:left="4060"/>
        <w:spacing w:after="0"/>
        <w:tabs>
          <w:tab w:leader="none" w:pos="4520" w:val="left"/>
        </w:tabs>
        <w:rPr>
          <w:sz w:val="20"/>
          <w:szCs w:val="20"/>
          <w:color w:val="auto"/>
        </w:rPr>
      </w:pPr>
      <w:r>
        <w:rPr>
          <w:rFonts w:ascii="Times New Roman" w:cs="Times New Roman" w:eastAsia="Times New Roman" w:hAnsi="Times New Roman"/>
          <w:sz w:val="18"/>
          <w:szCs w:val="18"/>
          <w:color w:val="auto"/>
        </w:rPr>
        <w:t>By:</w:t>
        <w:tab/>
        <w:t>/s/ Robert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42519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Name:Robert Anderson</w:t>
      </w:r>
    </w:p>
    <w:p>
      <w:pPr>
        <w:spacing w:after="0" w:line="2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6, 2025</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FF0000"/>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USCB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CENTURY BANK,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USCB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ROBERT ANDERSON</w:t>
      </w:r>
    </w:p>
    <w:p>
      <w:pPr>
        <w:spacing w:after="0" w:line="166" w:lineRule="exact"/>
        <w:rPr>
          <w:sz w:val="20"/>
          <w:szCs w:val="20"/>
          <w:color w:val="auto"/>
        </w:rPr>
      </w:pPr>
    </w:p>
    <w:p>
      <w:pPr>
        <w:jc w:val="both"/>
        <w:ind w:firstLine="648"/>
        <w:spacing w:after="0" w:line="231" w:lineRule="exact"/>
        <w:rPr>
          <w:sz w:val="20"/>
          <w:szCs w:val="20"/>
          <w:color w:val="auto"/>
        </w:rPr>
      </w:pPr>
      <w:r>
        <w:rPr>
          <w:rFonts w:ascii="Times New Roman" w:cs="Times New Roman" w:eastAsia="Times New Roman" w:hAnsi="Times New Roman"/>
          <w:sz w:val="18"/>
          <w:szCs w:val="18"/>
          <w:b w:val="1"/>
          <w:bCs w:val="1"/>
          <w:color w:val="auto"/>
        </w:rPr>
        <w:t xml:space="preserve">THIS AMENDMENT NO. 1 </w:t>
      </w:r>
      <w:r>
        <w:rPr>
          <w:rFonts w:ascii="Times New Roman" w:cs="Times New Roman" w:eastAsia="Times New Roman" w:hAnsi="Times New Roman"/>
          <w:sz w:val="18"/>
          <w:szCs w:val="18"/>
          <w:color w:val="auto"/>
        </w:rPr>
        <w:t>(the “Amendment”) to the Employment Agreement by and among U.S. Century Bank, a Florida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chartered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bank (the “Bank”), USCB Financial Holdings, Inc., a Florida corporation (the “Company” and collectively with the Bank, the “Employers”), and Robert Anderson (the “Executive”) as of January 29, 2023 (the “Agreement”), is hereby effective as of January 6, 2025 (“Amendment Effective Date”).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is presently employed as the Executive Vice President and Chief Financial Officer of each of the Company and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consideration, the Employers and the Executive wish to adopt certain mutually agreed upon revisions to the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Employers desire to be ensured of the Executive’s continued active participation in the business of the Employers under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revised terms; and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is willing to serve the Employers on the terms and conditions set forth in the Agreement, as amended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agreements herein contained, the Employers and the Executive do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to amend the Agreement as follows:</w:t>
      </w:r>
    </w:p>
    <w:p>
      <w:pPr>
        <w:spacing w:after="0" w:line="159"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5(f) be and hereby is rescinded and deleted and is replaced in its entirety by the following:</w:t>
      </w:r>
    </w:p>
    <w:p>
      <w:pPr>
        <w:spacing w:after="0" w:line="225" w:lineRule="exact"/>
        <w:rPr>
          <w:rFonts w:ascii="Times New Roman" w:cs="Times New Roman" w:eastAsia="Times New Roman" w:hAnsi="Times New Roman"/>
          <w:sz w:val="18"/>
          <w:szCs w:val="18"/>
          <w:color w:val="auto"/>
        </w:rPr>
      </w:pPr>
    </w:p>
    <w:p>
      <w:pPr>
        <w:jc w:val="both"/>
        <w:ind w:firstLine="656"/>
        <w:spacing w:after="0" w:line="244" w:lineRule="auto"/>
        <w:tabs>
          <w:tab w:leader="none" w:pos="141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concurrently with or within twelve (12) months subsequent to a Change in Control the Executive’s employment is terminated by (i) the Employers for other than Cause, Disability or the Executive’s death during the term of this Agreement or (ii) the Executive for Good Reason during the term of this Agreement, then the Employers shall, in consideration of the Executive’s agreements in Section 7 below and subject to the provisions of Sections 5(g), 5(h), 5(j), 5(k), 6, 18 and 19 hereof, if applicable, pay to the Executive a cash severance amount (the “Enhanced Severance Payment”) equal to two and one half (2.5) times the Executive’s “Highest Total Annual Cash Compensation” (as such term is defined herein). For purposes hereof, “Highest Total Annual Cash Compensation” shall mean the highest aggregate amount of Base Salary received and cash bonus earned by the Executive in a given calendar year from the Employers (including any deferred amounts) during the most recent three calendar years immediately preceding the year in which the Date of Termination occurs. The Enhanced Severance Payment shall be paid in two installments. The first payment consisting of 50% of the Enhanced Severance Payment will be paid in a lump sum thirty (30) days following the later of the Date of Termination or the expiration of the revocation period provided for in the general release to be executed by the Executive pursuant to Section 5(g) below, with the remaining 50% of the Enhanced Severance Payment to be paid in a lump sum within ten (10) days after the expiration of the Restricted Period as set forth in Section 7 hereof. In addition, the Executive shall receive continued medical and dental benefits as provided by the Employers from time to time for its employees, with the Employers paying 100% of the premiums for such coverage, for the period of time equal to the shorter of eighteen (18) months or the maximum period of COBRA continuation coverage provided under Section 4980B(f) of the Code (with such coverage to be treated as COBRA coverage). If the Employers’ payment of COBRA premiums on behalf of the Executive is taxable to the Executive, then the Employers will pay to the Executive an additional amount such that after payment by the Executive of all applicable local, state and federal income and payroll taxes imposed on him with respect to such additional amount, the Executive retains an amount equal to all applicable local, state and federal income and payroll taxes imposed upon him with respect to the payment of such COBRA premiums. Such payment shall be made on or before March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following the close of the calendar year in which the COBRA premiums were paid. Except as provided herein, the Enhanced Severance Payment shall be in lieu of, and not in addition to, any Base Salary or other compensation or benefits that would have been paid under Sections 3(a), 3(b), 3(c) and 3(d) above in the absence of a termination of employment, and the Executive shall have no rights pursuant to this Agreement to any Base Salary or other benefits for any period after the applicable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tabs>
          <w:tab w:leader="none" w:pos="30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All other sections and provisions in the Agreement shall continue in full force and effect and are not affected by this Amendment.</w:t>
      </w:r>
    </w:p>
    <w:p>
      <w:pPr>
        <w:sectPr>
          <w:pgSz w:w="11900" w:h="16838" w:orient="portrait"/>
          <w:cols w:equalWidth="0" w:num="1">
            <w:col w:w="10139"/>
          </w:cols>
          <w:pgMar w:left="320" w:top="823" w:right="1440" w:bottom="1440" w:gutter="0" w:footer="0" w:header="0"/>
        </w:sectPr>
      </w:pP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[Signature page follows]</w:t>
      </w: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23" w:right="1440" w:bottom="1440" w:gutter="0" w:footer="0" w:header="0"/>
          <w:type w:val="continuous"/>
        </w:sectPr>
      </w:pPr>
    </w:p>
    <w:bookmarkStart w:id="5" w:name="page6"/>
    <w:bookmarkEnd w:id="5"/>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Amendment No. 1 to the Agreement as of the date first written above.</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56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USCB FINANCIAL HOLDINGS, INC.</w:t>
            </w:r>
          </w:p>
        </w:tc>
      </w:tr>
      <w:tr>
        <w:trPr>
          <w:trHeight w:val="60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Maricarmen Logroño</w:t>
            </w:r>
          </w:p>
        </w:tc>
        <w:tc>
          <w:tcPr>
            <w:tcW w:w="1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By:</w:t>
            </w:r>
          </w:p>
        </w:tc>
        <w:tc>
          <w:tcPr>
            <w:tcW w:w="2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 W. Kirk Wycoff</w:t>
            </w: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18"/>
                <w:szCs w:val="18"/>
                <w:color w:val="auto"/>
              </w:rPr>
            </w:pPr>
          </w:p>
        </w:tc>
        <w:tc>
          <w:tcPr>
            <w:tcW w:w="25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Maricarmen Logroño</w:t>
            </w:r>
          </w:p>
        </w:tc>
        <w:tc>
          <w:tcPr>
            <w:tcW w:w="1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8"/>
                <w:szCs w:val="18"/>
                <w:color w:val="auto"/>
              </w:rPr>
            </w:pPr>
          </w:p>
        </w:tc>
        <w:tc>
          <w:tcPr>
            <w:tcW w:w="26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 Kirk Wycoff</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0"/>
                <w:szCs w:val="20"/>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Secretary</w:t>
            </w:r>
          </w:p>
        </w:tc>
        <w:tc>
          <w:tcPr>
            <w:tcW w:w="1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Title:</w:t>
            </w:r>
          </w:p>
        </w:tc>
        <w:tc>
          <w:tcPr>
            <w:tcW w:w="80" w:type="dxa"/>
            <w:vAlign w:val="bottom"/>
          </w:tcPr>
          <w:p>
            <w:pPr>
              <w:spacing w:after="0"/>
              <w:rPr>
                <w:sz w:val="20"/>
                <w:szCs w:val="20"/>
                <w:color w:val="auto"/>
              </w:rPr>
            </w:pPr>
          </w:p>
        </w:tc>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Chairman of the Compensation</w:t>
            </w:r>
          </w:p>
        </w:tc>
      </w:tr>
    </w:tbl>
    <w:p>
      <w:pPr>
        <w:ind w:left="5540"/>
        <w:spacing w:after="0"/>
        <w:rPr>
          <w:sz w:val="20"/>
          <w:szCs w:val="20"/>
          <w:color w:val="auto"/>
        </w:rPr>
      </w:pPr>
      <w:r>
        <w:rPr>
          <w:rFonts w:ascii="Times New Roman" w:cs="Times New Roman" w:eastAsia="Times New Roman" w:hAnsi="Times New Roman"/>
          <w:sz w:val="18"/>
          <w:szCs w:val="18"/>
          <w:color w:val="auto"/>
        </w:rPr>
        <w:t>Committee of the Board of Directors</w:t>
      </w:r>
    </w:p>
    <w:p>
      <w:pPr>
        <w:spacing w:after="0" w:line="200" w:lineRule="exact"/>
        <w:rPr>
          <w:sz w:val="20"/>
          <w:szCs w:val="20"/>
          <w:color w:val="auto"/>
        </w:rPr>
      </w:pPr>
    </w:p>
    <w:p>
      <w:pPr>
        <w:spacing w:after="0" w:line="2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U.S. CENTURY BANK</w:t>
      </w:r>
    </w:p>
    <w:p>
      <w:pPr>
        <w:spacing w:after="0" w:line="200" w:lineRule="exact"/>
        <w:rPr>
          <w:sz w:val="20"/>
          <w:szCs w:val="20"/>
          <w:color w:val="auto"/>
        </w:rPr>
      </w:pPr>
    </w:p>
    <w:p>
      <w:pPr>
        <w:spacing w:after="0" w:line="232" w:lineRule="exact"/>
        <w:rPr>
          <w:sz w:val="20"/>
          <w:szCs w:val="20"/>
          <w:color w:val="auto"/>
        </w:rPr>
      </w:pPr>
    </w:p>
    <w:tbl>
      <w:tblPr>
        <w:tblLayout w:type="fixed"/>
        <w:tblInd w:w="454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17"/>
                <w:szCs w:val="17"/>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 Kirk Wycoff</w:t>
            </w:r>
          </w:p>
        </w:tc>
        <w:tc>
          <w:tcPr>
            <w:tcW w:w="380" w:type="dxa"/>
            <w:vAlign w:val="bottom"/>
            <w:gridSpan w:val="2"/>
          </w:tcPr>
          <w:p>
            <w:pPr>
              <w:spacing w:after="0"/>
              <w:rPr>
                <w:sz w:val="17"/>
                <w:szCs w:val="17"/>
                <w:color w:val="auto"/>
              </w:rPr>
            </w:pPr>
          </w:p>
        </w:tc>
      </w:t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18"/>
                <w:szCs w:val="18"/>
                <w:color w:val="auto"/>
              </w:rPr>
            </w:pPr>
          </w:p>
        </w:tc>
        <w:tc>
          <w:tcPr>
            <w:tcW w:w="2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 Kirk Wycoff</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18"/>
                <w:szCs w:val="18"/>
                <w:color w:val="auto"/>
              </w:rPr>
            </w:pPr>
          </w:p>
        </w:tc>
        <w:tc>
          <w:tcPr>
            <w:tcW w:w="2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Chairman of the Compensation</w:t>
            </w:r>
          </w:p>
        </w:tc>
      </w:tr>
      <w:tr>
        <w:trPr>
          <w:trHeight w:val="234"/>
        </w:trPr>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8"/>
              </w:rPr>
              <w:t>Committee of the Board of Directors</w:t>
            </w:r>
          </w:p>
        </w:tc>
      </w:tr>
      <w:tr>
        <w:trPr>
          <w:trHeight w:val="432"/>
        </w:trPr>
        <w:tc>
          <w:tcPr>
            <w:tcW w:w="36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r>
      <w:tr>
        <w:trPr>
          <w:trHeight w:val="60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2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/s/Robert Anderson</w:t>
            </w:r>
          </w:p>
        </w:tc>
        <w:tc>
          <w:tcPr>
            <w:tcW w:w="360" w:type="dxa"/>
            <w:vAlign w:val="bottom"/>
          </w:tcPr>
          <w:p>
            <w:pPr>
              <w:spacing w:after="0"/>
              <w:rPr>
                <w:sz w:val="24"/>
                <w:szCs w:val="24"/>
                <w:color w:val="auto"/>
              </w:rPr>
            </w:pPr>
          </w:p>
        </w:tc>
      </w:tr>
      <w:tr>
        <w:trPr>
          <w:trHeight w:val="237"/>
        </w:trPr>
        <w:tc>
          <w:tcPr>
            <w:tcW w:w="560" w:type="dxa"/>
            <w:vAlign w:val="bottom"/>
          </w:tcPr>
          <w:p>
            <w:pPr>
              <w:spacing w:after="0"/>
              <w:rPr>
                <w:sz w:val="20"/>
                <w:szCs w:val="20"/>
                <w:color w:val="auto"/>
              </w:rPr>
            </w:pPr>
          </w:p>
        </w:tc>
        <w:tc>
          <w:tcPr>
            <w:tcW w:w="30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Robert Anderson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139"/>
      </w:cols>
      <w:pgMar w:left="320" w:top="7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1"/>
    </w:lvl>
    <w:lvl w:ilvl="1">
      <w:lvlJc w:val="left"/>
      <w:lvlText w:val="(%2)"/>
      <w:numFmt w:val="lowerLetter"/>
      <w:start w:val="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2025-01-06T15:37:37Z</dcterms:created>
  <dcterms:modified xsi:type="dcterms:W3CDTF">2025-01-06T15:37:37Z</dcterms:modified>
</cp:coreProperties>
</file>