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8"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30, 2022</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92" w:lineRule="exact"/>
        <w:rPr>
          <w:sz w:val="24"/>
          <w:szCs w:val="24"/>
          <w:color w:val="auto"/>
        </w:rPr>
      </w:pPr>
    </w:p>
    <w:p>
      <w:pPr>
        <w:ind w:left="1600" w:hanging="542"/>
        <w:spacing w:after="0"/>
        <w:tabs>
          <w:tab w:leader="none" w:pos="16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49"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3" w:right="1440" w:bottom="1440" w:gutter="0" w:footer="0" w:header="0"/>
        </w:sectPr>
      </w:pPr>
    </w:p>
    <w:p>
      <w:pPr>
        <w:spacing w:after="0" w:line="240"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58" w:lineRule="exact"/>
        <w:rPr>
          <w:sz w:val="24"/>
          <w:szCs w:val="24"/>
          <w:color w:val="auto"/>
        </w:rPr>
      </w:pPr>
    </w:p>
    <w:p>
      <w:pPr>
        <w:sectPr>
          <w:pgSz w:w="11900" w:h="16838" w:orient="portrait"/>
          <w:cols w:equalWidth="0" w:num="2">
            <w:col w:w="6020" w:space="720"/>
            <w:col w:w="2279"/>
          </w:cols>
          <w:pgMar w:left="1440" w:top="793"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3"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102" w:lineRule="exact"/>
        <w:rPr>
          <w:sz w:val="24"/>
          <w:szCs w:val="24"/>
          <w:color w:val="auto"/>
        </w:rPr>
      </w:pPr>
    </w:p>
    <w:p>
      <w:pPr>
        <w:sectPr>
          <w:pgSz w:w="11900" w:h="16838" w:orient="portrait"/>
          <w:cols w:equalWidth="0" w:num="2">
            <w:col w:w="5860" w:space="720"/>
            <w:col w:w="2439"/>
          </w:cols>
          <w:pgMar w:left="1440" w:top="793"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2301 N.W. 87th Avenue , Miami, FL 33172</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(zip code)</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(305) 715-5200</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44" w:lineRule="exact"/>
        <w:rPr>
          <w:sz w:val="24"/>
          <w:szCs w:val="24"/>
          <w:color w:val="auto"/>
        </w:rPr>
      </w:pPr>
    </w:p>
    <w:tbl>
      <w:tblPr>
        <w:tblLayout w:type="fixed"/>
        <w:tblInd w:w="680" w:type="dxa"/>
        <w:tblCellMar>
          <w:top w:w="0" w:type="dxa"/>
          <w:left w:w="0" w:type="dxa"/>
          <w:bottom w:w="0" w:type="dxa"/>
          <w:right w:w="0" w:type="dxa"/>
        </w:tblCellMar>
      </w:tblPr>
      <w:tr>
        <w:trPr>
          <w:trHeight w:val="153"/>
        </w:trPr>
        <w:tc>
          <w:tcPr>
            <w:tcW w:w="8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3"/>
                <w:szCs w:val="13"/>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89"/>
        </w:trPr>
        <w:tc>
          <w:tcPr>
            <w:tcW w:w="3060" w:type="dxa"/>
            <w:vAlign w:val="bottom"/>
            <w:gridSpan w:val="3"/>
          </w:tcPr>
          <w:p>
            <w:pPr>
              <w:jc w:val="center"/>
              <w:ind w:right="22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73" w:lineRule="exact"/>
        <w:rPr>
          <w:sz w:val="24"/>
          <w:szCs w:val="24"/>
          <w:color w:val="auto"/>
        </w:rPr>
      </w:pPr>
    </w:p>
    <w:p>
      <w:pPr>
        <w:jc w:val="both"/>
        <w:ind w:left="660" w:right="659"/>
        <w:spacing w:after="0" w:line="154" w:lineRule="exact"/>
        <w:rPr>
          <w:sz w:val="20"/>
          <w:szCs w:val="20"/>
          <w:color w:val="auto"/>
        </w:rPr>
      </w:pPr>
      <w:r>
        <w:rPr>
          <w:rFonts w:ascii="Arial" w:cs="Arial" w:eastAsia="Arial" w:hAnsi="Arial"/>
          <w:sz w:val="13"/>
          <w:szCs w:val="13"/>
          <w:color w:val="auto"/>
        </w:rPr>
        <w:t xml:space="preserve">Indicate by check mark whether the registrant (1) has filed all reportsrequired to be filed by Section13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7" w:lineRule="exact"/>
        <w:rPr>
          <w:sz w:val="24"/>
          <w:szCs w:val="24"/>
          <w:color w:val="auto"/>
        </w:rPr>
      </w:pPr>
    </w:p>
    <w:p>
      <w:pPr>
        <w:jc w:val="both"/>
        <w:ind w:left="660" w:right="679"/>
        <w:spacing w:after="0" w:line="257"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ind w:left="660"/>
        <w:spacing w:after="0" w:line="150" w:lineRule="exact"/>
        <w:rPr>
          <w:sz w:val="20"/>
          <w:szCs w:val="20"/>
          <w:color w:val="auto"/>
        </w:rPr>
      </w:pPr>
      <w:r>
        <w:rPr>
          <w:rFonts w:ascii="Arial" w:cs="Arial" w:eastAsia="Arial" w:hAnsi="Arial"/>
          <w:sz w:val="13"/>
          <w:szCs w:val="13"/>
          <w:color w:val="auto"/>
        </w:rPr>
        <w:t xml:space="preserve">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4" w:lineRule="exact"/>
        <w:rPr>
          <w:sz w:val="24"/>
          <w:szCs w:val="24"/>
          <w:color w:val="auto"/>
        </w:rPr>
      </w:pPr>
    </w:p>
    <w:p>
      <w:pPr>
        <w:jc w:val="both"/>
        <w:ind w:left="660" w:right="659"/>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24" w:lineRule="exact"/>
        <w:rPr>
          <w:sz w:val="24"/>
          <w:szCs w:val="24"/>
          <w:color w:val="auto"/>
        </w:rPr>
      </w:pPr>
    </w:p>
    <w:p>
      <w:pPr>
        <w:ind w:left="660"/>
        <w:spacing w:after="0" w:line="150" w:lineRule="exact"/>
        <w:tabs>
          <w:tab w:leader="none" w:pos="22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36" w:lineRule="exact"/>
        <w:rPr>
          <w:sz w:val="24"/>
          <w:szCs w:val="24"/>
          <w:color w:val="auto"/>
        </w:rPr>
      </w:pPr>
    </w:p>
    <w:p>
      <w:pPr>
        <w:jc w:val="both"/>
        <w:ind w:left="660" w:right="659"/>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3"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ind w:left="660"/>
        <w:spacing w:after="0"/>
        <w:rPr>
          <w:sz w:val="20"/>
          <w:szCs w:val="20"/>
          <w:color w:val="auto"/>
        </w:rPr>
      </w:pPr>
      <w:r>
        <w:rPr>
          <w:rFonts w:ascii="Arial" w:cs="Arial" w:eastAsia="Arial" w:hAnsi="Arial"/>
          <w:sz w:val="13"/>
          <w:szCs w:val="13"/>
          <w:color w:val="auto"/>
        </w:rPr>
        <w:t>As of August 1, 2022, the registrant had 20,000,753 shares of Class A common stock outstanding.</w:t>
      </w:r>
    </w:p>
    <w:p>
      <w:pPr>
        <w:sectPr>
          <w:pgSz w:w="11900" w:h="16838" w:orient="portrait"/>
          <w:cols w:equalWidth="0" w:num="1">
            <w:col w:w="9019"/>
          </w:cols>
          <w:pgMar w:left="1440" w:top="793" w:right="1440" w:bottom="1440" w:gutter="0" w:footer="0" w:header="0"/>
          <w:type w:val="continuous"/>
        </w:sectPr>
      </w:pPr>
    </w:p>
    <w:bookmarkStart w:id="1" w:name="page2"/>
    <w:bookmarkEnd w:id="1"/>
    <w:p>
      <w:pPr>
        <w:jc w:val="center"/>
        <w:ind w:right="-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FORM 10-Q</w:t>
      </w:r>
    </w:p>
    <w:p>
      <w:pPr>
        <w:spacing w:after="0" w:line="1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June 30, 2022</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b w:val="1"/>
                <w:bCs w:val="1"/>
                <w:color w:val="0000FF"/>
                <w:w w:val="84"/>
              </w:rPr>
              <w:t>PART I</w:t>
            </w:r>
          </w:p>
        </w:tc>
        <w:tc>
          <w:tcPr>
            <w:tcW w:w="1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0000FF"/>
              </w:rPr>
              <w:t>3</w:t>
            </w: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89"/>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7"/>
          </w:tcPr>
          <w:p>
            <w:pPr>
              <w:spacing w:after="0"/>
              <w:rPr>
                <w:sz w:val="20"/>
                <w:szCs w:val="20"/>
                <w:color w:val="auto"/>
              </w:rPr>
            </w:pPr>
            <w:r>
              <w:rPr>
                <w:rFonts w:ascii="Arial" w:cs="Arial" w:eastAsia="Arial" w:hAnsi="Arial"/>
                <w:sz w:val="13"/>
                <w:szCs w:val="13"/>
                <w:color w:val="0000FF"/>
                <w:w w:val="95"/>
              </w:rPr>
              <w:t>Financial Statements</w:t>
            </w:r>
          </w:p>
        </w:tc>
        <w:tc>
          <w:tcPr>
            <w:tcW w:w="5360" w:type="dxa"/>
            <w:vAlign w:val="bottom"/>
            <w:gridSpan w:val="39"/>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0000FF"/>
              </w:rPr>
              <w:t>3</w:t>
            </w: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40" w:type="dxa"/>
            <w:vAlign w:val="bottom"/>
            <w:gridSpan w:val="45"/>
          </w:tcPr>
          <w:p>
            <w:pPr>
              <w:spacing w:after="0" w:line="119" w:lineRule="exact"/>
              <w:rPr>
                <w:sz w:val="20"/>
                <w:szCs w:val="20"/>
                <w:color w:val="auto"/>
              </w:rPr>
            </w:pPr>
            <w:r>
              <w:rPr>
                <w:rFonts w:ascii="Arial" w:cs="Arial" w:eastAsia="Arial" w:hAnsi="Arial"/>
                <w:sz w:val="13"/>
                <w:szCs w:val="13"/>
                <w:color w:val="0000FF"/>
              </w:rPr>
              <w:t>Consolidated Balance Sheets as of June 30, 2022 and December 31, 2021 (Unaudited)</w:t>
            </w:r>
          </w:p>
        </w:tc>
        <w:tc>
          <w:tcPr>
            <w:tcW w:w="480" w:type="dxa"/>
            <w:vAlign w:val="bottom"/>
            <w:gridSpan w:val="2"/>
          </w:tcPr>
          <w:p>
            <w:pPr>
              <w:jc w:val="right"/>
              <w:spacing w:after="0" w:line="119" w:lineRule="exact"/>
              <w:rPr>
                <w:sz w:val="20"/>
                <w:szCs w:val="20"/>
                <w:color w:val="auto"/>
              </w:rPr>
            </w:pPr>
            <w:r>
              <w:rPr>
                <w:rFonts w:ascii="Arial" w:cs="Arial" w:eastAsia="Arial" w:hAnsi="Arial"/>
                <w:sz w:val="13"/>
                <w:szCs w:val="13"/>
                <w:color w:val="0000FF"/>
              </w:rPr>
              <w:t>3</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40" w:type="dxa"/>
            <w:vAlign w:val="bottom"/>
            <w:gridSpan w:val="45"/>
          </w:tcPr>
          <w:p>
            <w:pPr>
              <w:spacing w:after="0" w:line="129" w:lineRule="exact"/>
              <w:rPr>
                <w:sz w:val="20"/>
                <w:szCs w:val="20"/>
                <w:color w:val="auto"/>
              </w:rPr>
            </w:pPr>
            <w:r>
              <w:rPr>
                <w:rFonts w:ascii="Arial" w:cs="Arial" w:eastAsia="Arial" w:hAnsi="Arial"/>
                <w:sz w:val="13"/>
                <w:szCs w:val="13"/>
                <w:color w:val="0000FF"/>
              </w:rPr>
              <w:t>Consolidated Statements of Operations for the three and six months ended June 30, 2022 and 2021</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top w:val="single" w:sz="8" w:color="0000FF"/>
            </w:tcBorders>
            <w:gridSpan w:val="5"/>
          </w:tcPr>
          <w:p>
            <w:pPr>
              <w:spacing w:after="0" w:line="129" w:lineRule="exact"/>
              <w:rPr>
                <w:sz w:val="20"/>
                <w:szCs w:val="20"/>
                <w:color w:val="auto"/>
              </w:rPr>
            </w:pPr>
            <w:r>
              <w:rPr>
                <w:rFonts w:ascii="Arial" w:cs="Arial" w:eastAsia="Arial" w:hAnsi="Arial"/>
                <w:sz w:val="13"/>
                <w:szCs w:val="13"/>
                <w:color w:val="0000FF"/>
              </w:rPr>
              <w:t>(Unaudited)</w:t>
            </w:r>
          </w:p>
        </w:tc>
        <w:tc>
          <w:tcPr>
            <w:tcW w:w="100" w:type="dxa"/>
            <w:vAlign w:val="bottom"/>
          </w:tcPr>
          <w:p>
            <w:pPr>
              <w:spacing w:after="0"/>
              <w:rPr>
                <w:sz w:val="11"/>
                <w:szCs w:val="11"/>
                <w:color w:val="auto"/>
              </w:rPr>
            </w:pPr>
          </w:p>
        </w:tc>
        <w:tc>
          <w:tcPr>
            <w:tcW w:w="620" w:type="dxa"/>
            <w:vAlign w:val="bottom"/>
            <w:tcBorders>
              <w:top w:val="single" w:sz="8" w:color="0000FF"/>
            </w:tcBorders>
            <w:gridSpan w:val="4"/>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gridSpan w:val="3"/>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top w:val="single" w:sz="8" w:color="0000FF"/>
            </w:tcBorders>
            <w:gridSpan w:val="2"/>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gridSpan w:val="3"/>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0000FF"/>
            </w:tcBorders>
            <w:gridSpan w:val="2"/>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top w:val="single" w:sz="8" w:color="0000FF"/>
            </w:tcBorders>
            <w:gridSpan w:val="2"/>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4</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40" w:type="dxa"/>
            <w:vAlign w:val="bottom"/>
            <w:gridSpan w:val="45"/>
          </w:tcPr>
          <w:p>
            <w:pPr>
              <w:spacing w:after="0" w:line="129" w:lineRule="exact"/>
              <w:rPr>
                <w:sz w:val="20"/>
                <w:szCs w:val="20"/>
                <w:color w:val="auto"/>
              </w:rPr>
            </w:pPr>
            <w:r>
              <w:rPr>
                <w:rFonts w:ascii="Arial" w:cs="Arial" w:eastAsia="Arial" w:hAnsi="Arial"/>
                <w:sz w:val="13"/>
                <w:szCs w:val="13"/>
                <w:color w:val="0000FF"/>
                <w:w w:val="98"/>
              </w:rPr>
              <w:t>Consolidated Statements of Comprehensive Income (Loss) for the three and six months ended June 30, 2022</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Borders>
              <w:top w:val="single" w:sz="8" w:color="0000FF"/>
            </w:tcBorders>
            <w:gridSpan w:val="9"/>
          </w:tcPr>
          <w:p>
            <w:pPr>
              <w:spacing w:after="0" w:line="129" w:lineRule="exact"/>
              <w:rPr>
                <w:sz w:val="20"/>
                <w:szCs w:val="20"/>
                <w:color w:val="auto"/>
              </w:rPr>
            </w:pPr>
            <w:r>
              <w:rPr>
                <w:rFonts w:ascii="Arial" w:cs="Arial" w:eastAsia="Arial" w:hAnsi="Arial"/>
                <w:sz w:val="13"/>
                <w:szCs w:val="13"/>
                <w:color w:val="0000FF"/>
                <w:w w:val="96"/>
              </w:rPr>
              <w:t>and 2021 (Unaudited)</w:t>
            </w:r>
          </w:p>
        </w:tc>
        <w:tc>
          <w:tcPr>
            <w:tcW w:w="4960" w:type="dxa"/>
            <w:vAlign w:val="bottom"/>
            <w:tcBorders>
              <w:top w:val="single" w:sz="8" w:color="0000FF"/>
            </w:tcBorders>
            <w:gridSpan w:val="35"/>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5</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40" w:type="dxa"/>
            <w:vAlign w:val="bottom"/>
            <w:tcBorders>
              <w:bottom w:val="single" w:sz="8" w:color="0000FF"/>
            </w:tcBorders>
            <w:gridSpan w:val="45"/>
          </w:tcPr>
          <w:p>
            <w:pPr>
              <w:spacing w:after="0" w:line="119" w:lineRule="exact"/>
              <w:rPr>
                <w:sz w:val="20"/>
                <w:szCs w:val="20"/>
                <w:color w:val="auto"/>
              </w:rPr>
            </w:pPr>
            <w:r>
              <w:rPr>
                <w:rFonts w:ascii="Arial" w:cs="Arial" w:eastAsia="Arial" w:hAnsi="Arial"/>
                <w:sz w:val="13"/>
                <w:szCs w:val="13"/>
                <w:color w:val="0000FF"/>
                <w:w w:val="97"/>
              </w:rPr>
              <w:t>Consolidated Statements of Changes in Stockholders’ Equity for the three and six months ended June 30, 2022</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9"/>
          </w:tcPr>
          <w:p>
            <w:pPr>
              <w:spacing w:after="0" w:line="129" w:lineRule="exact"/>
              <w:rPr>
                <w:sz w:val="20"/>
                <w:szCs w:val="20"/>
                <w:color w:val="auto"/>
              </w:rPr>
            </w:pPr>
            <w:r>
              <w:rPr>
                <w:rFonts w:ascii="Arial" w:cs="Arial" w:eastAsia="Arial" w:hAnsi="Arial"/>
                <w:sz w:val="13"/>
                <w:szCs w:val="13"/>
                <w:color w:val="0000FF"/>
                <w:w w:val="96"/>
              </w:rPr>
              <w:t>and 2021 (Unaudited)</w:t>
            </w:r>
          </w:p>
        </w:tc>
        <w:tc>
          <w:tcPr>
            <w:tcW w:w="5000" w:type="dxa"/>
            <w:vAlign w:val="bottom"/>
            <w:gridSpan w:val="36"/>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6</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40" w:type="dxa"/>
            <w:vAlign w:val="bottom"/>
            <w:gridSpan w:val="45"/>
          </w:tcPr>
          <w:p>
            <w:pPr>
              <w:spacing w:after="0" w:line="129" w:lineRule="exact"/>
              <w:rPr>
                <w:sz w:val="20"/>
                <w:szCs w:val="20"/>
                <w:color w:val="auto"/>
              </w:rPr>
            </w:pPr>
            <w:r>
              <w:rPr>
                <w:rFonts w:ascii="Arial" w:cs="Arial" w:eastAsia="Arial" w:hAnsi="Arial"/>
                <w:sz w:val="13"/>
                <w:szCs w:val="13"/>
                <w:color w:val="0000FF"/>
              </w:rPr>
              <w:t>Consolidated Statements of Cash Flows for the six months ended June 30, 2022 and 2021 (Unaudited)</w:t>
            </w: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7</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1100" w:type="dxa"/>
            <w:vAlign w:val="bottom"/>
            <w:gridSpan w:val="8"/>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20" w:type="dxa"/>
            <w:vAlign w:val="bottom"/>
            <w:gridSpan w:val="41"/>
          </w:tcPr>
          <w:p>
            <w:pPr>
              <w:spacing w:after="0" w:line="129" w:lineRule="exact"/>
              <w:rPr>
                <w:sz w:val="20"/>
                <w:szCs w:val="20"/>
                <w:color w:val="auto"/>
              </w:rPr>
            </w:pPr>
            <w:r>
              <w:rPr>
                <w:rFonts w:ascii="Arial" w:cs="Arial" w:eastAsia="Arial" w:hAnsi="Arial"/>
                <w:sz w:val="13"/>
                <w:szCs w:val="13"/>
                <w:color w:val="0000FF"/>
              </w:rPr>
              <w:t>Notes to the Consolidated Financial Statements (Unaudited)</w:t>
            </w:r>
          </w:p>
        </w:tc>
        <w:tc>
          <w:tcPr>
            <w:tcW w:w="420" w:type="dxa"/>
            <w:vAlign w:val="bottom"/>
            <w:gridSpan w:val="4"/>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8</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2.</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5040" w:type="dxa"/>
            <w:vAlign w:val="bottom"/>
            <w:tcBorders>
              <w:bottom w:val="single" w:sz="8" w:color="0000FF"/>
            </w:tcBorders>
            <w:gridSpan w:val="34"/>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520" w:type="dxa"/>
            <w:vAlign w:val="bottom"/>
            <w:gridSpan w:val="12"/>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32</w:t>
            </w:r>
          </w:p>
        </w:tc>
      </w:tr>
      <w:tr>
        <w:trPr>
          <w:trHeight w:val="119"/>
        </w:trPr>
        <w:tc>
          <w:tcPr>
            <w:tcW w:w="400" w:type="dxa"/>
            <w:vAlign w:val="bottom"/>
            <w:tcBorders>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tcBorders>
              <w:bottom w:val="single" w:sz="8" w:color="0000FF"/>
            </w:tcBorders>
            <w:gridSpan w:val="21"/>
          </w:tcPr>
          <w:p>
            <w:pPr>
              <w:spacing w:after="0" w:line="11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3200" w:type="dxa"/>
            <w:vAlign w:val="bottom"/>
            <w:gridSpan w:val="25"/>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54</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0000FF"/>
            </w:tcBorders>
            <w:gridSpan w:val="9"/>
          </w:tcPr>
          <w:p>
            <w:pPr>
              <w:spacing w:after="0" w:line="129" w:lineRule="exact"/>
              <w:rPr>
                <w:sz w:val="20"/>
                <w:szCs w:val="20"/>
                <w:color w:val="auto"/>
              </w:rPr>
            </w:pPr>
            <w:r>
              <w:rPr>
                <w:rFonts w:ascii="Arial" w:cs="Arial" w:eastAsia="Arial" w:hAnsi="Arial"/>
                <w:sz w:val="13"/>
                <w:szCs w:val="13"/>
                <w:color w:val="0000FF"/>
                <w:w w:val="97"/>
              </w:rPr>
              <w:t>Controls and Procedures</w:t>
            </w:r>
          </w:p>
        </w:tc>
        <w:tc>
          <w:tcPr>
            <w:tcW w:w="5140" w:type="dxa"/>
            <w:vAlign w:val="bottom"/>
            <w:gridSpan w:val="37"/>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54</w:t>
            </w:r>
          </w:p>
        </w:tc>
      </w:tr>
      <w:tr>
        <w:trPr>
          <w:trHeight w:val="279"/>
        </w:trPr>
        <w:tc>
          <w:tcPr>
            <w:tcW w:w="560" w:type="dxa"/>
            <w:vAlign w:val="bottom"/>
            <w:gridSpan w:val="4"/>
          </w:tcPr>
          <w:p>
            <w:pPr>
              <w:spacing w:after="0"/>
              <w:rPr>
                <w:sz w:val="20"/>
                <w:szCs w:val="20"/>
                <w:color w:val="auto"/>
              </w:rPr>
            </w:pPr>
            <w:r>
              <w:rPr>
                <w:rFonts w:ascii="Arial" w:cs="Arial" w:eastAsia="Arial" w:hAnsi="Arial"/>
                <w:sz w:val="13"/>
                <w:szCs w:val="13"/>
                <w:b w:val="1"/>
                <w:bCs w:val="1"/>
                <w:color w:val="0000FF"/>
              </w:rPr>
              <w:t>PART II</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0000FF"/>
              </w:rPr>
              <w:t>55</w:t>
            </w:r>
          </w:p>
        </w:tc>
      </w:tr>
      <w:tr>
        <w:trPr>
          <w:trHeight w:val="279"/>
        </w:trPr>
        <w:tc>
          <w:tcPr>
            <w:tcW w:w="40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90"/>
              </w:rPr>
              <w:t>Item 1.</w:t>
            </w:r>
          </w:p>
        </w:tc>
        <w:tc>
          <w:tcPr>
            <w:tcW w:w="40" w:type="dxa"/>
            <w:vAlign w:val="bottom"/>
            <w:tcBorders>
              <w:top w:val="single" w:sz="8" w:color="0000FF"/>
            </w:tcBorders>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gridSpan w:val="46"/>
          </w:tcPr>
          <w:p>
            <w:pPr>
              <w:spacing w:after="0"/>
              <w:rPr>
                <w:sz w:val="20"/>
                <w:szCs w:val="20"/>
                <w:color w:val="auto"/>
              </w:rPr>
            </w:pPr>
            <w:r>
              <w:rPr>
                <w:rFonts w:ascii="Arial" w:cs="Arial" w:eastAsia="Arial" w:hAnsi="Arial"/>
                <w:sz w:val="13"/>
                <w:szCs w:val="13"/>
                <w:color w:val="0000FF"/>
              </w:rPr>
              <w:t>Legal Proceedings</w:t>
            </w:r>
          </w:p>
        </w:tc>
        <w:tc>
          <w:tcPr>
            <w:tcW w:w="340" w:type="dxa"/>
            <w:vAlign w:val="bottom"/>
          </w:tcPr>
          <w:p>
            <w:pPr>
              <w:spacing w:after="0"/>
              <w:rPr>
                <w:sz w:val="24"/>
                <w:szCs w:val="24"/>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3"/>
                <w:szCs w:val="13"/>
                <w:color w:val="0000FF"/>
                <w:w w:val="82"/>
              </w:rPr>
              <w:t>55</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c>
          <w:tcPr>
            <w:tcW w:w="3100" w:type="dxa"/>
            <w:vAlign w:val="bottom"/>
            <w:gridSpan w:val="2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19"/>
        </w:trPr>
        <w:tc>
          <w:tcPr>
            <w:tcW w:w="480" w:type="dxa"/>
            <w:vAlign w:val="bottom"/>
            <w:tcBorders>
              <w:bottom w:val="single" w:sz="8" w:color="0000FF"/>
            </w:tcBorders>
            <w:gridSpan w:val="3"/>
          </w:tcPr>
          <w:p>
            <w:pPr>
              <w:spacing w:after="0" w:line="119" w:lineRule="exact"/>
              <w:rPr>
                <w:sz w:val="20"/>
                <w:szCs w:val="20"/>
                <w:color w:val="auto"/>
              </w:rPr>
            </w:pPr>
            <w:r>
              <w:rPr>
                <w:rFonts w:ascii="Arial" w:cs="Arial" w:eastAsia="Arial" w:hAnsi="Arial"/>
                <w:sz w:val="13"/>
                <w:szCs w:val="13"/>
                <w:color w:val="0000FF"/>
                <w:w w:val="94"/>
              </w:rPr>
              <w:t>Item 1A.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96"/>
              </w:rPr>
              <w:t>Risk Factors</w:t>
            </w:r>
          </w:p>
        </w:tc>
        <w:tc>
          <w:tcPr>
            <w:tcW w:w="5840" w:type="dxa"/>
            <w:vAlign w:val="bottom"/>
            <w:gridSpan w:val="44"/>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55</w:t>
            </w:r>
          </w:p>
        </w:tc>
      </w:tr>
      <w:tr>
        <w:trPr>
          <w:trHeight w:val="140"/>
        </w:trPr>
        <w:tc>
          <w:tcPr>
            <w:tcW w:w="400" w:type="dxa"/>
            <w:vAlign w:val="bottom"/>
            <w:tcBorders>
              <w:bottom w:val="single" w:sz="8" w:color="0000FF"/>
            </w:tcBorders>
          </w:tcPr>
          <w:p>
            <w:pPr>
              <w:spacing w:after="0" w:line="140" w:lineRule="exact"/>
              <w:rPr>
                <w:sz w:val="20"/>
                <w:szCs w:val="20"/>
                <w:color w:val="auto"/>
              </w:rPr>
            </w:pPr>
            <w:r>
              <w:rPr>
                <w:rFonts w:ascii="Arial" w:cs="Arial" w:eastAsia="Arial" w:hAnsi="Arial"/>
                <w:sz w:val="13"/>
                <w:szCs w:val="13"/>
                <w:color w:val="0000FF"/>
                <w:w w:val="90"/>
              </w:rPr>
              <w:t>Item 2.</w:t>
            </w:r>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bottom w:val="single" w:sz="8" w:color="0000FF"/>
            </w:tcBorders>
            <w:gridSpan w:val="22"/>
          </w:tcPr>
          <w:p>
            <w:pPr>
              <w:spacing w:after="0" w:line="140" w:lineRule="exact"/>
              <w:rPr>
                <w:sz w:val="20"/>
                <w:szCs w:val="20"/>
                <w:color w:val="auto"/>
              </w:rPr>
            </w:pPr>
            <w:r>
              <w:rPr>
                <w:rFonts w:ascii="Arial" w:cs="Arial" w:eastAsia="Arial" w:hAnsi="Arial"/>
                <w:sz w:val="13"/>
                <w:szCs w:val="13"/>
                <w:color w:val="0000FF"/>
                <w:w w:val="98"/>
              </w:rPr>
              <w:t>Unregistered Sales of Equity Securities and Use of Proceeds</w:t>
            </w:r>
          </w:p>
        </w:tc>
        <w:tc>
          <w:tcPr>
            <w:tcW w:w="3100" w:type="dxa"/>
            <w:vAlign w:val="bottom"/>
            <w:gridSpan w:val="24"/>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0000FF"/>
            </w:tcBorders>
          </w:tcPr>
          <w:p>
            <w:pPr>
              <w:jc w:val="right"/>
              <w:spacing w:after="0" w:line="140" w:lineRule="exact"/>
              <w:rPr>
                <w:sz w:val="20"/>
                <w:szCs w:val="20"/>
                <w:color w:val="auto"/>
              </w:rPr>
            </w:pPr>
            <w:r>
              <w:rPr>
                <w:rFonts w:ascii="Arial" w:cs="Arial" w:eastAsia="Arial" w:hAnsi="Arial"/>
                <w:sz w:val="13"/>
                <w:szCs w:val="13"/>
                <w:color w:val="0000FF"/>
                <w:w w:val="82"/>
              </w:rPr>
              <w:t>55</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Borders>
              <w:bottom w:val="single" w:sz="8" w:color="0000FF"/>
            </w:tcBorders>
            <w:gridSpan w:val="11"/>
          </w:tcPr>
          <w:p>
            <w:pPr>
              <w:spacing w:after="0" w:line="129" w:lineRule="exact"/>
              <w:rPr>
                <w:sz w:val="20"/>
                <w:szCs w:val="20"/>
                <w:color w:val="auto"/>
              </w:rPr>
            </w:pPr>
            <w:r>
              <w:rPr>
                <w:rFonts w:ascii="Arial" w:cs="Arial" w:eastAsia="Arial" w:hAnsi="Arial"/>
                <w:sz w:val="13"/>
                <w:szCs w:val="13"/>
                <w:color w:val="0000FF"/>
                <w:w w:val="97"/>
              </w:rPr>
              <w:t>Defaults Upon Senior Securities</w:t>
            </w:r>
          </w:p>
        </w:tc>
        <w:tc>
          <w:tcPr>
            <w:tcW w:w="4740" w:type="dxa"/>
            <w:vAlign w:val="bottom"/>
            <w:gridSpan w:val="35"/>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5180" w:type="dxa"/>
            <w:vAlign w:val="bottom"/>
            <w:gridSpan w:val="38"/>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5.</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bottom w:val="single" w:sz="8" w:color="0000FF"/>
            </w:tcBorders>
            <w:gridSpan w:val="5"/>
          </w:tcPr>
          <w:p>
            <w:pPr>
              <w:spacing w:after="0" w:line="129" w:lineRule="exact"/>
              <w:rPr>
                <w:sz w:val="20"/>
                <w:szCs w:val="20"/>
                <w:color w:val="auto"/>
              </w:rPr>
            </w:pPr>
            <w:r>
              <w:rPr>
                <w:rFonts w:ascii="Arial" w:cs="Arial" w:eastAsia="Arial" w:hAnsi="Arial"/>
                <w:sz w:val="13"/>
                <w:szCs w:val="13"/>
                <w:color w:val="0000FF"/>
              </w:rPr>
              <w:t>Other Information</w:t>
            </w:r>
          </w:p>
        </w:tc>
        <w:tc>
          <w:tcPr>
            <w:tcW w:w="5500" w:type="dxa"/>
            <w:vAlign w:val="bottom"/>
            <w:gridSpan w:val="41"/>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Exhibit Index</w:t>
            </w:r>
          </w:p>
        </w:tc>
        <w:tc>
          <w:tcPr>
            <w:tcW w:w="5820" w:type="dxa"/>
            <w:vAlign w:val="bottom"/>
            <w:gridSpan w:val="43"/>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56</w:t>
            </w:r>
          </w:p>
        </w:tc>
      </w:tr>
    </w:tbl>
    <w:p>
      <w:pPr>
        <w:spacing w:after="0" w:line="151"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4"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Consolidated Balance Sheets - Unaudited</w:t>
      </w:r>
    </w:p>
    <w:p>
      <w:pPr>
        <w:ind w:left="3200"/>
        <w:spacing w:after="0"/>
        <w:rPr>
          <w:sz w:val="20"/>
          <w:szCs w:val="20"/>
          <w:color w:val="auto"/>
        </w:rPr>
      </w:pPr>
      <w:r>
        <w:rPr>
          <w:rFonts w:ascii="Arial" w:cs="Arial" w:eastAsia="Arial" w:hAnsi="Arial"/>
          <w:sz w:val="14"/>
          <w:szCs w:val="14"/>
          <w:color w:val="auto"/>
        </w:rPr>
        <w:t>(Dollars in thousands, except share data)</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30"/>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June 30, 2022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December 31, 2021</w:t>
            </w:r>
          </w:p>
        </w:tc>
      </w:tr>
      <w:tr>
        <w:trPr>
          <w:trHeight w:val="14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7,448</w:t>
            </w: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6,477</w:t>
            </w:r>
          </w:p>
        </w:tc>
        <w:tc>
          <w:tcPr>
            <w:tcW w:w="20" w:type="dxa"/>
            <w:vAlign w:val="bottom"/>
          </w:tcPr>
          <w:p>
            <w:pPr>
              <w:spacing w:after="0"/>
              <w:rPr>
                <w:sz w:val="14"/>
                <w:szCs w:val="14"/>
                <w:color w:val="auto"/>
              </w:rPr>
            </w:pPr>
          </w:p>
        </w:tc>
      </w:tr>
      <w:tr>
        <w:trPr>
          <w:trHeight w:val="14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75,824</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39,751</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83,272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(fair value $101,067 and $120,157, respectively)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116,671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122,658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339,464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401,542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$15,786 and $15,057, respectively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1,356,947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1,175,024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5,991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5,088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5,278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42,249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41,720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43,059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34,929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13,574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6,369</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4,300</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2,016,086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w:t>
            </w:r>
          </w:p>
        </w:tc>
        <w:tc>
          <w:tcPr>
            <w:tcW w:w="140" w:type="dxa"/>
            <w:vAlign w:val="bottom"/>
            <w:gridSpan w:val="2"/>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653,708</w:t>
            </w:r>
          </w:p>
        </w:tc>
        <w:tc>
          <w:tcPr>
            <w:tcW w:w="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$605,425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802,841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703,856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 accounts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55,878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218,755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225,220</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1,738,720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1,590,379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66,000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13,574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20" w:type="dxa"/>
            <w:vAlign w:val="bottom"/>
            <w:shd w:val="clear" w:color="auto" w:fill="CCEEFF"/>
          </w:tcPr>
          <w:p>
            <w:pPr>
              <w:spacing w:after="0"/>
              <w:rPr>
                <w:sz w:val="13"/>
                <w:szCs w:val="13"/>
                <w:color w:val="auto"/>
              </w:rPr>
            </w:pPr>
          </w:p>
        </w:tc>
      </w:tr>
      <w:tr>
        <w:trPr>
          <w:trHeight w:val="169"/>
        </w:trPr>
        <w:tc>
          <w:tcPr>
            <w:tcW w:w="5240" w:type="dxa"/>
            <w:vAlign w:val="bottom"/>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17,724</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9,478</w:t>
            </w:r>
          </w:p>
        </w:tc>
        <w:tc>
          <w:tcPr>
            <w:tcW w:w="20" w:type="dxa"/>
            <w:vAlign w:val="bottom"/>
          </w:tcPr>
          <w:p>
            <w:pPr>
              <w:spacing w:after="0"/>
              <w:rPr>
                <w:sz w:val="14"/>
                <w:szCs w:val="14"/>
                <w:color w:val="auto"/>
              </w:rPr>
            </w:pPr>
          </w:p>
        </w:tc>
      </w:tr>
      <w:tr>
        <w:trPr>
          <w:trHeight w:val="13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1,836,018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1,650,042</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and 0 issued and outstanding as of June 30, 2022 and December 31, 2021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39"/>
        </w:trPr>
        <w:tc>
          <w:tcPr>
            <w:tcW w:w="5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and 0 issued and outstanding as of June 30, 2022 and December 31, 2021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39"/>
        </w:trPr>
        <w:tc>
          <w:tcPr>
            <w:tcW w:w="5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and 0 issued and outstanding as of June 30, 2022 and December 31, 2021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39"/>
        </w:trPr>
        <w:tc>
          <w:tcPr>
            <w:tcW w:w="5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94"/>
        </w:trPr>
        <w:tc>
          <w:tcPr>
            <w:tcW w:w="5240" w:type="dxa"/>
            <w:vAlign w:val="bottom"/>
          </w:tcPr>
          <w:p>
            <w:pPr>
              <w:spacing w:after="0"/>
              <w:rPr>
                <w:sz w:val="20"/>
                <w:szCs w:val="20"/>
                <w:color w:val="auto"/>
              </w:rPr>
            </w:pPr>
            <w:r>
              <w:rPr>
                <w:rFonts w:ascii="Arial" w:cs="Arial" w:eastAsia="Arial" w:hAnsi="Arial"/>
                <w:sz w:val="11"/>
                <w:szCs w:val="11"/>
                <w:color w:val="auto"/>
              </w:rPr>
              <w:t>Common stock - Class A Voting; $1.00 par value; 45,000,000 shares authorized; 20,000,753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6"/>
        </w:trPr>
        <w:tc>
          <w:tcPr>
            <w:tcW w:w="5240" w:type="dxa"/>
            <w:vAlign w:val="bottom"/>
          </w:tcPr>
          <w:p>
            <w:pPr>
              <w:spacing w:after="0"/>
              <w:rPr>
                <w:sz w:val="20"/>
                <w:szCs w:val="20"/>
                <w:color w:val="auto"/>
              </w:rPr>
            </w:pPr>
            <w:r>
              <w:rPr>
                <w:rFonts w:ascii="Arial" w:cs="Arial" w:eastAsia="Arial" w:hAnsi="Arial"/>
                <w:sz w:val="11"/>
                <w:szCs w:val="11"/>
                <w:color w:val="auto"/>
              </w:rPr>
              <w:t>19,991,753 issued and outstanding as of June 30, 2022 and December 31, 2021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20,001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19,992</w:t>
            </w:r>
          </w:p>
        </w:tc>
        <w:tc>
          <w:tcPr>
            <w:tcW w:w="20" w:type="dxa"/>
            <w:vAlign w:val="bottom"/>
          </w:tcPr>
          <w:p>
            <w:pPr>
              <w:spacing w:after="0"/>
              <w:rPr>
                <w:sz w:val="10"/>
                <w:szCs w:val="10"/>
                <w:color w:val="auto"/>
              </w:rPr>
            </w:pPr>
          </w:p>
        </w:tc>
      </w:tr>
      <w:tr>
        <w:trPr>
          <w:trHeight w:val="139"/>
        </w:trPr>
        <w:tc>
          <w:tcPr>
            <w:tcW w:w="5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6"/>
        </w:trPr>
        <w:tc>
          <w:tcPr>
            <w:tcW w:w="5240" w:type="dxa"/>
            <w:vAlign w:val="bottom"/>
          </w:tcPr>
          <w:p>
            <w:pPr>
              <w:spacing w:after="0"/>
              <w:rPr>
                <w:sz w:val="20"/>
                <w:szCs w:val="20"/>
                <w:color w:val="auto"/>
              </w:rPr>
            </w:pPr>
            <w:r>
              <w:rPr>
                <w:rFonts w:ascii="Arial" w:cs="Arial" w:eastAsia="Arial" w:hAnsi="Arial"/>
                <w:sz w:val="11"/>
                <w:szCs w:val="11"/>
                <w:color w:val="auto"/>
              </w:rPr>
              <w:t>outstanding as of June 30, 2022 and December 31, 2021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28"/>
        </w:trPr>
        <w:tc>
          <w:tcPr>
            <w:tcW w:w="5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311,024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310,666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deficit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(114,096)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(124,245)</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other comprehensive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(36,861)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1"/>
                <w:szCs w:val="11"/>
                <w:color w:val="auto"/>
              </w:rPr>
              <w:t>(2,516)</w:t>
            </w:r>
          </w:p>
        </w:tc>
      </w:tr>
      <w:tr>
        <w:trPr>
          <w:trHeight w:val="15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180,068</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shd w:val="clear" w:color="auto" w:fill="CCEEFF"/>
          </w:tcPr>
          <w:p>
            <w:pPr>
              <w:spacing w:after="0"/>
              <w:rPr>
                <w:sz w:val="13"/>
                <w:szCs w:val="13"/>
                <w:color w:val="auto"/>
              </w:rPr>
            </w:pPr>
          </w:p>
        </w:tc>
      </w:tr>
      <w:tr>
        <w:trPr>
          <w:trHeight w:val="161"/>
        </w:trPr>
        <w:tc>
          <w:tcPr>
            <w:tcW w:w="5240" w:type="dxa"/>
            <w:vAlign w:val="bottom"/>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2,016,086</w:t>
            </w: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7"/>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7"/>
          </w:tcPr>
          <w:p>
            <w:pPr>
              <w:jc w:val="right"/>
              <w:ind w:right="340"/>
              <w:spacing w:after="0"/>
              <w:rPr>
                <w:sz w:val="20"/>
                <w:szCs w:val="20"/>
                <w:color w:val="auto"/>
              </w:rPr>
            </w:pPr>
            <w:r>
              <w:rPr>
                <w:rFonts w:ascii="Arial" w:cs="Arial" w:eastAsia="Arial" w:hAnsi="Arial"/>
                <w:sz w:val="11"/>
                <w:szCs w:val="11"/>
                <w:b w:val="1"/>
                <w:bCs w:val="1"/>
                <w:color w:val="auto"/>
              </w:rPr>
              <w:t>Six Months Ended June 30,</w:t>
            </w:r>
          </w:p>
        </w:tc>
      </w:tr>
      <w:tr>
        <w:trPr>
          <w:trHeight w:val="151"/>
        </w:trPr>
        <w:tc>
          <w:tcPr>
            <w:tcW w:w="33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r>
      <w:tr>
        <w:trPr>
          <w:trHeight w:val="15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14,053</w:t>
            </w: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11,538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27,035</w:t>
            </w:r>
          </w:p>
        </w:tc>
        <w:tc>
          <w:tcPr>
            <w:tcW w:w="180" w:type="dxa"/>
            <w:vAlign w:val="bottom"/>
            <w:gridSpan w:val="4"/>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23,406</w:t>
            </w: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3,812</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4"/>
                <w:szCs w:val="14"/>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16,684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32,026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27,257</w:t>
            </w:r>
          </w:p>
        </w:tc>
        <w:tc>
          <w:tcPr>
            <w:tcW w:w="20" w:type="dxa"/>
            <w:vAlign w:val="bottom"/>
            <w:shd w:val="clear" w:color="auto" w:fill="CCEEFF"/>
          </w:tcPr>
          <w:p>
            <w:pPr>
              <w:spacing w:after="0"/>
              <w:rPr>
                <w:sz w:val="13"/>
                <w:szCs w:val="13"/>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1,166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1,071</w:t>
            </w: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933</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275</w:t>
            </w:r>
          </w:p>
        </w:tc>
        <w:tc>
          <w:tcPr>
            <w:tcW w:w="20" w:type="dxa"/>
            <w:vAlign w:val="bottom"/>
          </w:tcPr>
          <w:p>
            <w:pPr>
              <w:spacing w:after="0"/>
              <w:rPr>
                <w:sz w:val="14"/>
                <w:szCs w:val="14"/>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2,308</w:t>
            </w:r>
          </w:p>
        </w:tc>
        <w:tc>
          <w:tcPr>
            <w:tcW w:w="20" w:type="dxa"/>
            <w:vAlign w:val="bottom"/>
            <w:shd w:val="clear" w:color="auto" w:fill="CCEEFF"/>
          </w:tcPr>
          <w:p>
            <w:pPr>
              <w:spacing w:after="0"/>
              <w:rPr>
                <w:sz w:val="13"/>
                <w:szCs w:val="13"/>
                <w:color w:val="auto"/>
              </w:rPr>
            </w:pPr>
          </w:p>
        </w:tc>
      </w:tr>
      <w:tr>
        <w:trPr>
          <w:trHeight w:val="151"/>
        </w:trPr>
        <w:tc>
          <w:tcPr>
            <w:tcW w:w="338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15,642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30,021</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24,949</w:t>
            </w:r>
          </w:p>
        </w:tc>
        <w:tc>
          <w:tcPr>
            <w:tcW w:w="20" w:type="dxa"/>
            <w:vAlign w:val="bottom"/>
          </w:tcPr>
          <w:p>
            <w:pPr>
              <w:spacing w:after="0"/>
              <w:rPr>
                <w:sz w:val="13"/>
                <w:szCs w:val="13"/>
                <w:color w:val="auto"/>
              </w:rPr>
            </w:pPr>
          </w:p>
        </w:tc>
      </w:tr>
      <w:tr>
        <w:trPr>
          <w:trHeight w:val="15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(160)</w:t>
            </w: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14,937</w:t>
            </w: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29,316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25,109</w:t>
            </w:r>
          </w:p>
        </w:tc>
        <w:tc>
          <w:tcPr>
            <w:tcW w:w="20" w:type="dxa"/>
            <w:vAlign w:val="bottom"/>
          </w:tcPr>
          <w:p>
            <w:pPr>
              <w:spacing w:after="0"/>
              <w:rPr>
                <w:sz w:val="13"/>
                <w:szCs w:val="13"/>
                <w:color w:val="auto"/>
              </w:rPr>
            </w:pPr>
          </w:p>
        </w:tc>
      </w:tr>
      <w:tr>
        <w:trPr>
          <w:trHeight w:val="17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903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1,983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1,792</w:t>
            </w: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356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987</w:t>
            </w: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403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1,044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809</w:t>
            </w:r>
          </w:p>
        </w:tc>
        <w:tc>
          <w:tcPr>
            <w:tcW w:w="20" w:type="dxa"/>
            <w:vAlign w:val="bottom"/>
          </w:tcPr>
          <w:p>
            <w:pPr>
              <w:spacing w:after="0"/>
              <w:rPr>
                <w:sz w:val="14"/>
                <w:szCs w:val="14"/>
                <w:color w:val="auto"/>
              </w:rPr>
            </w:pPr>
          </w:p>
        </w:tc>
      </w:tr>
      <w:tr>
        <w:trPr>
          <w:trHeight w:val="151"/>
        </w:trPr>
        <w:tc>
          <w:tcPr>
            <w:tcW w:w="33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1,617</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1,516</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3,562</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3,837</w:t>
            </w:r>
          </w:p>
        </w:tc>
        <w:tc>
          <w:tcPr>
            <w:tcW w:w="20" w:type="dxa"/>
            <w:vAlign w:val="bottom"/>
            <w:shd w:val="clear" w:color="auto" w:fill="CCEEFF"/>
          </w:tcPr>
          <w:p>
            <w:pPr>
              <w:spacing w:after="0"/>
              <w:rPr>
                <w:sz w:val="13"/>
                <w:szCs w:val="13"/>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11,788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10,491</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2,521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2,798</w:t>
            </w: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373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558</w:t>
            </w: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1,150</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2,665</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2,291</w:t>
            </w:r>
          </w:p>
        </w:tc>
        <w:tc>
          <w:tcPr>
            <w:tcW w:w="20" w:type="dxa"/>
            <w:vAlign w:val="bottom"/>
          </w:tcPr>
          <w:p>
            <w:pPr>
              <w:spacing w:after="0"/>
              <w:rPr>
                <w:sz w:val="14"/>
                <w:szCs w:val="14"/>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9,551</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8,674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19,163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17,351</w:t>
            </w:r>
          </w:p>
        </w:tc>
        <w:tc>
          <w:tcPr>
            <w:tcW w:w="20" w:type="dxa"/>
            <w:vAlign w:val="bottom"/>
            <w:shd w:val="clear" w:color="auto" w:fill="CCEEFF"/>
          </w:tcPr>
          <w:p>
            <w:pPr>
              <w:spacing w:after="0"/>
              <w:rPr>
                <w:sz w:val="13"/>
                <w:szCs w:val="13"/>
                <w:color w:val="auto"/>
              </w:rPr>
            </w:pP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7,003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5,316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13,715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11,595</w:t>
            </w:r>
          </w:p>
        </w:tc>
        <w:tc>
          <w:tcPr>
            <w:tcW w:w="20" w:type="dxa"/>
            <w:vAlign w:val="bottom"/>
          </w:tcPr>
          <w:p>
            <w:pPr>
              <w:spacing w:after="0"/>
              <w:rPr>
                <w:sz w:val="13"/>
                <w:szCs w:val="13"/>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1,708</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2,761</w:t>
            </w:r>
          </w:p>
        </w:tc>
        <w:tc>
          <w:tcPr>
            <w:tcW w:w="20" w:type="dxa"/>
            <w:vAlign w:val="bottom"/>
            <w:shd w:val="clear" w:color="auto" w:fill="CCEEFF"/>
          </w:tcPr>
          <w:p>
            <w:pPr>
              <w:spacing w:after="0"/>
              <w:rPr>
                <w:sz w:val="14"/>
                <w:szCs w:val="14"/>
                <w:color w:val="auto"/>
              </w:rPr>
            </w:pP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5,295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4,053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10,149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8,834</w:t>
            </w:r>
          </w:p>
        </w:tc>
        <w:tc>
          <w:tcPr>
            <w:tcW w:w="20" w:type="dxa"/>
            <w:vAlign w:val="bottom"/>
          </w:tcPr>
          <w:p>
            <w:pPr>
              <w:spacing w:after="0"/>
              <w:rPr>
                <w:sz w:val="13"/>
                <w:szCs w:val="13"/>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Preferred stock dividend</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1,535</w:t>
            </w:r>
          </w:p>
        </w:tc>
        <w:tc>
          <w:tcPr>
            <w:tcW w:w="20" w:type="dxa"/>
            <w:vAlign w:val="bottom"/>
            <w:shd w:val="clear" w:color="auto" w:fill="CCEEFF"/>
          </w:tcPr>
          <w:p>
            <w:pPr>
              <w:spacing w:after="0"/>
              <w:rPr>
                <w:sz w:val="14"/>
                <w:szCs w:val="14"/>
                <w:color w:val="auto"/>
              </w:rPr>
            </w:pPr>
          </w:p>
        </w:tc>
      </w:tr>
      <w:tr>
        <w:trPr>
          <w:trHeight w:val="201"/>
        </w:trPr>
        <w:tc>
          <w:tcPr>
            <w:tcW w:w="3380" w:type="dxa"/>
            <w:vAlign w:val="bottom"/>
          </w:tcPr>
          <w:p>
            <w:pPr>
              <w:ind w:left="300"/>
              <w:spacing w:after="0"/>
              <w:rPr>
                <w:sz w:val="20"/>
                <w:szCs w:val="20"/>
                <w:color w:val="auto"/>
              </w:rPr>
            </w:pPr>
            <w:r>
              <w:rPr>
                <w:rFonts w:ascii="Arial" w:cs="Arial" w:eastAsia="Arial" w:hAnsi="Arial"/>
                <w:sz w:val="11"/>
                <w:szCs w:val="11"/>
                <w:color w:val="auto"/>
              </w:rPr>
              <w:t>Net income available to common stockholders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5,295</w:t>
            </w: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3,299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10,149</w:t>
            </w:r>
          </w:p>
        </w:tc>
        <w:tc>
          <w:tcPr>
            <w:tcW w:w="180" w:type="dxa"/>
            <w:vAlign w:val="bottom"/>
            <w:gridSpan w:val="4"/>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7,299</w:t>
            </w:r>
          </w:p>
        </w:tc>
        <w:tc>
          <w:tcPr>
            <w:tcW w:w="20" w:type="dxa"/>
            <w:vAlign w:val="bottom"/>
          </w:tcPr>
          <w:p>
            <w:pPr>
              <w:spacing w:after="0"/>
              <w:rPr>
                <w:sz w:val="17"/>
                <w:szCs w:val="17"/>
                <w:color w:val="auto"/>
              </w:rPr>
            </w:pPr>
          </w:p>
        </w:tc>
      </w:tr>
      <w:tr>
        <w:trPr>
          <w:trHeight w:val="111"/>
        </w:trPr>
        <w:tc>
          <w:tcPr>
            <w:tcW w:w="338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0"/>
                <w:szCs w:val="10"/>
                <w:b w:val="1"/>
                <w:bCs w:val="1"/>
                <w:color w:val="auto"/>
              </w:rPr>
              <w:t>Per share information:</w:t>
            </w:r>
            <w:r>
              <w:rPr>
                <w:rFonts w:ascii="Arial" w:cs="Arial" w:eastAsia="Arial" w:hAnsi="Arial"/>
                <w:sz w:val="12"/>
                <w:szCs w:val="12"/>
                <w:color w:val="auto"/>
                <w:vertAlign w:val="superscript"/>
              </w:rPr>
              <w:t>(1)</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basic</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0.51</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20" w:type="dxa"/>
            <w:vAlign w:val="bottom"/>
            <w:shd w:val="clear" w:color="auto" w:fill="CCEEFF"/>
          </w:tcPr>
          <w:p>
            <w:pPr>
              <w:spacing w:after="0"/>
              <w:rPr>
                <w:sz w:val="14"/>
                <w:szCs w:val="14"/>
                <w:color w:val="auto"/>
              </w:rPr>
            </w:pPr>
          </w:p>
        </w:tc>
      </w:tr>
      <w:tr>
        <w:trPr>
          <w:trHeight w:val="171"/>
        </w:trPr>
        <w:tc>
          <w:tcPr>
            <w:tcW w:w="3380" w:type="dxa"/>
            <w:vAlign w:val="bottom"/>
          </w:tcPr>
          <w:p>
            <w:pPr>
              <w:ind w:left="200"/>
              <w:spacing w:after="0"/>
              <w:rPr>
                <w:sz w:val="20"/>
                <w:szCs w:val="20"/>
                <w:color w:val="auto"/>
              </w:rPr>
            </w:pPr>
            <w:r>
              <w:rPr>
                <w:rFonts w:ascii="Arial" w:cs="Arial" w:eastAsia="Arial" w:hAnsi="Arial"/>
                <w:sz w:val="11"/>
                <w:szCs w:val="11"/>
                <w:color w:val="auto"/>
              </w:rPr>
              <w:t>Net income per share, diluted</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0.26</w:t>
            </w: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0.64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0.50</w:t>
            </w:r>
          </w:p>
        </w:tc>
        <w:tc>
          <w:tcPr>
            <w:tcW w:w="180" w:type="dxa"/>
            <w:vAlign w:val="bottom"/>
            <w:gridSpan w:val="4"/>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1.41</w:t>
            </w: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8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4"/>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0.29</w:t>
            </w:r>
          </w:p>
        </w:tc>
        <w:tc>
          <w:tcPr>
            <w:tcW w:w="20" w:type="dxa"/>
            <w:vAlign w:val="bottom"/>
          </w:tcPr>
          <w:p>
            <w:pPr>
              <w:spacing w:after="0"/>
              <w:rPr>
                <w:sz w:val="14"/>
                <w:szCs w:val="14"/>
                <w:color w:val="auto"/>
              </w:rPr>
            </w:pPr>
          </w:p>
        </w:tc>
      </w:tr>
      <w:tr>
        <w:trPr>
          <w:trHeight w:val="171"/>
        </w:trPr>
        <w:tc>
          <w:tcPr>
            <w:tcW w:w="33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20" w:type="dxa"/>
            <w:vAlign w:val="bottom"/>
            <w:shd w:val="clear" w:color="auto" w:fill="CCEEFF"/>
          </w:tcPr>
          <w:p>
            <w:pPr>
              <w:spacing w:after="0"/>
              <w:rPr>
                <w:sz w:val="14"/>
                <w:szCs w:val="14"/>
                <w:color w:val="auto"/>
              </w:rPr>
            </w:pPr>
          </w:p>
        </w:tc>
      </w:tr>
    </w:tbl>
    <w:p>
      <w:pPr>
        <w:spacing w:after="0" w:line="185" w:lineRule="exact"/>
        <w:rPr>
          <w:sz w:val="20"/>
          <w:szCs w:val="20"/>
          <w:color w:val="auto"/>
        </w:rPr>
      </w:pPr>
    </w:p>
    <w:p>
      <w:pPr>
        <w:ind w:left="860" w:hanging="197"/>
        <w:spacing w:after="0"/>
        <w:tabs>
          <w:tab w:leader="none" w:pos="860" w:val="left"/>
        </w:tabs>
        <w:numPr>
          <w:ilvl w:val="0"/>
          <w:numId w:val="3"/>
        </w:numPr>
        <w:rPr>
          <w:rFonts w:ascii="Arial" w:cs="Arial" w:eastAsia="Arial" w:hAnsi="Arial"/>
          <w:sz w:val="11"/>
          <w:szCs w:val="11"/>
          <w:color w:val="auto"/>
        </w:rPr>
      </w:pPr>
      <w:r>
        <w:rPr>
          <w:rFonts w:ascii="Arial" w:cs="Arial" w:eastAsia="Arial" w:hAnsi="Arial"/>
          <w:sz w:val="11"/>
          <w:szCs w:val="11"/>
          <w:color w:val="auto"/>
        </w:rPr>
        <w:t>For further details on the allocation of net income available to common stockholders and per share information, see Note 9 "Earnings per Share".</w:t>
      </w:r>
    </w:p>
    <w:p>
      <w:pPr>
        <w:spacing w:after="0" w:line="214" w:lineRule="exact"/>
        <w:rPr>
          <w:rFonts w:ascii="Arial" w:cs="Arial" w:eastAsia="Arial" w:hAnsi="Arial"/>
          <w:sz w:val="11"/>
          <w:szCs w:val="11"/>
          <w:color w:val="auto"/>
        </w:rPr>
      </w:pPr>
    </w:p>
    <w:p>
      <w:pPr>
        <w:ind w:left="2280"/>
        <w:spacing w:after="0"/>
        <w:rPr>
          <w:rFonts w:ascii="Arial" w:cs="Arial" w:eastAsia="Arial" w:hAnsi="Arial"/>
          <w:sz w:val="11"/>
          <w:szCs w:val="11"/>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tcPr>
          <w:p>
            <w:pPr>
              <w:jc w:val="right"/>
              <w:ind w:right="83"/>
              <w:spacing w:after="0"/>
              <w:rPr>
                <w:sz w:val="20"/>
                <w:szCs w:val="20"/>
                <w:color w:val="auto"/>
              </w:rPr>
            </w:pPr>
            <w:r>
              <w:rPr>
                <w:rFonts w:ascii="Arial" w:cs="Arial" w:eastAsia="Arial" w:hAnsi="Arial"/>
                <w:sz w:val="11"/>
                <w:szCs w:val="11"/>
                <w:b w:val="1"/>
                <w:bCs w:val="1"/>
                <w:color w:val="auto"/>
              </w:rPr>
              <w:t>Three Months Ended June 30,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6"/>
          </w:tcPr>
          <w:p>
            <w:pPr>
              <w:jc w:val="right"/>
              <w:ind w:right="220"/>
              <w:spacing w:after="0"/>
              <w:rPr>
                <w:sz w:val="20"/>
                <w:szCs w:val="20"/>
                <w:color w:val="auto"/>
              </w:rPr>
            </w:pPr>
            <w:r>
              <w:rPr>
                <w:rFonts w:ascii="Arial" w:cs="Arial" w:eastAsia="Arial" w:hAnsi="Arial"/>
                <w:sz w:val="11"/>
                <w:szCs w:val="11"/>
                <w:b w:val="1"/>
                <w:bCs w:val="1"/>
                <w:color w:val="auto"/>
              </w:rPr>
              <w:t>Six Months Ended June 30,</w:t>
            </w:r>
          </w:p>
        </w:tc>
      </w:tr>
      <w:tr>
        <w:trPr>
          <w:trHeight w:val="151"/>
        </w:trPr>
        <w:tc>
          <w:tcPr>
            <w:tcW w:w="38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r>
      <w:tr>
        <w:trPr>
          <w:trHeight w:val="151"/>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10,149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8,834</w:t>
            </w:r>
          </w:p>
        </w:tc>
        <w:tc>
          <w:tcPr>
            <w:tcW w:w="20" w:type="dxa"/>
            <w:vAlign w:val="bottom"/>
            <w:shd w:val="clear" w:color="auto" w:fill="CCEEFF"/>
          </w:tcPr>
          <w:p>
            <w:pPr>
              <w:spacing w:after="0"/>
              <w:rPr>
                <w:sz w:val="13"/>
                <w:szCs w:val="13"/>
                <w:color w:val="auto"/>
              </w:rPr>
            </w:pPr>
          </w:p>
        </w:tc>
      </w:tr>
      <w:tr>
        <w:trPr>
          <w:trHeight w:val="160"/>
        </w:trPr>
        <w:tc>
          <w:tcPr>
            <w:tcW w:w="382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gain (loss) on investment securities</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(23,253)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(45,898)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(5,837)</w:t>
            </w:r>
          </w:p>
        </w:tc>
      </w:tr>
      <w:tr>
        <w:trPr>
          <w:trHeight w:val="174"/>
        </w:trPr>
        <w:tc>
          <w:tcPr>
            <w:tcW w:w="3820" w:type="dxa"/>
            <w:vAlign w:val="bottom"/>
          </w:tcPr>
          <w:p>
            <w:pPr>
              <w:ind w:left="100"/>
              <w:spacing w:after="0"/>
              <w:rPr>
                <w:sz w:val="20"/>
                <w:szCs w:val="20"/>
                <w:color w:val="auto"/>
              </w:rPr>
            </w:pPr>
            <w:r>
              <w:rPr>
                <w:rFonts w:ascii="Arial" w:cs="Arial" w:eastAsia="Arial" w:hAnsi="Arial"/>
                <w:sz w:val="11"/>
                <w:szCs w:val="11"/>
                <w:color w:val="auto"/>
              </w:rPr>
              <w:t>Amortization of net unrealized gains on securities transferred from</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6"/>
        </w:trPr>
        <w:tc>
          <w:tcPr>
            <w:tcW w:w="3820" w:type="dxa"/>
            <w:vAlign w:val="bottom"/>
          </w:tcPr>
          <w:p>
            <w:pPr>
              <w:ind w:left="100"/>
              <w:spacing w:after="0"/>
              <w:rPr>
                <w:sz w:val="20"/>
                <w:szCs w:val="20"/>
                <w:color w:val="auto"/>
              </w:rPr>
            </w:pPr>
            <w:r>
              <w:rPr>
                <w:rFonts w:ascii="Arial" w:cs="Arial" w:eastAsia="Arial" w:hAnsi="Arial"/>
                <w:sz w:val="11"/>
                <w:szCs w:val="11"/>
                <w:color w:val="auto"/>
              </w:rPr>
              <w:t>available-for-sale to held-to-maturity</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(gain) loss included in net income</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(249)</w:t>
            </w:r>
          </w:p>
        </w:tc>
      </w:tr>
      <w:tr>
        <w:trPr>
          <w:trHeight w:val="169"/>
        </w:trPr>
        <w:tc>
          <w:tcPr>
            <w:tcW w:w="3820" w:type="dxa"/>
            <w:vAlign w:val="bottom"/>
          </w:tcPr>
          <w:p>
            <w:pPr>
              <w:ind w:left="100"/>
              <w:spacing w:after="0"/>
              <w:rPr>
                <w:sz w:val="20"/>
                <w:szCs w:val="20"/>
                <w:color w:val="auto"/>
              </w:rPr>
            </w:pPr>
            <w:r>
              <w:rPr>
                <w:rFonts w:ascii="Arial" w:cs="Arial" w:eastAsia="Arial" w:hAnsi="Arial"/>
                <w:sz w:val="11"/>
                <w:szCs w:val="11"/>
                <w:color w:val="auto"/>
              </w:rPr>
              <w:t>Tax effect</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5,908</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11,697</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1,491</w:t>
            </w:r>
          </w:p>
        </w:tc>
        <w:tc>
          <w:tcPr>
            <w:tcW w:w="20" w:type="dxa"/>
            <w:vAlign w:val="bottom"/>
          </w:tcPr>
          <w:p>
            <w:pPr>
              <w:spacing w:after="0"/>
              <w:rPr>
                <w:sz w:val="14"/>
                <w:szCs w:val="14"/>
                <w:color w:val="auto"/>
              </w:rPr>
            </w:pPr>
          </w:p>
        </w:tc>
      </w:tr>
      <w:tr>
        <w:trPr>
          <w:trHeight w:val="131"/>
        </w:trPr>
        <w:tc>
          <w:tcPr>
            <w:tcW w:w="38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other comprehensive income (loss), net of tax</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(17,403)</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(34,345)</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(4,595)</w:t>
            </w:r>
          </w:p>
        </w:tc>
      </w:tr>
      <w:tr>
        <w:trPr>
          <w:trHeight w:val="20"/>
        </w:trPr>
        <w:tc>
          <w:tcPr>
            <w:tcW w:w="38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3820" w:type="dxa"/>
            <w:vAlign w:val="bottom"/>
          </w:tcPr>
          <w:p>
            <w:pPr>
              <w:spacing w:after="0"/>
              <w:rPr>
                <w:sz w:val="20"/>
                <w:szCs w:val="20"/>
                <w:color w:val="auto"/>
              </w:rPr>
            </w:pPr>
            <w:r>
              <w:rPr>
                <w:rFonts w:ascii="Arial" w:cs="Arial" w:eastAsia="Arial" w:hAnsi="Arial"/>
                <w:sz w:val="11"/>
                <w:szCs w:val="11"/>
                <w:color w:val="auto"/>
              </w:rPr>
              <w:t>Total comprehensive (loss)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(12,108)</w:t>
            </w:r>
          </w:p>
        </w:tc>
        <w:tc>
          <w:tcPr>
            <w:tcW w:w="40" w:type="dxa"/>
            <w:vAlign w:val="bottom"/>
          </w:tcPr>
          <w:p>
            <w:pPr>
              <w:spacing w:after="0"/>
              <w:rPr>
                <w:sz w:val="14"/>
                <w:szCs w:val="1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4,087</w:t>
            </w:r>
          </w:p>
        </w:tc>
        <w:tc>
          <w:tcPr>
            <w:tcW w:w="40" w:type="dxa"/>
            <w:vAlign w:val="bottom"/>
          </w:tcPr>
          <w:p>
            <w:pPr>
              <w:spacing w:after="0"/>
              <w:rPr>
                <w:sz w:val="14"/>
                <w:szCs w:val="1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(24,196)</w:t>
            </w:r>
          </w:p>
        </w:tc>
        <w:tc>
          <w:tcPr>
            <w:tcW w:w="260" w:type="dxa"/>
            <w:vAlign w:val="bottom"/>
            <w:gridSpan w:val="3"/>
          </w:tcPr>
          <w:p>
            <w:pPr>
              <w:jc w:val="right"/>
              <w:ind w:right="11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4,239</w:t>
            </w:r>
          </w:p>
        </w:tc>
        <w:tc>
          <w:tcPr>
            <w:tcW w:w="20" w:type="dxa"/>
            <w:vAlign w:val="bottom"/>
          </w:tcPr>
          <w:p>
            <w:pPr>
              <w:spacing w:after="0"/>
              <w:rPr>
                <w:sz w:val="14"/>
                <w:szCs w:val="14"/>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Changes in Stockholders’ Equity -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00" w:type="dxa"/>
            <w:vAlign w:val="bottom"/>
          </w:tcPr>
          <w:p>
            <w:pPr>
              <w:spacing w:after="0"/>
              <w:rPr>
                <w:sz w:val="12"/>
                <w:szCs w:val="12"/>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2"/>
                <w:szCs w:val="12"/>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83"/>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Additional Paid-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b w:val="1"/>
                <w:bCs w:val="1"/>
                <w:color w:val="auto"/>
                <w:w w:val="99"/>
              </w:rPr>
              <w:t>in Capital 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Accumulated</w:t>
            </w: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Comprehensive</w:t>
            </w:r>
          </w:p>
        </w:tc>
        <w:tc>
          <w:tcPr>
            <w:tcW w:w="60" w:type="dxa"/>
            <w:vAlign w:val="bottom"/>
          </w:tcPr>
          <w:p>
            <w:pPr>
              <w:spacing w:after="0"/>
              <w:rPr>
                <w:sz w:val="11"/>
                <w:szCs w:val="11"/>
                <w:color w:val="auto"/>
              </w:rPr>
            </w:pPr>
          </w:p>
        </w:tc>
        <w:tc>
          <w:tcPr>
            <w:tcW w:w="920" w:type="dxa"/>
            <w:vAlign w:val="bottom"/>
            <w:gridSpan w:val="2"/>
          </w:tcPr>
          <w:p>
            <w:pPr>
              <w:jc w:val="center"/>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40"/>
        </w:trPr>
        <w:tc>
          <w:tcPr>
            <w:tcW w:w="26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2"/>
                <w:szCs w:val="12"/>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Deficit</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Income (Loss)</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8"/>
        </w:trPr>
        <w:tc>
          <w:tcPr>
            <w:tcW w:w="2600" w:type="dxa"/>
            <w:vAlign w:val="bottom"/>
            <w:shd w:val="clear" w:color="auto" w:fill="CCEEFF"/>
          </w:tcPr>
          <w:p>
            <w:pPr>
              <w:spacing w:after="0"/>
              <w:rPr>
                <w:sz w:val="20"/>
                <w:szCs w:val="20"/>
                <w:color w:val="auto"/>
              </w:rPr>
            </w:pPr>
            <w:r>
              <w:rPr>
                <w:rFonts w:ascii="Arial" w:cs="Arial" w:eastAsia="Arial" w:hAnsi="Arial"/>
                <w:sz w:val="11"/>
                <w:szCs w:val="11"/>
                <w:color w:val="auto"/>
              </w:rPr>
              <w:t>Balance at April 1, 2022</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160" w:type="dxa"/>
            <w:vAlign w:val="bottom"/>
            <w:gridSpan w:val="2"/>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310,887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(119,391)</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(19,458)</w:t>
            </w:r>
          </w:p>
        </w:tc>
        <w:tc>
          <w:tcPr>
            <w:tcW w:w="180" w:type="dxa"/>
            <w:vAlign w:val="bottom"/>
            <w:gridSpan w:val="2"/>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192,039</w:t>
            </w:r>
          </w:p>
        </w:tc>
        <w:tc>
          <w:tcPr>
            <w:tcW w:w="0" w:type="dxa"/>
            <w:vAlign w:val="bottom"/>
          </w:tcPr>
          <w:p>
            <w:pPr>
              <w:spacing w:after="0"/>
              <w:rPr>
                <w:sz w:val="1"/>
                <w:szCs w:val="1"/>
                <w:color w:val="auto"/>
              </w:rPr>
            </w:pPr>
          </w:p>
        </w:tc>
      </w:tr>
      <w:tr>
        <w:trPr>
          <w:trHeight w:val="139"/>
        </w:trPr>
        <w:tc>
          <w:tcPr>
            <w:tcW w:w="26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5,295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5,295</w:t>
            </w: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(17,403)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(17,403)</w:t>
            </w:r>
          </w:p>
        </w:tc>
        <w:tc>
          <w:tcPr>
            <w:tcW w:w="0" w:type="dxa"/>
            <w:vAlign w:val="bottom"/>
          </w:tcPr>
          <w:p>
            <w:pPr>
              <w:spacing w:after="0"/>
              <w:rPr>
                <w:sz w:val="1"/>
                <w:szCs w:val="1"/>
                <w:color w:val="auto"/>
              </w:rPr>
            </w:pPr>
          </w:p>
        </w:tc>
      </w:tr>
      <w:tr>
        <w:trPr>
          <w:trHeight w:val="140"/>
        </w:trPr>
        <w:tc>
          <w:tcPr>
            <w:tcW w:w="260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28"/>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June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311,024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(114,096)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(36,861)</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180,068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rPr>
                <w:sz w:val="20"/>
                <w:szCs w:val="20"/>
                <w:color w:val="auto"/>
              </w:rPr>
            </w:pPr>
            <w:r>
              <w:rPr>
                <w:rFonts w:ascii="Arial" w:cs="Arial" w:eastAsia="Arial" w:hAnsi="Arial"/>
                <w:sz w:val="11"/>
                <w:szCs w:val="11"/>
                <w:color w:val="auto"/>
              </w:rPr>
              <w:t>Balance at April 1, 2021</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12,350,879</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32,077</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10,010,521</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10,010</w:t>
            </w:r>
          </w:p>
        </w:tc>
        <w:tc>
          <w:tcPr>
            <w:tcW w:w="160" w:type="dxa"/>
            <w:vAlign w:val="bottom"/>
            <w:gridSpan w:val="2"/>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177,808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(49,622)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180" w:type="dxa"/>
            <w:vAlign w:val="bottom"/>
            <w:gridSpan w:val="2"/>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170,425</w:t>
            </w:r>
          </w:p>
        </w:tc>
        <w:tc>
          <w:tcPr>
            <w:tcW w:w="0" w:type="dxa"/>
            <w:vAlign w:val="bottom"/>
          </w:tcPr>
          <w:p>
            <w:pPr>
              <w:spacing w:after="0"/>
              <w:rPr>
                <w:sz w:val="1"/>
                <w:szCs w:val="1"/>
                <w:color w:val="auto"/>
              </w:rPr>
            </w:pPr>
          </w:p>
        </w:tc>
      </w:tr>
      <w:tr>
        <w:trPr>
          <w:trHeight w:val="139"/>
        </w:trPr>
        <w:tc>
          <w:tcPr>
            <w:tcW w:w="26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4,053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4,053</w:t>
            </w: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39"/>
        </w:trPr>
        <w:tc>
          <w:tcPr>
            <w:tcW w:w="2600" w:type="dxa"/>
            <w:vAlign w:val="bottom"/>
          </w:tcPr>
          <w:p>
            <w:pPr>
              <w:ind w:left="100"/>
              <w:spacing w:after="0"/>
              <w:rPr>
                <w:sz w:val="20"/>
                <w:szCs w:val="20"/>
                <w:color w:val="auto"/>
              </w:rPr>
            </w:pPr>
            <w:r>
              <w:rPr>
                <w:rFonts w:ascii="Arial" w:cs="Arial" w:eastAsia="Arial" w:hAnsi="Arial"/>
                <w:sz w:val="11"/>
                <w:szCs w:val="11"/>
                <w:color w:val="auto"/>
              </w:rPr>
              <w:t>Dividends - preferred stock</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(754)</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(754)</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Preferred stock repurchase</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(7,461)</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(39)</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w:t>
            </w:r>
          </w:p>
        </w:tc>
        <w:tc>
          <w:tcPr>
            <w:tcW w:w="0" w:type="dxa"/>
            <w:vAlign w:val="bottom"/>
          </w:tcPr>
          <w:p>
            <w:pPr>
              <w:spacing w:after="0"/>
              <w:rPr>
                <w:sz w:val="1"/>
                <w:szCs w:val="1"/>
                <w:color w:val="auto"/>
              </w:rPr>
            </w:pPr>
          </w:p>
        </w:tc>
      </w:tr>
      <w:tr>
        <w:trPr>
          <w:trHeight w:val="129"/>
        </w:trPr>
        <w:tc>
          <w:tcPr>
            <w:tcW w:w="26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28"/>
        </w:trPr>
        <w:tc>
          <w:tcPr>
            <w:tcW w:w="2600" w:type="dxa"/>
            <w:vAlign w:val="bottom"/>
            <w:shd w:val="clear" w:color="auto" w:fill="CCEEFF"/>
          </w:tcPr>
          <w:p>
            <w:pPr>
              <w:spacing w:after="0"/>
              <w:rPr>
                <w:sz w:val="20"/>
                <w:szCs w:val="20"/>
                <w:color w:val="auto"/>
              </w:rPr>
            </w:pPr>
            <w:r>
              <w:rPr>
                <w:rFonts w:ascii="Arial" w:cs="Arial" w:eastAsia="Arial" w:hAnsi="Arial"/>
                <w:sz w:val="11"/>
                <w:szCs w:val="11"/>
                <w:color w:val="auto"/>
              </w:rPr>
              <w:t>Balance at 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12,343,379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24,616</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10,010,521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177,852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(46,362)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180" w:type="dxa"/>
            <w:vAlign w:val="bottom"/>
            <w:gridSpan w:val="2"/>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166,302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600" w:type="dxa"/>
            <w:vAlign w:val="bottom"/>
            <w:tcBorders>
              <w:bottom w:val="single" w:sz="8" w:color="auto"/>
            </w:tcBorders>
          </w:tcPr>
          <w:p>
            <w:pPr>
              <w:spacing w:after="0"/>
              <w:rPr>
                <w:sz w:val="4"/>
                <w:szCs w:val="4"/>
                <w:color w:val="auto"/>
              </w:rPr>
            </w:pPr>
          </w:p>
        </w:tc>
        <w:tc>
          <w:tcPr>
            <w:tcW w:w="178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4"/>
                <w:szCs w:val="4"/>
                <w:color w:val="auto"/>
              </w:rPr>
            </w:pPr>
          </w:p>
        </w:tc>
        <w:tc>
          <w:tcPr>
            <w:tcW w:w="178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83"/>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Additional Paid-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b w:val="1"/>
                <w:bCs w:val="1"/>
                <w:color w:val="auto"/>
                <w:w w:val="99"/>
              </w:rPr>
              <w:t>in Capital 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Accumulated</w:t>
            </w:r>
          </w:p>
        </w:tc>
        <w:tc>
          <w:tcPr>
            <w:tcW w:w="104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Comprehensive</w:t>
            </w:r>
          </w:p>
        </w:tc>
        <w:tc>
          <w:tcPr>
            <w:tcW w:w="60" w:type="dxa"/>
            <w:vAlign w:val="bottom"/>
          </w:tcPr>
          <w:p>
            <w:pPr>
              <w:spacing w:after="0"/>
              <w:rPr>
                <w:sz w:val="11"/>
                <w:szCs w:val="11"/>
                <w:color w:val="auto"/>
              </w:rPr>
            </w:pPr>
          </w:p>
        </w:tc>
        <w:tc>
          <w:tcPr>
            <w:tcW w:w="920" w:type="dxa"/>
            <w:vAlign w:val="bottom"/>
            <w:gridSpan w:val="2"/>
          </w:tcPr>
          <w:p>
            <w:pPr>
              <w:jc w:val="center"/>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9"/>
        </w:trPr>
        <w:tc>
          <w:tcPr>
            <w:tcW w:w="2600" w:type="dxa"/>
            <w:vAlign w:val="bottom"/>
          </w:tcPr>
          <w:p>
            <w:pPr>
              <w:spacing w:after="0"/>
              <w:rPr>
                <w:sz w:val="12"/>
                <w:szCs w:val="12"/>
                <w:color w:val="auto"/>
              </w:rPr>
            </w:pPr>
          </w:p>
        </w:tc>
        <w:tc>
          <w:tcPr>
            <w:tcW w:w="800" w:type="dxa"/>
            <w:vAlign w:val="bottom"/>
          </w:tcPr>
          <w:p>
            <w:pPr>
              <w:jc w:val="right"/>
              <w:ind w:right="143"/>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2"/>
                <w:szCs w:val="12"/>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Income (Loss)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9"/>
        </w:trPr>
        <w:tc>
          <w:tcPr>
            <w:tcW w:w="2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Balance at January 1, 2022</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19,991,753</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19,992</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310,666</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(124,245)</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(2,516)</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139"/>
        </w:trPr>
        <w:tc>
          <w:tcPr>
            <w:tcW w:w="26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7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10,149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ind w:left="8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10,149</w:t>
            </w: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(34,345)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(34,345)</w:t>
            </w:r>
          </w:p>
        </w:tc>
        <w:tc>
          <w:tcPr>
            <w:tcW w:w="0" w:type="dxa"/>
            <w:vAlign w:val="bottom"/>
          </w:tcPr>
          <w:p>
            <w:pPr>
              <w:spacing w:after="0"/>
              <w:rPr>
                <w:sz w:val="1"/>
                <w:szCs w:val="1"/>
                <w:color w:val="auto"/>
              </w:rPr>
            </w:pPr>
          </w:p>
        </w:tc>
      </w:tr>
      <w:tr>
        <w:trPr>
          <w:trHeight w:val="139"/>
        </w:trPr>
        <w:tc>
          <w:tcPr>
            <w:tcW w:w="2600" w:type="dxa"/>
            <w:vAlign w:val="bottom"/>
          </w:tcPr>
          <w:p>
            <w:pPr>
              <w:ind w:left="140"/>
              <w:spacing w:after="0"/>
              <w:rPr>
                <w:sz w:val="20"/>
                <w:szCs w:val="20"/>
                <w:color w:val="auto"/>
              </w:rPr>
            </w:pPr>
            <w:r>
              <w:rPr>
                <w:rFonts w:ascii="Arial" w:cs="Arial" w:eastAsia="Arial" w:hAnsi="Arial"/>
                <w:sz w:val="11"/>
                <w:szCs w:val="11"/>
                <w:color w:val="auto"/>
              </w:rPr>
              <w:t>Exercise of stock options</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7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9,000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93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ind w:left="8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265</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169"/>
        </w:trPr>
        <w:tc>
          <w:tcPr>
            <w:tcW w:w="2600" w:type="dxa"/>
            <w:vAlign w:val="bottom"/>
          </w:tcPr>
          <w:p>
            <w:pPr>
              <w:ind w:left="40"/>
              <w:spacing w:after="0"/>
              <w:rPr>
                <w:sz w:val="20"/>
                <w:szCs w:val="20"/>
                <w:color w:val="auto"/>
              </w:rPr>
            </w:pPr>
            <w:r>
              <w:rPr>
                <w:rFonts w:ascii="Arial" w:cs="Arial" w:eastAsia="Arial" w:hAnsi="Arial"/>
                <w:sz w:val="11"/>
                <w:szCs w:val="11"/>
                <w:color w:val="auto"/>
              </w:rPr>
              <w:t>Balance at June 30, 2022</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ind w:left="7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20,000,753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20,001</w:t>
            </w:r>
          </w:p>
        </w:tc>
        <w:tc>
          <w:tcPr>
            <w:tcW w:w="160" w:type="dxa"/>
            <w:vAlign w:val="bottom"/>
            <w:gridSpan w:val="2"/>
          </w:tcPr>
          <w:p>
            <w:pPr>
              <w:ind w:left="80"/>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311,024</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(114,096)</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(36,861)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180,068</w:t>
            </w:r>
          </w:p>
        </w:tc>
        <w:tc>
          <w:tcPr>
            <w:tcW w:w="0" w:type="dxa"/>
            <w:vAlign w:val="bottom"/>
          </w:tcPr>
          <w:p>
            <w:pPr>
              <w:spacing w:after="0"/>
              <w:rPr>
                <w:sz w:val="1"/>
                <w:szCs w:val="1"/>
                <w:color w:val="auto"/>
              </w:rPr>
            </w:pPr>
          </w:p>
        </w:tc>
      </w:tr>
      <w:tr>
        <w:trPr>
          <w:trHeight w:val="79"/>
        </w:trPr>
        <w:tc>
          <w:tcPr>
            <w:tcW w:w="26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9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40"/>
              <w:spacing w:after="0"/>
              <w:rPr>
                <w:sz w:val="20"/>
                <w:szCs w:val="20"/>
                <w:color w:val="auto"/>
              </w:rPr>
            </w:pPr>
            <w:r>
              <w:rPr>
                <w:rFonts w:ascii="Arial" w:cs="Arial" w:eastAsia="Arial" w:hAnsi="Arial"/>
                <w:sz w:val="11"/>
                <w:szCs w:val="11"/>
                <w:color w:val="auto"/>
              </w:rPr>
              <w:t>Balance at January 1, 2021</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12,350,879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32,077</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10,010,521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10,010</w:t>
            </w:r>
          </w:p>
        </w:tc>
        <w:tc>
          <w:tcPr>
            <w:tcW w:w="160" w:type="dxa"/>
            <w:vAlign w:val="bottom"/>
            <w:gridSpan w:val="2"/>
          </w:tcPr>
          <w:p>
            <w:pPr>
              <w:ind w:left="80"/>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177,755</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(53,622)</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4,781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171,001</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8,834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8,834</w:t>
            </w:r>
          </w:p>
        </w:tc>
        <w:tc>
          <w:tcPr>
            <w:tcW w:w="0" w:type="dxa"/>
            <w:vAlign w:val="bottom"/>
          </w:tcPr>
          <w:p>
            <w:pPr>
              <w:spacing w:after="0"/>
              <w:rPr>
                <w:sz w:val="1"/>
                <w:szCs w:val="1"/>
                <w:color w:val="auto"/>
              </w:rPr>
            </w:pPr>
          </w:p>
        </w:tc>
      </w:tr>
      <w:tr>
        <w:trPr>
          <w:trHeight w:val="139"/>
        </w:trPr>
        <w:tc>
          <w:tcPr>
            <w:tcW w:w="2600" w:type="dxa"/>
            <w:vAlign w:val="bottom"/>
          </w:tcPr>
          <w:p>
            <w:pPr>
              <w:ind w:left="140"/>
              <w:spacing w:after="0"/>
              <w:rPr>
                <w:sz w:val="20"/>
                <w:szCs w:val="20"/>
                <w:color w:val="auto"/>
              </w:rPr>
            </w:pPr>
            <w:r>
              <w:rPr>
                <w:rFonts w:ascii="Arial" w:cs="Arial" w:eastAsia="Arial" w:hAnsi="Arial"/>
                <w:sz w:val="11"/>
                <w:szCs w:val="11"/>
                <w:color w:val="auto"/>
              </w:rPr>
              <w:t>Other comprehensive loss</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7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(4,595)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(4,595)</w:t>
            </w: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 - preferred stock</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(1,535)</w:t>
            </w:r>
          </w:p>
        </w:tc>
        <w:tc>
          <w:tcPr>
            <w:tcW w:w="0" w:type="dxa"/>
            <w:vAlign w:val="bottom"/>
          </w:tcPr>
          <w:p>
            <w:pPr>
              <w:spacing w:after="0"/>
              <w:rPr>
                <w:sz w:val="1"/>
                <w:szCs w:val="1"/>
                <w:color w:val="auto"/>
              </w:rPr>
            </w:pPr>
          </w:p>
        </w:tc>
      </w:tr>
      <w:tr>
        <w:trPr>
          <w:trHeight w:val="149"/>
        </w:trPr>
        <w:tc>
          <w:tcPr>
            <w:tcW w:w="2600" w:type="dxa"/>
            <w:vAlign w:val="bottom"/>
          </w:tcPr>
          <w:p>
            <w:pPr>
              <w:ind w:left="140"/>
              <w:spacing w:after="0"/>
              <w:rPr>
                <w:sz w:val="20"/>
                <w:szCs w:val="20"/>
                <w:color w:val="auto"/>
              </w:rPr>
            </w:pPr>
            <w:r>
              <w:rPr>
                <w:rFonts w:ascii="Arial" w:cs="Arial" w:eastAsia="Arial" w:hAnsi="Arial"/>
                <w:sz w:val="11"/>
                <w:szCs w:val="11"/>
                <w:color w:val="auto"/>
              </w:rPr>
              <w:t>Preferred stock repurchase</w:t>
            </w:r>
          </w:p>
        </w:tc>
        <w:tc>
          <w:tcPr>
            <w:tcW w:w="800" w:type="dxa"/>
            <w:vAlign w:val="bottom"/>
          </w:tcPr>
          <w:p>
            <w:pPr>
              <w:jc w:val="right"/>
              <w:spacing w:after="0"/>
              <w:rPr>
                <w:sz w:val="20"/>
                <w:szCs w:val="20"/>
                <w:color w:val="auto"/>
              </w:rPr>
            </w:pPr>
            <w:r>
              <w:rPr>
                <w:rFonts w:ascii="Arial" w:cs="Arial" w:eastAsia="Arial" w:hAnsi="Arial"/>
                <w:sz w:val="11"/>
                <w:szCs w:val="11"/>
                <w:color w:val="auto"/>
              </w:rPr>
              <w:t>(7,500)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(7,461)</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ind w:left="8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(7,500)</w:t>
            </w:r>
          </w:p>
        </w:tc>
        <w:tc>
          <w:tcPr>
            <w:tcW w:w="0" w:type="dxa"/>
            <w:vAlign w:val="bottom"/>
          </w:tcPr>
          <w:p>
            <w:pPr>
              <w:spacing w:after="0"/>
              <w:rPr>
                <w:sz w:val="1"/>
                <w:szCs w:val="1"/>
                <w:color w:val="auto"/>
              </w:rPr>
            </w:pPr>
          </w:p>
        </w:tc>
      </w:tr>
      <w:tr>
        <w:trPr>
          <w:trHeight w:val="128"/>
        </w:trPr>
        <w:tc>
          <w:tcPr>
            <w:tcW w:w="2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97</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29"/>
        </w:trPr>
        <w:tc>
          <w:tcPr>
            <w:tcW w:w="2600" w:type="dxa"/>
            <w:vAlign w:val="bottom"/>
          </w:tcPr>
          <w:p>
            <w:pPr>
              <w:ind w:left="40"/>
              <w:spacing w:after="0"/>
              <w:rPr>
                <w:sz w:val="20"/>
                <w:szCs w:val="20"/>
                <w:color w:val="auto"/>
              </w:rPr>
            </w:pPr>
            <w:r>
              <w:rPr>
                <w:rFonts w:ascii="Arial" w:cs="Arial" w:eastAsia="Arial" w:hAnsi="Arial"/>
                <w:sz w:val="11"/>
                <w:szCs w:val="11"/>
                <w:color w:val="auto"/>
              </w:rPr>
              <w:t>Balance at June 30, 2021</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12,343,379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24,616</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10,010,521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10,010</w:t>
            </w:r>
          </w:p>
        </w:tc>
        <w:tc>
          <w:tcPr>
            <w:tcW w:w="160" w:type="dxa"/>
            <w:vAlign w:val="bottom"/>
            <w:gridSpan w:val="2"/>
          </w:tcPr>
          <w:p>
            <w:pPr>
              <w:ind w:left="80"/>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177,852</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(46,362)</w:t>
            </w:r>
          </w:p>
        </w:tc>
        <w:tc>
          <w:tcPr>
            <w:tcW w:w="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186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166,302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600" w:type="dxa"/>
            <w:vAlign w:val="bottom"/>
            <w:tcBorders>
              <w:bottom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tabs>
          <w:tab w:leader="none" w:pos="260" w:val="left"/>
          <w:tab w:leader="none" w:pos="1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10240"/>
          </w:cols>
          <w:pgMar w:left="900" w:top="491" w:right="759"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1"/>
                <w:szCs w:val="11"/>
                <w:b w:val="1"/>
                <w:bCs w:val="1"/>
                <w:color w:val="auto"/>
              </w:rPr>
              <w:t>Six Months Ended June 30,</w:t>
            </w:r>
          </w:p>
        </w:tc>
        <w:tc>
          <w:tcPr>
            <w:tcW w:w="20" w:type="dxa"/>
            <w:vAlign w:val="bottom"/>
          </w:tcPr>
          <w:p>
            <w:pPr>
              <w:spacing w:after="0"/>
              <w:rPr>
                <w:sz w:val="12"/>
                <w:szCs w:val="12"/>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107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CCEEFF"/>
            </w:tcBorders>
          </w:tcPr>
          <w:p>
            <w:pPr>
              <w:spacing w:after="0"/>
              <w:rPr>
                <w:sz w:val="12"/>
                <w:szCs w:val="12"/>
                <w:color w:val="auto"/>
              </w:rPr>
            </w:pPr>
          </w:p>
        </w:tc>
      </w:tr>
      <w:tr>
        <w:trPr>
          <w:trHeight w:val="140"/>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10,149</w:t>
            </w:r>
          </w:p>
        </w:tc>
        <w:tc>
          <w:tcPr>
            <w:tcW w:w="17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8,834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20"/>
              <w:spacing w:after="0"/>
              <w:rPr>
                <w:sz w:val="20"/>
                <w:szCs w:val="20"/>
                <w:color w:val="auto"/>
              </w:rPr>
            </w:pPr>
            <w:r>
              <w:rPr>
                <w:rFonts w:ascii="Arial" w:cs="Arial" w:eastAsia="Arial" w:hAnsi="Arial"/>
                <w:sz w:val="11"/>
                <w:szCs w:val="11"/>
                <w:color w:val="auto"/>
              </w:rPr>
              <w:t>Provision for credit 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705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(160)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Depreciation and amortization</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363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20"/>
              <w:spacing w:after="0"/>
              <w:rPr>
                <w:sz w:val="20"/>
                <w:szCs w:val="20"/>
                <w:color w:val="auto"/>
              </w:rPr>
            </w:pPr>
            <w:r>
              <w:rPr>
                <w:rFonts w:ascii="Arial" w:cs="Arial" w:eastAsia="Arial" w:hAnsi="Arial"/>
                <w:sz w:val="11"/>
                <w:szCs w:val="11"/>
                <w:color w:val="auto"/>
              </w:rPr>
              <w:t>Amortization of premiums on securities,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306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192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Accretion of deferred loan fees,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20"/>
              <w:spacing w:after="0"/>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265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Gain on sale of available for sale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20"/>
              <w:spacing w:after="0"/>
              <w:rPr>
                <w:sz w:val="20"/>
                <w:szCs w:val="20"/>
                <w:color w:val="auto"/>
              </w:rPr>
            </w:pPr>
            <w:r>
              <w:rPr>
                <w:rFonts w:ascii="Arial" w:cs="Arial" w:eastAsia="Arial" w:hAnsi="Arial"/>
                <w:sz w:val="11"/>
                <w:szCs w:val="11"/>
                <w:color w:val="auto"/>
              </w:rPr>
              <w:t>Gain on sale of loans held for sale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(987)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Increase in cash surrender value of bank owned life insurance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20"/>
              <w:spacing w:after="0"/>
              <w:rPr>
                <w:sz w:val="20"/>
                <w:szCs w:val="20"/>
                <w:color w:val="auto"/>
              </w:rPr>
            </w:pPr>
            <w:r>
              <w:rPr>
                <w:rFonts w:ascii="Arial" w:cs="Arial" w:eastAsia="Arial" w:hAnsi="Arial"/>
                <w:sz w:val="11"/>
                <w:szCs w:val="11"/>
                <w:color w:val="auto"/>
              </w:rPr>
              <w:t>Decrease in deferred tax asset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3,567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2,760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change in operating assets and 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20"/>
              <w:spacing w:after="0"/>
              <w:rPr>
                <w:sz w:val="20"/>
                <w:szCs w:val="20"/>
                <w:color w:val="auto"/>
              </w:rPr>
            </w:pPr>
            <w:r>
              <w:rPr>
                <w:rFonts w:ascii="Arial" w:cs="Arial" w:eastAsia="Arial" w:hAnsi="Arial"/>
                <w:sz w:val="11"/>
                <w:szCs w:val="11"/>
                <w:color w:val="auto"/>
              </w:rPr>
              <w:t>Accrued interest receivable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(65)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8,246</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07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6,001</w:t>
            </w:r>
          </w:p>
        </w:tc>
        <w:tc>
          <w:tcPr>
            <w:tcW w:w="20" w:type="dxa"/>
            <w:vAlign w:val="bottom"/>
          </w:tcPr>
          <w:p>
            <w:pPr>
              <w:spacing w:after="0"/>
              <w:rPr>
                <w:sz w:val="13"/>
                <w:szCs w:val="13"/>
                <w:color w:val="auto"/>
              </w:rPr>
            </w:pPr>
          </w:p>
        </w:tc>
      </w:tr>
      <w:tr>
        <w:trPr>
          <w:trHeight w:val="140"/>
        </w:trPr>
        <w:tc>
          <w:tcPr>
            <w:tcW w:w="52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Net cash provided by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20,105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13,851</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investing activities: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Purchase of investment securities held to maturity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(2,432)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8,173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Purchase of investment securities available for sale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(42,794)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(138,937)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26,950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28,159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Proceeds from sales of investment securities available for sale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31,838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43,266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increase in loans held for investment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(115,607)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(68,609)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Purchase of loans held for investment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(70,175)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(44,868)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Additions to premises and equipment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Proceeds from the sale of loans held for sale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4,018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9,811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the redemption of Federal Home Loan Bank stock</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Purchase of Federal Home Loan Bank stock</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07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40"/>
        </w:trPr>
        <w:tc>
          <w:tcPr>
            <w:tcW w:w="52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cash used in investment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(161,504)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(170,807)</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Proceeds from issuance of Class A common stock,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102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 paid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Redemption of Preferred stock Class 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jc w:val="right"/>
              <w:spacing w:after="0"/>
              <w:rPr>
                <w:sz w:val="20"/>
                <w:szCs w:val="20"/>
                <w:color w:val="auto"/>
              </w:rPr>
            </w:pPr>
            <w:r>
              <w:rPr>
                <w:rFonts w:ascii="Arial" w:cs="Arial" w:eastAsia="Arial" w:hAnsi="Arial"/>
                <w:sz w:val="11"/>
                <w:szCs w:val="11"/>
                <w:color w:val="auto"/>
              </w:rPr>
              <w:t>(7,500)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increase in deposits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148,341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165,374</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Proceeds from Federal Home Loan Bank advances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30,000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07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40"/>
        </w:trPr>
        <w:tc>
          <w:tcPr>
            <w:tcW w:w="52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cash provided by financing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178,443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7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156,339</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increase in cash and cash equivalents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37,044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Cash and cash equivalents at beginning of period</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46,228</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07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47,734</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Cash and cash equivalents at end of period</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83,272</w:t>
            </w:r>
          </w:p>
        </w:tc>
        <w:tc>
          <w:tcPr>
            <w:tcW w:w="60" w:type="dxa"/>
            <w:vAlign w:val="bottom"/>
            <w:gridSpan w:val="2"/>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7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47,117</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1"/>
        </w:trPr>
        <w:tc>
          <w:tcPr>
            <w:tcW w:w="5240" w:type="dxa"/>
            <w:vAlign w:val="bottom"/>
          </w:tcPr>
          <w:p>
            <w:pPr>
              <w:ind w:left="140"/>
              <w:spacing w:after="0"/>
              <w:rPr>
                <w:sz w:val="20"/>
                <w:szCs w:val="20"/>
                <w:color w:val="auto"/>
              </w:rPr>
            </w:pPr>
            <w:r>
              <w:rPr>
                <w:rFonts w:ascii="Arial" w:cs="Arial" w:eastAsia="Arial" w:hAnsi="Arial"/>
                <w:sz w:val="11"/>
                <w:szCs w:val="11"/>
                <w:color w:val="auto"/>
              </w:rPr>
              <w:t>Interest paid</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2,002</w:t>
            </w:r>
          </w:p>
        </w:tc>
        <w:tc>
          <w:tcPr>
            <w:tcW w:w="17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070" w:type="dxa"/>
            <w:vAlign w:val="bottom"/>
          </w:tcPr>
          <w:p>
            <w:pPr>
              <w:jc w:val="right"/>
              <w:ind w:right="3"/>
              <w:spacing w:after="0"/>
              <w:rPr>
                <w:sz w:val="20"/>
                <w:szCs w:val="20"/>
                <w:color w:val="auto"/>
              </w:rPr>
            </w:pPr>
            <w:r>
              <w:rPr>
                <w:rFonts w:ascii="Arial" w:cs="Arial" w:eastAsia="Arial" w:hAnsi="Arial"/>
                <w:sz w:val="11"/>
                <w:szCs w:val="11"/>
                <w:color w:val="auto"/>
              </w:rPr>
              <w:t>2,359</w:t>
            </w:r>
          </w:p>
        </w:tc>
        <w:tc>
          <w:tcPr>
            <w:tcW w:w="20" w:type="dxa"/>
            <w:vAlign w:val="bottom"/>
          </w:tcPr>
          <w:p>
            <w:pPr>
              <w:spacing w:after="0"/>
              <w:rPr>
                <w:sz w:val="18"/>
                <w:szCs w:val="18"/>
                <w:color w:val="auto"/>
              </w:rPr>
            </w:pPr>
          </w:p>
        </w:tc>
      </w:tr>
      <w:tr>
        <w:trPr>
          <w:trHeight w:val="111"/>
        </w:trPr>
        <w:tc>
          <w:tcPr>
            <w:tcW w:w="52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10" w:type="dxa"/>
            <w:vAlign w:val="bottom"/>
            <w:tcBorders>
              <w:top w:val="single" w:sz="8" w:color="auto"/>
            </w:tcBorders>
            <w:shd w:val="clear" w:color="auto" w:fill="CCEEFF"/>
          </w:tcPr>
          <w:p>
            <w:pPr>
              <w:spacing w:after="0"/>
              <w:rPr>
                <w:sz w:val="9"/>
                <w:szCs w:val="9"/>
                <w:color w:val="auto"/>
              </w:rPr>
            </w:pPr>
          </w:p>
        </w:tc>
        <w:tc>
          <w:tcPr>
            <w:tcW w:w="107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0"/>
        </w:trPr>
        <w:tc>
          <w:tcPr>
            <w:tcW w:w="5240" w:type="dxa"/>
            <w:vAlign w:val="bottom"/>
          </w:tcPr>
          <w:p>
            <w:pPr>
              <w:ind w:left="40"/>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Transfer of loans held for investment to loans held for sale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3,662</w:t>
            </w:r>
          </w:p>
        </w:tc>
        <w:tc>
          <w:tcPr>
            <w:tcW w:w="60" w:type="dxa"/>
            <w:vAlign w:val="bottom"/>
            <w:gridSpan w:val="2"/>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7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8,824</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5240" w:type="dxa"/>
            <w:vAlign w:val="bottom"/>
          </w:tcPr>
          <w:p>
            <w:pPr>
              <w:ind w:left="140"/>
              <w:spacing w:after="0" w:line="122" w:lineRule="exact"/>
              <w:rPr>
                <w:sz w:val="20"/>
                <w:szCs w:val="20"/>
                <w:color w:val="auto"/>
              </w:rPr>
            </w:pPr>
            <w:r>
              <w:rPr>
                <w:rFonts w:ascii="Arial" w:cs="Arial" w:eastAsia="Arial" w:hAnsi="Arial"/>
                <w:sz w:val="11"/>
                <w:szCs w:val="11"/>
                <w:color w:val="auto"/>
              </w:rPr>
              <w:t>Transfer of premises and equipment to assets held for sale</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23"/>
              <w:spacing w:after="0" w:line="122" w:lineRule="exact"/>
              <w:rPr>
                <w:sz w:val="20"/>
                <w:szCs w:val="20"/>
                <w:color w:val="auto"/>
              </w:rPr>
            </w:pPr>
            <w:r>
              <w:rPr>
                <w:rFonts w:ascii="Arial" w:cs="Arial" w:eastAsia="Arial" w:hAnsi="Arial"/>
                <w:sz w:val="11"/>
                <w:szCs w:val="11"/>
                <w:color w:val="auto"/>
              </w:rPr>
              <w:t>-</w:t>
            </w:r>
          </w:p>
        </w:tc>
        <w:tc>
          <w:tcPr>
            <w:tcW w:w="17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w:t>
            </w:r>
          </w:p>
        </w:tc>
        <w:tc>
          <w:tcPr>
            <w:tcW w:w="1070" w:type="dxa"/>
            <w:vAlign w:val="bottom"/>
          </w:tcPr>
          <w:p>
            <w:pPr>
              <w:jc w:val="right"/>
              <w:ind w:right="3"/>
              <w:spacing w:after="0" w:line="122" w:lineRule="exact"/>
              <w:rPr>
                <w:sz w:val="20"/>
                <w:szCs w:val="20"/>
                <w:color w:val="auto"/>
              </w:rPr>
            </w:pPr>
            <w:r>
              <w:rPr>
                <w:rFonts w:ascii="Arial" w:cs="Arial" w:eastAsia="Arial" w:hAnsi="Arial"/>
                <w:sz w:val="11"/>
                <w:szCs w:val="11"/>
                <w:color w:val="auto"/>
              </w:rPr>
              <w:t>656</w:t>
            </w:r>
          </w:p>
        </w:tc>
        <w:tc>
          <w:tcPr>
            <w:tcW w:w="20" w:type="dxa"/>
            <w:vAlign w:val="bottom"/>
          </w:tcPr>
          <w:p>
            <w:pPr>
              <w:spacing w:after="0"/>
              <w:rPr>
                <w:sz w:val="14"/>
                <w:szCs w:val="14"/>
                <w:color w:val="auto"/>
              </w:rPr>
            </w:pPr>
          </w:p>
        </w:tc>
      </w:tr>
      <w:tr>
        <w:trPr>
          <w:trHeight w:val="121"/>
        </w:trPr>
        <w:tc>
          <w:tcPr>
            <w:tcW w:w="5240" w:type="dxa"/>
            <w:vAlign w:val="bottom"/>
            <w:tcBorders>
              <w:top w:val="single" w:sz="8" w:color="CCEEFF"/>
            </w:tcBorders>
            <w:shd w:val="clear" w:color="auto" w:fill="CCEEFF"/>
          </w:tcPr>
          <w:p>
            <w:pPr>
              <w:ind w:left="140"/>
              <w:spacing w:after="0" w:line="122" w:lineRule="exact"/>
              <w:rPr>
                <w:sz w:val="20"/>
                <w:szCs w:val="20"/>
                <w:color w:val="auto"/>
              </w:rPr>
            </w:pPr>
            <w:r>
              <w:rPr>
                <w:rFonts w:ascii="Arial" w:cs="Arial" w:eastAsia="Arial" w:hAnsi="Arial"/>
                <w:sz w:val="11"/>
                <w:szCs w:val="11"/>
                <w:color w:val="auto"/>
              </w:rPr>
              <w:t>Lease liability arising from obtaining right-of-use assets</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1060" w:type="dxa"/>
            <w:vAlign w:val="bottom"/>
            <w:tcBorders>
              <w:top w:val="single" w:sz="8" w:color="auto"/>
              <w:bottom w:val="single" w:sz="8" w:color="auto"/>
            </w:tcBorders>
            <w:shd w:val="clear" w:color="auto" w:fill="CCEEFF"/>
          </w:tcPr>
          <w:p>
            <w:pPr>
              <w:jc w:val="right"/>
              <w:ind w:right="23"/>
              <w:spacing w:after="0" w:line="122" w:lineRule="exact"/>
              <w:rPr>
                <w:sz w:val="20"/>
                <w:szCs w:val="20"/>
                <w:color w:val="auto"/>
              </w:rPr>
            </w:pPr>
            <w:r>
              <w:rPr>
                <w:rFonts w:ascii="Arial" w:cs="Arial" w:eastAsia="Arial" w:hAnsi="Arial"/>
                <w:sz w:val="11"/>
                <w:szCs w:val="11"/>
                <w:color w:val="auto"/>
              </w:rPr>
              <w:t>898</w:t>
            </w:r>
          </w:p>
        </w:tc>
        <w:tc>
          <w:tcPr>
            <w:tcW w:w="60" w:type="dxa"/>
            <w:vAlign w:val="bottom"/>
            <w:tcBorders>
              <w:top w:val="single" w:sz="8" w:color="CCEEFF"/>
            </w:tcBorders>
            <w:gridSpan w:val="2"/>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1070" w:type="dxa"/>
            <w:vAlign w:val="bottom"/>
            <w:tcBorders>
              <w:top w:val="single" w:sz="8" w:color="auto"/>
              <w:bottom w:val="single" w:sz="8" w:color="auto"/>
            </w:tcBorders>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1020" w:hanging="378"/>
        <w:spacing w:after="0"/>
        <w:tabs>
          <w:tab w:leader="none" w:pos="102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45" w:lineRule="exact"/>
        <w:rPr>
          <w:sz w:val="20"/>
          <w:szCs w:val="20"/>
          <w:color w:val="auto"/>
        </w:rPr>
      </w:pPr>
    </w:p>
    <w:p>
      <w:pPr>
        <w:jc w:val="both"/>
        <w:ind w:left="640" w:right="659" w:firstLine="256"/>
        <w:spacing w:after="0" w:line="247" w:lineRule="auto"/>
        <w:rPr>
          <w:sz w:val="20"/>
          <w:szCs w:val="20"/>
          <w:color w:val="auto"/>
        </w:rPr>
      </w:pPr>
      <w:r>
        <w:rPr>
          <w:rFonts w:ascii="Arial" w:cs="Arial" w:eastAsia="Arial" w:hAnsi="Arial"/>
          <w:sz w:val="14"/>
          <w:szCs w:val="14"/>
          <w:color w:val="auto"/>
        </w:rPr>
        <w:t>During the year ended December 31, 2021, the Bank completed an initial public offering (“IPO”) and its Class A voting common shares began trading on the Nasdaq Stock Market in July 2021. In December 2021, the Bank exchanged all the outstanding shares of Class B non-voting common stock for shares of Class A voting common stock on a one to five exchange. Shortly thereafter, USCB Financial Holdings, Inc. acquired all issued and outstanding shares of Class A voting common stock of the Bank in connection with the reorganization of the Bank into the holding company form of structure. For further information on the IPO and the exchange and redemption of shares, see Note 8 “Stockholders’ Equity”.</w:t>
      </w:r>
    </w:p>
    <w:p>
      <w:pPr>
        <w:spacing w:after="0" w:line="15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Company’s Consolidated Financial Statements consist of USCB Financial Holdings, Inc. and U.S. Century Bank as of June 30, 2022 and December 31, 2021 and for the three and six month ended June 30, 2022 compared to only U.S. Century Bank as of June 30, 2021 and for the three and six months periods ended June 30, 2021.</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Basis of Presentation</w:t>
      </w:r>
    </w:p>
    <w:p>
      <w:pPr>
        <w:spacing w:after="0" w:line="188" w:lineRule="exact"/>
        <w:rPr>
          <w:sz w:val="20"/>
          <w:szCs w:val="20"/>
          <w:color w:val="auto"/>
        </w:rPr>
      </w:pPr>
    </w:p>
    <w:p>
      <w:pPr>
        <w:jc w:val="both"/>
        <w:ind w:left="620" w:right="719" w:firstLine="256"/>
        <w:spacing w:after="0" w:line="246"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consolidated financial statements and related notes appearing in the Company’s Annual Report on Form 10-K for the year ended December 31, 2021.</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Principles of Consolidation</w:t>
      </w:r>
    </w:p>
    <w:p>
      <w:pPr>
        <w:spacing w:after="0" w:line="188" w:lineRule="exact"/>
        <w:rPr>
          <w:sz w:val="20"/>
          <w:szCs w:val="20"/>
          <w:color w:val="auto"/>
        </w:rPr>
      </w:pPr>
    </w:p>
    <w:p>
      <w:pPr>
        <w:jc w:val="both"/>
        <w:ind w:left="620" w:right="739" w:firstLine="256"/>
        <w:spacing w:after="0" w:line="252"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Use of Estimates</w:t>
      </w:r>
    </w:p>
    <w:p>
      <w:pPr>
        <w:spacing w:after="0" w:line="188"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To prepare financial statements in conformity with U.S. GAAP, management makes estimates and assumptions based on available information. These estimates and assumptions affect the amounts reported in the financial statements. The most significant estimates impacting the Company’s consolidated financial statements are the allowance for credit losses and income taxes.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Reclassifications</w:t>
      </w:r>
    </w:p>
    <w:p>
      <w:pPr>
        <w:spacing w:after="0" w:line="188" w:lineRule="exact"/>
        <w:rPr>
          <w:sz w:val="20"/>
          <w:szCs w:val="20"/>
          <w:color w:val="auto"/>
        </w:rPr>
      </w:pPr>
    </w:p>
    <w:p>
      <w:pPr>
        <w:jc w:val="both"/>
        <w:ind w:left="620" w:right="699" w:firstLine="256"/>
        <w:spacing w:after="0" w:line="252" w:lineRule="auto"/>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 Reclassifications had no impact on the net income or stockholders’ equity of the Company.</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Issued and Not Yet Adopted</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Measurement of Credit Losses on Financial Instruments</w:t>
      </w:r>
    </w:p>
    <w:p>
      <w:pPr>
        <w:spacing w:after="0" w:line="170" w:lineRule="exact"/>
        <w:rPr>
          <w:sz w:val="20"/>
          <w:szCs w:val="20"/>
          <w:color w:val="auto"/>
        </w:rPr>
      </w:pPr>
    </w:p>
    <w:p>
      <w:pPr>
        <w:jc w:val="both"/>
        <w:ind w:left="620" w:right="699" w:firstLine="256"/>
        <w:spacing w:after="0" w:line="270" w:lineRule="auto"/>
        <w:rPr>
          <w:sz w:val="20"/>
          <w:szCs w:val="20"/>
          <w:color w:val="auto"/>
        </w:rPr>
      </w:pPr>
      <w:r>
        <w:rPr>
          <w:rFonts w:ascii="Arial" w:cs="Arial" w:eastAsia="Arial" w:hAnsi="Arial"/>
          <w:sz w:val="13"/>
          <w:szCs w:val="13"/>
          <w:color w:val="auto"/>
        </w:rPr>
        <w:t>In June 2016, the FASB issued ASU 2016-13, Financial Instruments - Credit Losses (Topic 326); Measurement of Credit Losses on Financial Instruments. This accounting standard update (“ASU” or “Update”) on accounting for current expected credit losses on financial instruments (“CECL”) will replace the current probable incurred loss impairment methodology under U.S. GAAP with a methodology that reflects the expected credit losses. The Update is intended to provide financial statement users with more decision-useful information about expected credit losses. This Update is applicable to the Company on a modified retrospective basis for interim and annual periods in fiscal years beginning after December 15,</w:t>
      </w:r>
    </w:p>
    <w:p>
      <w:pPr>
        <w:spacing w:after="0" w:line="175"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20" w:right="679"/>
        <w:spacing w:after="0" w:line="244" w:lineRule="auto"/>
        <w:rPr>
          <w:sz w:val="20"/>
          <w:szCs w:val="20"/>
          <w:color w:val="auto"/>
        </w:rPr>
      </w:pPr>
      <w:r>
        <w:rPr>
          <w:rFonts w:ascii="Arial" w:cs="Arial" w:eastAsia="Arial" w:hAnsi="Arial"/>
          <w:sz w:val="14"/>
          <w:szCs w:val="14"/>
          <w:color w:val="auto"/>
        </w:rPr>
        <w:t>2022. Early adoption is permitted for fiscal years beginning after December 15, 2019, including interim periods within those fiscal years. The Company expects to adopt this ASU on January 1, 2023. The impact of adoption on the Company’s financial statements will depend on the composition of the loan and investment securities portfolio as of January 1, 2023, general economic conditions, and other factors that are not known at this time. Although management is in the process of evaluating the impact of adoption of this ASU on its consolidated financial statements, management does believe that this ASU will lead to significant changes in accounting policies and disclosures related to, and the methods used in estimating, the ACL. The Company has developed a detailed implementation plan through the date of adoption that includes the implementation of a software solution to assist with the CECL implementation process and is developing measurements in parallel with the current methodology. To date, the Company has initiated policy discussion with key stakeholders, completed a data gap analysis and retained the services of a third-party consulting firm to perform an independent model validation prior to adoption.</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Reference Rate Reform</w:t>
      </w:r>
    </w:p>
    <w:p>
      <w:pPr>
        <w:spacing w:after="0" w:line="170" w:lineRule="exact"/>
        <w:rPr>
          <w:sz w:val="20"/>
          <w:szCs w:val="20"/>
          <w:color w:val="auto"/>
        </w:rPr>
      </w:pPr>
    </w:p>
    <w:p>
      <w:pPr>
        <w:jc w:val="both"/>
        <w:ind w:left="620" w:right="699" w:firstLine="256"/>
        <w:spacing w:after="0" w:line="244"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from March 12, 2020 through December 31, 2022. The Company is evaluating the impact of this ASU and has not yet determined whether LIBOR transition and this ASU will have a material effect on our business operations and consolidated financial statements.</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Trouble Debt Restructuring</w:t>
      </w:r>
    </w:p>
    <w:p>
      <w:pPr>
        <w:spacing w:after="0" w:line="170" w:lineRule="exact"/>
        <w:rPr>
          <w:sz w:val="20"/>
          <w:szCs w:val="20"/>
          <w:color w:val="auto"/>
        </w:rPr>
      </w:pPr>
    </w:p>
    <w:p>
      <w:pPr>
        <w:jc w:val="both"/>
        <w:ind w:left="620" w:right="719" w:firstLine="256"/>
        <w:spacing w:after="0" w:line="244" w:lineRule="auto"/>
        <w:rPr>
          <w:sz w:val="20"/>
          <w:szCs w:val="20"/>
          <w:color w:val="auto"/>
        </w:rPr>
      </w:pPr>
      <w:r>
        <w:rPr>
          <w:rFonts w:ascii="Arial" w:cs="Arial" w:eastAsia="Arial" w:hAnsi="Arial"/>
          <w:sz w:val="14"/>
          <w:szCs w:val="14"/>
          <w:color w:val="auto"/>
        </w:rPr>
        <w:t>In March 2022, the FASB issued ASU 2022-02, Financial Instruments—Credit Losses (Topic 326): Troubled Debt Restructurings and Vintage Disclosures. This ASU eliminates the recognition and measurement guidance on troubled debt restructurings for creditors and aligns it with existing guidance to determine whether a loan modification results in a new loan or a continuation of an existing loan. The new guidance also requires enhanced disclosures about certain loan modifications by creditors when a borrower is experiencing financial difficulty. This ASU is effective in periods beginning after December 15, 2022, using either a prospective or modified retrospective transition approach. Early adoption is permitted for entities that have already adopted CECL. The Company is in the process of reviewing this ASU, as part of its CECL implementation efforts, to determine whether it would have a material impact on the Company’s consolidated financial statements when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1020" w:hanging="378"/>
        <w:spacing w:after="0"/>
        <w:tabs>
          <w:tab w:leader="none" w:pos="102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20"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9"/>
              </w:rPr>
              <w:t>June 30, 2022</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80" w:type="dxa"/>
            <w:vAlign w:val="bottom"/>
            <w:gridSpan w:val="2"/>
          </w:tcPr>
          <w:p>
            <w:pPr>
              <w:spacing w:after="0" w:line="140" w:lineRule="exact"/>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27,816</w:t>
            </w:r>
          </w:p>
        </w:tc>
        <w:tc>
          <w:tcPr>
            <w:tcW w:w="60" w:type="dxa"/>
            <w:vAlign w:val="bottom"/>
          </w:tcPr>
          <w:p>
            <w:pPr>
              <w:spacing w:after="0"/>
              <w:rPr>
                <w:sz w:val="12"/>
                <w:szCs w:val="12"/>
                <w:color w:val="auto"/>
              </w:rPr>
            </w:pPr>
          </w:p>
        </w:tc>
        <w:tc>
          <w:tcPr>
            <w:tcW w:w="100" w:type="dxa"/>
            <w:vAlign w:val="bottom"/>
            <w:gridSpan w:val="3"/>
          </w:tcPr>
          <w:p>
            <w:pPr>
              <w:jc w:val="right"/>
              <w:ind w:right="4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gridSpan w:val="3"/>
          </w:tcPr>
          <w:p>
            <w:pPr>
              <w:jc w:val="center"/>
              <w:ind w:right="40"/>
              <w:spacing w:after="0" w:line="140"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0" w:lineRule="exact"/>
              <w:rPr>
                <w:sz w:val="20"/>
                <w:szCs w:val="20"/>
                <w:color w:val="auto"/>
              </w:rPr>
            </w:pPr>
            <w:r>
              <w:rPr>
                <w:rFonts w:ascii="Arial" w:cs="Arial" w:eastAsia="Arial" w:hAnsi="Arial"/>
                <w:sz w:val="13"/>
                <w:szCs w:val="13"/>
                <w:color w:val="auto"/>
              </w:rPr>
              <w:t>(1,966)</w:t>
            </w:r>
          </w:p>
        </w:tc>
        <w:tc>
          <w:tcPr>
            <w:tcW w:w="20" w:type="dxa"/>
            <w:vAlign w:val="bottom"/>
          </w:tcPr>
          <w:p>
            <w:pPr>
              <w:spacing w:after="0"/>
              <w:rPr>
                <w:sz w:val="12"/>
                <w:szCs w:val="12"/>
                <w:color w:val="auto"/>
              </w:rPr>
            </w:pPr>
          </w:p>
        </w:tc>
        <w:tc>
          <w:tcPr>
            <w:tcW w:w="1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25,850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8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2,468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2,437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155,340</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133,820</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111,708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(15,726)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95,982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44,670</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40,121</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Municipal securities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25,124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19,602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16,503</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15,972</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6,062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5,680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389,691</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(50,280)</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339,464</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0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29" w:lineRule="exact"/>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34,100</w:t>
            </w:r>
          </w:p>
        </w:tc>
        <w:tc>
          <w:tcPr>
            <w:tcW w:w="160" w:type="dxa"/>
            <w:vAlign w:val="bottom"/>
            <w:gridSpan w:val="4"/>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gridSpan w:val="4"/>
          </w:tcPr>
          <w:p>
            <w:pPr>
              <w:jc w:val="center"/>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(4,692)</w:t>
            </w:r>
          </w:p>
        </w:tc>
        <w:tc>
          <w:tcPr>
            <w:tcW w:w="14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29,408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40,806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(5,513)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35,293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27,478</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(3,954)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23,524</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3,095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2,692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11,192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(1,042)</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10,150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116,671</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(15,604)</w:t>
            </w: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101,067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9"/>
              </w:rPr>
              <w:t>December 31, 2021</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10,564</w:t>
            </w:r>
          </w:p>
        </w:tc>
        <w:tc>
          <w:tcPr>
            <w:tcW w:w="60" w:type="dxa"/>
            <w:vAlign w:val="bottom"/>
          </w:tcPr>
          <w:p>
            <w:pPr>
              <w:spacing w:after="0"/>
              <w:rPr>
                <w:sz w:val="12"/>
                <w:szCs w:val="12"/>
                <w:color w:val="auto"/>
              </w:rPr>
            </w:pPr>
          </w:p>
        </w:tc>
        <w:tc>
          <w:tcPr>
            <w:tcW w:w="10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2"/>
                <w:szCs w:val="12"/>
                <w:color w:val="auto"/>
              </w:rPr>
            </w:pPr>
          </w:p>
        </w:tc>
        <w:tc>
          <w:tcPr>
            <w:tcW w:w="10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w w:val="82"/>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shd w:val="clear" w:color="auto" w:fill="CCEEFF"/>
          </w:tcPr>
          <w:p>
            <w:pPr>
              <w:spacing w:after="0"/>
              <w:rPr>
                <w:sz w:val="12"/>
                <w:szCs w:val="12"/>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160,506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(3,699)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156,829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120,643</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118,842</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49,905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25,164</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24,276</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27,003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28,408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12,068</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405,853</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2,982</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(7,293)</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401,542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 w:type="dxa"/>
            <w:vAlign w:val="bottom"/>
            <w:vMerge w:val="restart"/>
          </w:tcPr>
          <w:p>
            <w:pPr>
              <w:spacing w:after="0"/>
              <w:rPr>
                <w:sz w:val="10"/>
                <w:szCs w:val="10"/>
                <w:color w:val="auto"/>
              </w:rPr>
            </w:pPr>
          </w:p>
        </w:tc>
        <w:tc>
          <w:tcPr>
            <w:tcW w:w="30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b w:val="1"/>
                <w:bCs w:val="1"/>
                <w:color w:val="auto"/>
              </w:rPr>
              <w:t>Held-to-maturity:</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80" w:type="dxa"/>
            <w:vAlign w:val="bottom"/>
            <w:gridSpan w:val="2"/>
          </w:tcPr>
          <w:p>
            <w:pPr>
              <w:spacing w:after="0" w:line="130" w:lineRule="exact"/>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line="13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34,505</w:t>
            </w:r>
          </w:p>
        </w:tc>
        <w:tc>
          <w:tcPr>
            <w:tcW w:w="160" w:type="dxa"/>
            <w:vAlign w:val="bottom"/>
            <w:gridSpan w:val="4"/>
          </w:tcPr>
          <w:p>
            <w:pPr>
              <w:jc w:val="right"/>
              <w:ind w:right="40"/>
              <w:spacing w:after="0" w:line="13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14</w:t>
            </w:r>
          </w:p>
        </w:tc>
        <w:tc>
          <w:tcPr>
            <w:tcW w:w="160" w:type="dxa"/>
            <w:vAlign w:val="bottom"/>
            <w:gridSpan w:val="4"/>
          </w:tcPr>
          <w:p>
            <w:pPr>
              <w:jc w:val="center"/>
              <w:spacing w:after="0" w:line="130"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30" w:lineRule="exact"/>
              <w:rPr>
                <w:sz w:val="20"/>
                <w:szCs w:val="20"/>
                <w:color w:val="auto"/>
              </w:rPr>
            </w:pPr>
            <w:r>
              <w:rPr>
                <w:rFonts w:ascii="Arial" w:cs="Arial" w:eastAsia="Arial" w:hAnsi="Arial"/>
                <w:sz w:val="13"/>
                <w:szCs w:val="13"/>
                <w:color w:val="auto"/>
              </w:rPr>
              <w:t>(615)</w:t>
            </w:r>
          </w:p>
        </w:tc>
        <w:tc>
          <w:tcPr>
            <w:tcW w:w="140" w:type="dxa"/>
            <w:vAlign w:val="bottom"/>
            <w:gridSpan w:val="4"/>
          </w:tcPr>
          <w:p>
            <w:pPr>
              <w:jc w:val="right"/>
              <w:ind w:right="40"/>
              <w:spacing w:after="0" w:line="13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33,904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44,820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43,799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26,920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26,352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3,103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13,310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13,089</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122,658</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(2,515)</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120,157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During the year ended December 31, 2021, a total of 28 investment securities with an amortized cost basis and fair value of $67.6 million and $68.7 million, respectively, were transferred from available-for-sale (“AFS”) to held-to-maturity (“HTM”). These securities had a net unrealized gain of $1.1 million on the date of transfer, with no immediate impact to net income on the transfer date. The unrealized gain or loss of each security at the date of transfer was retained in accumulated other comprehensive income (“AOCI”) and in the carrying value of the HTM securities. The net unrealized gains that were retained in AOCI are being amortized over the remaining life of the transferred securities. For the three months and the six months ended June 30, 2022, total amortization out of AOCI for net unrealized gains on securities transferred from AFS to HTM was $61 thousand and $126 thousand, respectively. Two of these transferred securities totaling $ 2.0 million matured during the second quarter of 2022.</w:t>
      </w:r>
    </w:p>
    <w:p>
      <w:pPr>
        <w:spacing w:after="0" w:line="200" w:lineRule="exact"/>
        <w:rPr>
          <w:sz w:val="20"/>
          <w:szCs w:val="20"/>
          <w:color w:val="auto"/>
        </w:rPr>
      </w:pPr>
    </w:p>
    <w:p>
      <w:pPr>
        <w:spacing w:after="0" w:line="36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Gains and losses on the sale of securities are recorded on the trade date and are determined on a specific identification basis. The following table presents the proceeds, realized gross gains and realized gross losses on sales and calls of AFS debt securities for the three and six months ended June 30, 2022 and 2021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376"/>
              <w:spacing w:after="0"/>
              <w:rPr>
                <w:sz w:val="20"/>
                <w:szCs w:val="20"/>
                <w:color w:val="auto"/>
              </w:rPr>
            </w:pPr>
            <w:r>
              <w:rPr>
                <w:rFonts w:ascii="Arial" w:cs="Arial" w:eastAsia="Arial" w:hAnsi="Arial"/>
                <w:sz w:val="13"/>
                <w:szCs w:val="13"/>
                <w:b w:val="1"/>
                <w:bCs w:val="1"/>
                <w:color w:val="auto"/>
              </w:rPr>
              <w:t>Six Months Ended June 30,</w:t>
            </w:r>
          </w:p>
        </w:tc>
      </w:tr>
      <w:tr>
        <w:trPr>
          <w:trHeight w:val="151"/>
        </w:trPr>
        <w:tc>
          <w:tcPr>
            <w:tcW w:w="256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r>
      <w:tr>
        <w:trPr>
          <w:trHeight w:val="20"/>
        </w:trPr>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5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Proceeds from sale and call of securities</w:t>
            </w:r>
          </w:p>
        </w:tc>
        <w:tc>
          <w:tcPr>
            <w:tcW w:w="4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17,280</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29,018</w:t>
            </w:r>
          </w:p>
        </w:tc>
        <w:tc>
          <w:tcPr>
            <w:tcW w:w="2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31,838</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43,266</w:t>
            </w:r>
          </w:p>
        </w:tc>
      </w:tr>
      <w:tr>
        <w:trPr>
          <w:trHeight w:val="171"/>
        </w:trPr>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Gross gains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363</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438</w:t>
            </w:r>
          </w:p>
        </w:tc>
      </w:tr>
      <w:tr>
        <w:trPr>
          <w:trHeight w:val="160"/>
        </w:trPr>
        <w:tc>
          <w:tcPr>
            <w:tcW w:w="256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r>
      <w:tr>
        <w:trPr>
          <w:trHeight w:val="20"/>
        </w:trPr>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52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Net realized gain (loss)</w:t>
            </w:r>
          </w:p>
        </w:tc>
        <w:tc>
          <w:tcPr>
            <w:tcW w:w="440" w:type="dxa"/>
            <w:vAlign w:val="bottom"/>
            <w:tcBorders>
              <w:bottom w:val="single" w:sz="8" w:color="CCEEFF"/>
            </w:tcBorders>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187</w:t>
            </w:r>
          </w:p>
        </w:tc>
        <w:tc>
          <w:tcPr>
            <w:tcW w:w="260" w:type="dxa"/>
            <w:vAlign w:val="bottom"/>
            <w:tcBorders>
              <w:bottom w:val="single" w:sz="8" w:color="CCEEFF"/>
            </w:tcBorders>
            <w:gridSpan w:val="2"/>
            <w:shd w:val="clear" w:color="auto" w:fill="CCEEFF"/>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18</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249</w:t>
            </w:r>
          </w:p>
        </w:tc>
      </w:tr>
      <w:tr>
        <w:trPr>
          <w:trHeight w:val="20"/>
        </w:trPr>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4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3"/>
                <w:szCs w:val="13"/>
                <w:b w:val="1"/>
                <w:bCs w:val="1"/>
                <w:color w:val="auto"/>
              </w:rPr>
              <w:t>Held-to-maturity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June 30, 2022:</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6"/>
              </w:rPr>
              <w:t>Cost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6"/>
              </w:rPr>
              <w:t>Cost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8,530</w:t>
            </w:r>
          </w:p>
        </w:tc>
        <w:tc>
          <w:tcPr>
            <w:tcW w:w="40" w:type="dxa"/>
            <w:vAlign w:val="bottom"/>
          </w:tcPr>
          <w:p>
            <w:pPr>
              <w:spacing w:after="0"/>
              <w:rPr>
                <w:sz w:val="13"/>
                <w:szCs w:val="13"/>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8,117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11,192</w:t>
            </w:r>
          </w:p>
        </w:tc>
        <w:tc>
          <w:tcPr>
            <w:tcW w:w="40" w:type="dxa"/>
            <w:vAlign w:val="bottom"/>
          </w:tcPr>
          <w:p>
            <w:pPr>
              <w:spacing w:after="0"/>
              <w:rPr>
                <w:sz w:val="13"/>
                <w:szCs w:val="13"/>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10,150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16,822</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24,124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18,752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20" w:type="dxa"/>
            <w:vAlign w:val="bottom"/>
            <w:gridSpan w:val="2"/>
            <w:vMerge w:val="restart"/>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27,816</w:t>
            </w:r>
          </w:p>
        </w:tc>
        <w:tc>
          <w:tcPr>
            <w:tcW w:w="40" w:type="dxa"/>
            <w:vAlign w:val="bottom"/>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25,850</w:t>
            </w:r>
          </w:p>
        </w:tc>
        <w:tc>
          <w:tcPr>
            <w:tcW w:w="8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34,100</w:t>
            </w:r>
          </w:p>
        </w:tc>
        <w:tc>
          <w:tcPr>
            <w:tcW w:w="40" w:type="dxa"/>
            <w:vAlign w:val="bottom"/>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155,340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133,820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40,806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35,293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111,708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95,982</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27,478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23,524</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44,670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40,121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3,095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389,691</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339,464</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116,671</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101,067</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40" w:right="679" w:firstLine="256"/>
        <w:spacing w:after="0" w:line="248" w:lineRule="auto"/>
        <w:rPr>
          <w:sz w:val="20"/>
          <w:szCs w:val="20"/>
          <w:color w:val="auto"/>
        </w:rPr>
      </w:pPr>
      <w:r>
        <w:rPr>
          <w:rFonts w:ascii="Arial" w:cs="Arial" w:eastAsia="Arial" w:hAnsi="Arial"/>
          <w:sz w:val="14"/>
          <w:szCs w:val="14"/>
          <w:color w:val="auto"/>
        </w:rPr>
        <w:t>At June 30, 2022, there were no securities held in the portfolio from any one issuer, in an amount greater than 10% of total stockholders’ equity other than the United States Government and Government Agencies. All the collateralized mortgage obligations and mortgage-backed securities are issued by United States sponsored entities at June 30, 2022 and December 31, 2021.</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jc w:val="right"/>
              <w:ind w:right="336"/>
              <w:spacing w:after="0"/>
              <w:rPr>
                <w:sz w:val="20"/>
                <w:szCs w:val="20"/>
                <w:color w:val="auto"/>
              </w:rPr>
            </w:pPr>
            <w:r>
              <w:rPr>
                <w:rFonts w:ascii="Arial" w:cs="Arial" w:eastAsia="Arial" w:hAnsi="Arial"/>
                <w:sz w:val="13"/>
                <w:szCs w:val="13"/>
                <w:b w:val="1"/>
                <w:bCs w:val="1"/>
                <w:color w:val="auto"/>
              </w:rPr>
              <w:t>June 30, 2022</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3"/>
                <w:szCs w:val="13"/>
                <w:b w:val="1"/>
                <w:bCs w:val="1"/>
                <w:color w:val="auto"/>
              </w:rPr>
              <w:t>12 months or more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3"/>
                <w:szCs w:val="13"/>
                <w:b w:val="1"/>
                <w:bCs w:val="1"/>
                <w:color w:val="auto"/>
                <w:w w:val="83"/>
              </w:rPr>
              <w:t>Total</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gridSpan w:val="5"/>
          </w:tcPr>
          <w:p>
            <w:pPr>
              <w:ind w:left="2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tcPr>
          <w:p>
            <w:pPr>
              <w:ind w:left="200"/>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Fair Value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Losses</w:t>
            </w:r>
          </w:p>
        </w:tc>
        <w:tc>
          <w:tcPr>
            <w:tcW w:w="820" w:type="dxa"/>
            <w:vAlign w:val="bottom"/>
            <w:gridSpan w:val="4"/>
          </w:tcPr>
          <w:p>
            <w:pPr>
              <w:ind w:left="180"/>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40" w:type="dxa"/>
            <w:vAlign w:val="bottom"/>
          </w:tcPr>
          <w:p>
            <w:pPr>
              <w:spacing w:after="0"/>
              <w:rPr>
                <w:sz w:val="14"/>
                <w:szCs w:val="14"/>
                <w:color w:val="auto"/>
              </w:rPr>
            </w:pPr>
          </w:p>
        </w:tc>
        <w:tc>
          <w:tcPr>
            <w:tcW w:w="820" w:type="dxa"/>
            <w:vAlign w:val="bottom"/>
            <w:gridSpan w:val="4"/>
          </w:tcPr>
          <w:p>
            <w:pPr>
              <w:ind w:left="200"/>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w w:val="93"/>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44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40,053</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(3,976)</w:t>
            </w:r>
          </w:p>
        </w:tc>
        <w:tc>
          <w:tcPr>
            <w:tcW w:w="4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15,205</w:t>
            </w:r>
          </w:p>
        </w:tc>
        <w:tc>
          <w:tcPr>
            <w:tcW w:w="6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w:t>
            </w:r>
          </w:p>
        </w:tc>
        <w:tc>
          <w:tcPr>
            <w:tcW w:w="4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55,258</w:t>
            </w: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2,437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2,437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100,414</w:t>
            </w: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(14,042)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68,699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(12,991)</w:t>
            </w:r>
          </w:p>
        </w:tc>
        <w:tc>
          <w:tcPr>
            <w:tcW w:w="4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shd w:val="clear" w:color="auto" w:fill="CCEEFF"/>
              </w:rPr>
              <w:t>169,113</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shd w:val="clear" w:color="auto" w:fill="CCEEFF"/>
              </w:rPr>
              <w:t>(27,033)</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77,724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(10,426)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41,782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(8,927)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119,506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(19,353)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36,712</w:t>
            </w: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4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42,813</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(4,887)</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3"/>
                <w:szCs w:val="13"/>
                <w:color w:val="auto"/>
              </w:rPr>
              <w:t>Municipal securities</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6,050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(1,560)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13,552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(3,962)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19,602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(5,522)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11,919</w:t>
            </w: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11,919</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10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15,830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(859)</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15,830</w:t>
            </w:r>
          </w:p>
        </w:tc>
        <w:tc>
          <w:tcPr>
            <w:tcW w:w="80" w:type="dxa"/>
            <w:vAlign w:val="bottom"/>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291,139</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(35,308)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shd w:val="clear" w:color="auto" w:fill="CCEEFF"/>
              </w:rPr>
              <w:t>145,339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(29,724)</w:t>
            </w:r>
          </w:p>
        </w:tc>
        <w:tc>
          <w:tcPr>
            <w:tcW w:w="4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shd w:val="clear" w:color="auto" w:fill="CCEEFF"/>
              </w:rPr>
              <w:t>436,478</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shd w:val="clear" w:color="auto" w:fill="CCEEFF"/>
              </w:rPr>
              <w:t>(65,032)</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tabs>
          <w:tab w:leader="none" w:pos="260" w:val="left"/>
          <w:tab w:leader="none" w:pos="1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136"/>
              <w:spacing w:after="0"/>
              <w:rPr>
                <w:sz w:val="20"/>
                <w:szCs w:val="20"/>
                <w:color w:val="auto"/>
              </w:rPr>
            </w:pPr>
            <w:r>
              <w:rPr>
                <w:rFonts w:ascii="Arial" w:cs="Arial" w:eastAsia="Arial" w:hAnsi="Arial"/>
                <w:sz w:val="13"/>
                <w:szCs w:val="13"/>
                <w:b w:val="1"/>
                <w:bCs w:val="1"/>
                <w:color w:val="auto"/>
              </w:rPr>
              <w:t>Less than 12 months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w w:val="97"/>
              </w:rPr>
              <w:t>Unrealized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3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8"/>
              </w:rPr>
              <w:t>Losses</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U.S. Government Agency</w:t>
            </w:r>
          </w:p>
        </w:tc>
        <w:tc>
          <w:tcPr>
            <w:tcW w:w="1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25,951</w:t>
            </w:r>
          </w:p>
        </w:tc>
        <w:tc>
          <w:tcPr>
            <w:tcW w:w="32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(254)</w:t>
            </w:r>
          </w:p>
        </w:tc>
        <w:tc>
          <w:tcPr>
            <w:tcW w:w="2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15,477</w:t>
            </w:r>
          </w:p>
        </w:tc>
        <w:tc>
          <w:tcPr>
            <w:tcW w:w="320" w:type="dxa"/>
            <w:vAlign w:val="bottom"/>
            <w:gridSpan w:val="4"/>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(516)</w:t>
            </w:r>
          </w:p>
        </w:tc>
        <w:tc>
          <w:tcPr>
            <w:tcW w:w="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41,428</w:t>
            </w:r>
          </w:p>
        </w:tc>
        <w:tc>
          <w:tcPr>
            <w:tcW w:w="300" w:type="dxa"/>
            <w:vAlign w:val="bottom"/>
            <w:gridSpan w:val="4"/>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(770)</w:t>
            </w:r>
          </w:p>
        </w:tc>
        <w:tc>
          <w:tcPr>
            <w:tcW w:w="20" w:type="dxa"/>
            <w:vAlign w:val="bottom"/>
            <w:shd w:val="clear" w:color="auto" w:fill="CCEEFF"/>
          </w:tcPr>
          <w:p>
            <w:pPr>
              <w:spacing w:after="0"/>
              <w:rPr>
                <w:sz w:val="12"/>
                <w:szCs w:val="12"/>
                <w:color w:val="auto"/>
              </w:rPr>
            </w:pPr>
          </w:p>
        </w:tc>
      </w:tr>
      <w:tr>
        <w:trPr>
          <w:trHeight w:val="171"/>
        </w:trPr>
        <w:tc>
          <w:tcPr>
            <w:tcW w:w="2420" w:type="dxa"/>
            <w:vAlign w:val="bottom"/>
            <w:gridSpan w:val="3"/>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155,668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38,459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194,127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(4,720)</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88,772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37,373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126,145</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(2,452)</w:t>
            </w:r>
          </w:p>
        </w:tc>
        <w:tc>
          <w:tcPr>
            <w:tcW w:w="20" w:type="dxa"/>
            <w:vAlign w:val="bottom"/>
            <w:shd w:val="clear" w:color="auto" w:fill="CCEEFF"/>
          </w:tcPr>
          <w:p>
            <w:pPr>
              <w:spacing w:after="0"/>
              <w:rPr>
                <w:sz w:val="14"/>
                <w:szCs w:val="14"/>
                <w:color w:val="auto"/>
              </w:rPr>
            </w:pPr>
          </w:p>
        </w:tc>
      </w:tr>
      <w:tr>
        <w:trPr>
          <w:trHeight w:val="171"/>
        </w:trPr>
        <w:tc>
          <w:tcPr>
            <w:tcW w:w="2420" w:type="dxa"/>
            <w:vAlign w:val="bottom"/>
            <w:gridSpan w:val="3"/>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25,289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7,507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32,796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(627)</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23,270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20" w:type="dxa"/>
            <w:vAlign w:val="bottom"/>
            <w:shd w:val="clear" w:color="auto" w:fill="CCEEFF"/>
          </w:tcPr>
          <w:p>
            <w:pPr>
              <w:spacing w:after="0"/>
              <w:rPr>
                <w:sz w:val="14"/>
                <w:szCs w:val="14"/>
                <w:color w:val="auto"/>
              </w:rPr>
            </w:pPr>
          </w:p>
        </w:tc>
      </w:tr>
      <w:tr>
        <w:trPr>
          <w:trHeight w:val="160"/>
        </w:trPr>
        <w:tc>
          <w:tcPr>
            <w:tcW w:w="2420" w:type="dxa"/>
            <w:vAlign w:val="bottom"/>
            <w:gridSpan w:val="3"/>
          </w:tcPr>
          <w:p>
            <w:pPr>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4,487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4,487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311,459</w:t>
            </w: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110,794</w:t>
            </w:r>
          </w:p>
        </w:tc>
        <w:tc>
          <w:tcPr>
            <w:tcW w:w="4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422,253</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(9,476)</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As of June 30, 2022, the unrealized losses associated with $62.2 million of investment securities transferred from the AFS portfolio to the HTM portfolio represent unrealized losses since the date of purchase, independent of the impact associated with changes in the cost basis upon transfer between portfolios.</w:t>
      </w:r>
    </w:p>
    <w:p>
      <w:pPr>
        <w:spacing w:after="0" w:line="142"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performs a review of the investments that have an unrealized loss to determine whether there have been any changes in the economic circumstance of the security issuer to indicate that the unrealized loss is impaired on an other-than-temporary (“OTTI”) basis. Management considers several factors in their analysis including (i) the severity and duration of the impairment, (ii) the credit rating of the security including any downgrade, (iii) the intent to sell the security, or if it is more likely than not that it will be required to sell the security before recovery, (iv) whether there have been any payment defaults and (v) the underlying guarantor of the securities.</w:t>
      </w:r>
    </w:p>
    <w:p>
      <w:pPr>
        <w:spacing w:after="0" w:line="15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does not consider these investments to be OTTI as the decline in market value is attributable to changes in market interest rates and not credit quality, and because the Company does not intend to sell the investments before recovery of its amortized cost basis, which may be maturity, and it is more likely than not that the Company will not be required to sell the securities before maturity.</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Pledged Securities</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maintains a master repurchase agreement with a public banking institution for up to $20.0 million fully guaranteed with investment securities upon withdrawal. Any amounts borrowed would be at a variable interest rate based on prevailing rates at the time funding is requested. As of June 30, 2022, the Company did not have any securities pledged under this agreement.</w:t>
      </w:r>
    </w:p>
    <w:p>
      <w:pPr>
        <w:spacing w:after="0" w:line="156"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is a Qualified Public Depositor (“QPD”) with the state of Florida. As a QPD, the Company has the legal authority to maintain public deposits from cities, municipalities, and the state of Florida. These public deposits are secured by securities pledged to the state of Florida at a ratio of 25% of the outstanding uninsured deposits. The Company must also maintain a minimum amount of pledged securities to be in the public funds program.</w:t>
      </w:r>
    </w:p>
    <w:p>
      <w:pPr>
        <w:spacing w:after="0" w:line="145" w:lineRule="exact"/>
        <w:rPr>
          <w:sz w:val="20"/>
          <w:szCs w:val="20"/>
          <w:color w:val="auto"/>
        </w:rPr>
      </w:pPr>
    </w:p>
    <w:p>
      <w:pPr>
        <w:jc w:val="both"/>
        <w:ind w:left="640" w:right="699" w:firstLine="256"/>
        <w:spacing w:after="0" w:line="268" w:lineRule="auto"/>
        <w:rPr>
          <w:sz w:val="20"/>
          <w:szCs w:val="20"/>
          <w:color w:val="auto"/>
        </w:rPr>
      </w:pPr>
      <w:r>
        <w:rPr>
          <w:rFonts w:ascii="Arial" w:cs="Arial" w:eastAsia="Arial" w:hAnsi="Arial"/>
          <w:sz w:val="14"/>
          <w:szCs w:val="14"/>
          <w:color w:val="auto"/>
        </w:rPr>
        <w:t>As of June 30, 2022, the Company had a total of $93.7 million in deposits under the public funds program and pledged to the state of Florida for these public funds were fourteen corporate bonds with an aggregate fair value of $23.6 million.</w:t>
      </w:r>
    </w:p>
    <w:p>
      <w:pPr>
        <w:spacing w:after="0" w:line="131"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As of December 31, 2021, the Company had a total of $37.3 million in deposits under the public funds program and pledged to the state of Florida for these public funds were eleven corporate bonds with an aggregate fair value of $20.4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1020" w:hanging="378"/>
        <w:spacing w:after="0"/>
        <w:tabs>
          <w:tab w:leader="none" w:pos="102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696"/>
              <w:spacing w:after="0"/>
              <w:rPr>
                <w:sz w:val="20"/>
                <w:szCs w:val="20"/>
                <w:color w:val="auto"/>
              </w:rPr>
            </w:pPr>
            <w:r>
              <w:rPr>
                <w:rFonts w:ascii="Arial" w:cs="Arial" w:eastAsia="Arial" w:hAnsi="Arial"/>
                <w:sz w:val="13"/>
                <w:szCs w:val="13"/>
                <w:b w:val="1"/>
                <w:bCs w:val="1"/>
                <w:color w:val="auto"/>
              </w:rPr>
              <w:t>June 30, 2022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7"/>
          </w:tcPr>
          <w:p>
            <w:pPr>
              <w:jc w:val="right"/>
              <w:ind w:right="53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6"/>
                <w:szCs w:val="16"/>
                <w:color w:val="auto"/>
              </w:rPr>
            </w:pPr>
          </w:p>
        </w:tc>
      </w:tr>
      <w:tr>
        <w:trPr>
          <w:trHeight w:val="153"/>
        </w:trPr>
        <w:tc>
          <w:tcPr>
            <w:tcW w:w="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203,662</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3"/>
                <w:szCs w:val="13"/>
                <w:color w:val="auto"/>
              </w:rPr>
            </w:pPr>
          </w:p>
        </w:tc>
      </w:tr>
      <w:tr>
        <w:trPr>
          <w:trHeight w:val="161"/>
        </w:trPr>
        <w:tc>
          <w:tcPr>
            <w:tcW w:w="278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843,445</w:t>
            </w:r>
          </w:p>
        </w:tc>
        <w:tc>
          <w:tcPr>
            <w:tcW w:w="1140" w:type="dxa"/>
            <w:vAlign w:val="bottom"/>
            <w:gridSpan w:val="5"/>
          </w:tcPr>
          <w:p>
            <w:pPr>
              <w:jc w:val="right"/>
              <w:spacing w:after="0"/>
              <w:rPr>
                <w:sz w:val="20"/>
                <w:szCs w:val="20"/>
                <w:color w:val="auto"/>
              </w:rPr>
            </w:pPr>
            <w:r>
              <w:rPr>
                <w:rFonts w:ascii="Arial" w:cs="Arial" w:eastAsia="Arial" w:hAnsi="Arial"/>
                <w:sz w:val="13"/>
                <w:szCs w:val="13"/>
                <w:color w:val="auto"/>
              </w:rPr>
              <w:t>61.5 %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59.2 %</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131,271</w:t>
            </w:r>
          </w:p>
        </w:tc>
        <w:tc>
          <w:tcPr>
            <w:tcW w:w="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40" w:type="dxa"/>
            <w:vAlign w:val="bottom"/>
            <w:gridSpan w:val="2"/>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78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84,770</w:t>
            </w:r>
          </w:p>
        </w:tc>
        <w:tc>
          <w:tcPr>
            <w:tcW w:w="1140" w:type="dxa"/>
            <w:vAlign w:val="bottom"/>
            <w:gridSpan w:val="5"/>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5.0 %</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6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109,250</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9"/>
        </w:trPr>
        <w:tc>
          <w:tcPr>
            <w:tcW w:w="40" w:type="dxa"/>
            <w:vAlign w:val="bottom"/>
          </w:tcPr>
          <w:p>
            <w:pPr>
              <w:spacing w:after="0"/>
              <w:rPr>
                <w:sz w:val="15"/>
                <w:szCs w:val="15"/>
                <w:color w:val="auto"/>
              </w:rPr>
            </w:pPr>
          </w:p>
        </w:tc>
        <w:tc>
          <w:tcPr>
            <w:tcW w:w="2740" w:type="dxa"/>
            <w:vAlign w:val="bottom"/>
          </w:tcPr>
          <w:p>
            <w:pPr>
              <w:ind w:left="60"/>
              <w:spacing w:after="0"/>
              <w:rPr>
                <w:sz w:val="20"/>
                <w:szCs w:val="20"/>
                <w:color w:val="auto"/>
              </w:rPr>
            </w:pPr>
            <w:r>
              <w:rPr>
                <w:rFonts w:ascii="Arial" w:cs="Arial" w:eastAsia="Arial" w:hAnsi="Arial"/>
                <w:sz w:val="13"/>
                <w:szCs w:val="13"/>
                <w:color w:val="auto"/>
              </w:rPr>
              <w:t>Total gross loans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1,372,398</w:t>
            </w:r>
          </w:p>
        </w:tc>
        <w:tc>
          <w:tcPr>
            <w:tcW w:w="1140" w:type="dxa"/>
            <w:vAlign w:val="bottom"/>
            <w:gridSpan w:val="5"/>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1,191,659</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274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Less: Deferred fees (cost)</w:t>
            </w: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auto"/>
            </w:tcBorders>
            <w:shd w:val="clear" w:color="auto" w:fill="CCEEFF"/>
          </w:tcPr>
          <w:p>
            <w:pPr>
              <w:spacing w:after="0"/>
              <w:rPr>
                <w:sz w:val="12"/>
                <w:szCs w:val="12"/>
                <w:color w:val="auto"/>
              </w:rPr>
            </w:pPr>
          </w:p>
        </w:tc>
        <w:tc>
          <w:tcPr>
            <w:tcW w:w="820" w:type="dxa"/>
            <w:vAlign w:val="bottom"/>
            <w:tcBorders>
              <w:top w:val="single" w:sz="8" w:color="CCEEFF"/>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(335)</w:t>
            </w: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auto"/>
            </w:tcBorders>
            <w:shd w:val="clear" w:color="auto" w:fill="CCEEFF"/>
          </w:tcPr>
          <w:p>
            <w:pPr>
              <w:spacing w:after="0"/>
              <w:rPr>
                <w:sz w:val="12"/>
                <w:szCs w:val="12"/>
                <w:color w:val="auto"/>
              </w:rPr>
            </w:pPr>
          </w:p>
        </w:tc>
        <w:tc>
          <w:tcPr>
            <w:tcW w:w="820" w:type="dxa"/>
            <w:vAlign w:val="bottom"/>
            <w:tcBorders>
              <w:top w:val="single" w:sz="8" w:color="CCEEFF"/>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1,578</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61"/>
        </w:trPr>
        <w:tc>
          <w:tcPr>
            <w:tcW w:w="4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Arial" w:cs="Arial" w:eastAsia="Arial" w:hAnsi="Arial"/>
                <w:sz w:val="13"/>
                <w:szCs w:val="13"/>
                <w:color w:val="auto"/>
              </w:rPr>
              <w:t>Total loans net of deferred fees (cost)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1,372,733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1,190,081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6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15,786</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4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Arial" w:cs="Arial" w:eastAsia="Arial" w:hAnsi="Arial"/>
                <w:sz w:val="13"/>
                <w:szCs w:val="13"/>
                <w:color w:val="auto"/>
              </w:rPr>
              <w:t>Total net loans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1,356,947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1,175,024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At June 30, 2022 and December 31, 2021, the Company had $159.9 million and $185.1 million, respectively, of commercial real estate and residential mortgage loans pledged as collateral on lines of credit with the FHLB and the Federal Reserve Bank of Atlanta.</w:t>
      </w:r>
    </w:p>
    <w:p>
      <w:pPr>
        <w:spacing w:after="0" w:line="142"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was a participant in the Small Business Administration’s (“SBA”) Paycheck Protection Program (“PPP”) loans. These loans were designed to provide a direct incentive for small businesses to keep their workers on payroll and the funds had to be used towards payroll cost, mortgage interest, rent, utilities and other costs related to COVID-19. These loans are forgivable under specific criteria as determined by the SBA. The Company had PPP loans of $ 13.5 million at June 30, 2022 and $42.4 million at December 31, 2021, which are categorized as commercial and industrial loans. These PPP loans had deferred loan fees of $149 thousand at June 30, 2022 and $1.5 million at December 31, 2021.</w:t>
      </w:r>
    </w:p>
    <w:p>
      <w:pPr>
        <w:spacing w:after="0" w:line="158" w:lineRule="exact"/>
        <w:rPr>
          <w:sz w:val="20"/>
          <w:szCs w:val="20"/>
          <w:color w:val="auto"/>
        </w:rPr>
      </w:pPr>
    </w:p>
    <w:p>
      <w:pPr>
        <w:jc w:val="both"/>
        <w:ind w:left="640" w:right="679" w:firstLine="256"/>
        <w:spacing w:after="0" w:line="245" w:lineRule="auto"/>
        <w:rPr>
          <w:sz w:val="20"/>
          <w:szCs w:val="20"/>
          <w:color w:val="auto"/>
        </w:rPr>
      </w:pPr>
      <w:r>
        <w:rPr>
          <w:rFonts w:ascii="Arial" w:cs="Arial" w:eastAsia="Arial" w:hAnsi="Arial"/>
          <w:sz w:val="14"/>
          <w:szCs w:val="14"/>
          <w:color w:val="auto"/>
        </w:rPr>
        <w:t>The Company recognized $1.5 million and $2.4 million in PPP loan fees and interest income during the six months ended June 30, 2022 and 2021, respectively, which is reported under loans, including fees, within the Consolidated Statements of Operations.</w:t>
      </w:r>
    </w:p>
    <w:p>
      <w:pPr>
        <w:spacing w:after="0" w:line="158"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segments the portfolio by pools grouping loans that share similar risk characteristics and employing collateral type and lien position to group loans according to risk. The Company determines historical loss rates for each loan pool based on its own loss experience. In estimating credit losses, the Company also considers qualitative and environmental factors that may cause estimated credit losses for the loan portfolio to differ from historical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Changes in the allowance for credit losses for the three and six months ended June 30, 2022 and 2021 were as follows (in thousands):</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3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Consumer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3"/>
              </w:rPr>
              <w:t>and Industrial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b w:val="1"/>
                <w:bCs w:val="1"/>
                <w:color w:val="auto"/>
              </w:rPr>
              <w:t>and Other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6"/>
              </w:rPr>
              <w:t>Three Months Ended June 30, 2022</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gridSpan w:val="3"/>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2,357</w:t>
            </w:r>
          </w:p>
        </w:tc>
        <w:tc>
          <w:tcPr>
            <w:tcW w:w="12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9,183</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2,355</w:t>
            </w: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491</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688</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Charge-offs</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6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gridSpan w:val="3"/>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2,366</w:t>
            </w:r>
          </w:p>
        </w:tc>
        <w:tc>
          <w:tcPr>
            <w:tcW w:w="12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9,290</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2,671</w:t>
            </w: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651</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808</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 w:type="dxa"/>
            <w:vAlign w:val="bottom"/>
            <w:vMerge w:val="restart"/>
          </w:tcPr>
          <w:p>
            <w:pPr>
              <w:spacing w:after="0"/>
              <w:rPr>
                <w:sz w:val="13"/>
                <w:szCs w:val="13"/>
                <w:color w:val="auto"/>
              </w:rPr>
            </w:pPr>
          </w:p>
        </w:tc>
        <w:tc>
          <w:tcPr>
            <w:tcW w:w="2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2120" w:type="dxa"/>
            <w:vAlign w:val="bottom"/>
          </w:tcPr>
          <w:p>
            <w:pPr>
              <w:spacing w:after="0"/>
              <w:rPr>
                <w:sz w:val="20"/>
                <w:szCs w:val="20"/>
                <w:color w:val="auto"/>
              </w:rPr>
            </w:pPr>
            <w:r>
              <w:rPr>
                <w:rFonts w:ascii="Arial" w:cs="Arial" w:eastAsia="Arial" w:hAnsi="Arial"/>
                <w:sz w:val="13"/>
                <w:szCs w:val="13"/>
                <w:b w:val="1"/>
                <w:bCs w:val="1"/>
                <w:color w:val="auto"/>
              </w:rPr>
              <w:t>Six Months Ended June 30, 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20" w:type="dxa"/>
            <w:vAlign w:val="bottom"/>
            <w:shd w:val="clear" w:color="auto" w:fill="CCEEFF"/>
          </w:tcPr>
          <w:p>
            <w:pPr>
              <w:spacing w:after="0"/>
              <w:rPr>
                <w:sz w:val="14"/>
                <w:szCs w:val="14"/>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8,758</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2,775</w:t>
            </w: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20" w:type="dxa"/>
            <w:vAlign w:val="bottom"/>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569</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Arial" w:cs="Arial" w:eastAsia="Arial" w:hAnsi="Arial"/>
                <w:sz w:val="13"/>
                <w:szCs w:val="13"/>
                <w:color w:val="auto"/>
              </w:rPr>
              <w:t>Provision for credit 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532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242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60" w:type="dxa"/>
            <w:vAlign w:val="bottom"/>
            <w:gridSpan w:val="2"/>
          </w:tcPr>
          <w:p>
            <w:pPr>
              <w:spacing w:after="0"/>
              <w:rPr>
                <w:sz w:val="20"/>
                <w:szCs w:val="20"/>
                <w:color w:val="auto"/>
              </w:rPr>
            </w:pPr>
            <w:r>
              <w:rPr>
                <w:rFonts w:ascii="Arial" w:cs="Arial" w:eastAsia="Arial" w:hAnsi="Arial"/>
                <w:sz w:val="13"/>
                <w:szCs w:val="13"/>
                <w:color w:val="auto"/>
              </w:rPr>
              <w:t>Charge-offs</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2,366</w:t>
            </w: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9,290</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2,671</w:t>
            </w: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808</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15,786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6"/>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w w:val="99"/>
              </w:rPr>
              <w:t>Real Estate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and Industrial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8"/>
                <w:shd w:val="clear" w:color="auto" w:fill="CCEEFF"/>
              </w:rPr>
              <w:t>Three Months Ended June 30, 2021</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3,087</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9,320</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2,005</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407</w:t>
            </w: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190</w:t>
            </w:r>
          </w:p>
        </w:tc>
        <w:tc>
          <w:tcPr>
            <w:tcW w:w="40" w:type="dxa"/>
            <w:vAlign w:val="bottom"/>
          </w:tcPr>
          <w:p>
            <w:pPr>
              <w:spacing w:after="0"/>
              <w:rPr>
                <w:sz w:val="14"/>
                <w:szCs w:val="14"/>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180" w:type="dxa"/>
            <w:vAlign w:val="bottom"/>
            <w:gridSpan w:val="2"/>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8,752</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2,467</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554</w:t>
            </w: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535</w:t>
            </w:r>
          </w:p>
        </w:tc>
        <w:tc>
          <w:tcPr>
            <w:tcW w:w="4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3"/>
                <w:szCs w:val="13"/>
                <w:b w:val="1"/>
                <w:bCs w:val="1"/>
                <w:color w:val="auto"/>
              </w:rPr>
              <w:t>Six Months Ended June 30, 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w:t>
            </w:r>
          </w:p>
        </w:tc>
        <w:tc>
          <w:tcPr>
            <w:tcW w:w="2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9,453</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1,689</w:t>
            </w:r>
          </w:p>
        </w:tc>
        <w:tc>
          <w:tcPr>
            <w:tcW w:w="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(647)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Arial" w:cs="Arial" w:eastAsia="Arial" w:hAnsi="Arial"/>
                <w:sz w:val="13"/>
                <w:szCs w:val="13"/>
                <w:color w:val="auto"/>
              </w:rPr>
              <w:t>Charge-offs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8,752</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2,467</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14,848</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Allowance for credit losses and the outstanding balances in loans as of June 30, 2022 and December 31, 2021 are as follows (in thousands):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151"/>
        </w:trPr>
        <w:tc>
          <w:tcPr>
            <w:tcW w:w="40" w:type="dxa"/>
            <w:vAlign w:val="bottom"/>
          </w:tcPr>
          <w:p>
            <w:pPr>
              <w:spacing w:after="0"/>
              <w:rPr>
                <w:sz w:val="13"/>
                <w:szCs w:val="13"/>
                <w:color w:val="auto"/>
              </w:rPr>
            </w:pPr>
          </w:p>
        </w:tc>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June 30, 2022:</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40" w:type="dxa"/>
            <w:vAlign w:val="bottom"/>
            <w:shd w:val="clear" w:color="auto" w:fill="CCEEFF"/>
          </w:tcPr>
          <w:p>
            <w:pPr>
              <w:spacing w:after="0"/>
              <w:rPr>
                <w:sz w:val="14"/>
                <w:szCs w:val="14"/>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2,201</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9,290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704</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15,467</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2,366</w:t>
            </w:r>
          </w:p>
        </w:tc>
        <w:tc>
          <w:tcPr>
            <w:tcW w:w="40" w:type="dxa"/>
            <w:vAlign w:val="bottom"/>
            <w:shd w:val="clear" w:color="auto" w:fill="CCEEFF"/>
          </w:tcPr>
          <w:p>
            <w:pPr>
              <w:spacing w:after="0"/>
              <w:rPr>
                <w:sz w:val="13"/>
                <w:szCs w:val="13"/>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9,290</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2,671</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40" w:type="dxa"/>
            <w:vAlign w:val="bottom"/>
            <w:gridSpan w:val="2"/>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808</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15,786</w:t>
            </w:r>
          </w:p>
        </w:tc>
        <w:tc>
          <w:tcPr>
            <w:tcW w:w="20" w:type="dxa"/>
            <w:vAlign w:val="bottom"/>
            <w:shd w:val="clear" w:color="auto" w:fill="CCEEFF"/>
          </w:tcPr>
          <w:p>
            <w:pPr>
              <w:spacing w:after="0"/>
              <w:rPr>
                <w:sz w:val="13"/>
                <w:szCs w:val="13"/>
                <w:color w:val="auto"/>
              </w:rPr>
            </w:pPr>
          </w:p>
        </w:tc>
      </w:tr>
      <w:tr>
        <w:trPr>
          <w:trHeight w:val="20"/>
        </w:trPr>
        <w:tc>
          <w:tcPr>
            <w:tcW w:w="2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22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7,307</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594</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99</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20"/>
              <w:spacing w:after="0"/>
              <w:rPr>
                <w:sz w:val="20"/>
                <w:szCs w:val="20"/>
                <w:color w:val="auto"/>
              </w:rPr>
            </w:pPr>
            <w:r>
              <w:rPr>
                <w:rFonts w:ascii="Arial" w:cs="Arial" w:eastAsia="Arial" w:hAnsi="Arial"/>
                <w:sz w:val="13"/>
                <w:szCs w:val="13"/>
                <w:color w:val="auto"/>
              </w:rPr>
              <w:t>- $</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210</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8,210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196,355</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842,851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131,172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84,770</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109,040</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1,364,188</w:t>
            </w:r>
          </w:p>
        </w:tc>
        <w:tc>
          <w:tcPr>
            <w:tcW w:w="20" w:type="dxa"/>
            <w:vAlign w:val="bottom"/>
            <w:shd w:val="clear" w:color="auto" w:fill="CCEEFF"/>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203,662</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843,445</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131,271</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84,770</w:t>
            </w:r>
          </w:p>
        </w:tc>
        <w:tc>
          <w:tcPr>
            <w:tcW w:w="12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109,250</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1,372,398</w:t>
            </w:r>
          </w:p>
        </w:tc>
        <w:tc>
          <w:tcPr>
            <w:tcW w:w="20" w:type="dxa"/>
            <w:vAlign w:val="bottom"/>
          </w:tcPr>
          <w:p>
            <w:pPr>
              <w:spacing w:after="0"/>
              <w:rPr>
                <w:sz w:val="16"/>
                <w:szCs w:val="16"/>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71</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20"/>
              <w:spacing w:after="0"/>
              <w:rPr>
                <w:sz w:val="20"/>
                <w:szCs w:val="20"/>
                <w:color w:val="auto"/>
              </w:rPr>
            </w:pPr>
            <w:r>
              <w:rPr>
                <w:rFonts w:ascii="Arial" w:cs="Arial" w:eastAsia="Arial" w:hAnsi="Arial"/>
                <w:sz w:val="13"/>
                <w:szCs w:val="13"/>
                <w:color w:val="auto"/>
              </w:rPr>
              <w:t>- $</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111</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8,758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2,704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458</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14,697</w:t>
            </w:r>
          </w:p>
        </w:tc>
        <w:tc>
          <w:tcPr>
            <w:tcW w:w="20" w:type="dxa"/>
            <w:vAlign w:val="bottom"/>
            <w:shd w:val="clear" w:color="auto" w:fill="CCEEFF"/>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2,498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8,758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2,775</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457</w:t>
            </w:r>
          </w:p>
        </w:tc>
        <w:tc>
          <w:tcPr>
            <w:tcW w:w="12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569</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6"/>
                <w:szCs w:val="16"/>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9,006</w:t>
            </w:r>
          </w:p>
        </w:tc>
        <w:tc>
          <w:tcPr>
            <w:tcW w:w="40" w:type="dxa"/>
            <w:vAlign w:val="bottom"/>
            <w:shd w:val="clear" w:color="auto" w:fill="CCEEFF"/>
          </w:tcPr>
          <w:p>
            <w:pPr>
              <w:spacing w:after="0"/>
              <w:rPr>
                <w:sz w:val="14"/>
                <w:szCs w:val="14"/>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10,067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192,353</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704,292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146,451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79,005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1,181,592</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40" w:type="dxa"/>
            <w:vAlign w:val="bottom"/>
            <w:shd w:val="clear" w:color="auto" w:fill="CCEEFF"/>
          </w:tcPr>
          <w:p>
            <w:pPr>
              <w:spacing w:after="0"/>
              <w:rPr>
                <w:sz w:val="13"/>
                <w:szCs w:val="13"/>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704,988</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59,491</w:t>
            </w:r>
          </w:p>
        </w:tc>
        <w:tc>
          <w:tcPr>
            <w:tcW w:w="40" w:type="dxa"/>
            <w:vAlign w:val="bottom"/>
            <w:gridSpan w:val="2"/>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1,191,659</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Credit Quality Indicators</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4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60" w:right="839"/>
        <w:spacing w:after="0" w:line="258"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2" w:lineRule="exact"/>
        <w:rPr>
          <w:sz w:val="20"/>
          <w:szCs w:val="20"/>
          <w:color w:val="auto"/>
        </w:rPr>
      </w:pPr>
    </w:p>
    <w:p>
      <w:pPr>
        <w:jc w:val="both"/>
        <w:ind w:left="1160" w:right="83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60" w:right="739"/>
        <w:spacing w:after="0" w:line="258"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540"/>
              <w:spacing w:after="0"/>
              <w:rPr>
                <w:sz w:val="20"/>
                <w:szCs w:val="20"/>
                <w:color w:val="auto"/>
              </w:rPr>
            </w:pPr>
            <w:r>
              <w:rPr>
                <w:rFonts w:ascii="Arial" w:cs="Arial" w:eastAsia="Arial" w:hAnsi="Arial"/>
                <w:sz w:val="13"/>
                <w:szCs w:val="13"/>
                <w:b w:val="1"/>
                <w:bCs w:val="1"/>
                <w:color w:val="auto"/>
              </w:rPr>
              <w:t>As of June 30, 2022</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00"/>
        </w:trPr>
        <w:tc>
          <w:tcPr>
            <w:tcW w:w="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Special</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4"/>
        </w:trPr>
        <w:tc>
          <w:tcPr>
            <w:tcW w:w="4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Mention</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r>
      <w:tr>
        <w:trPr>
          <w:trHeight w:val="151"/>
        </w:trPr>
        <w:tc>
          <w:tcPr>
            <w:tcW w:w="40" w:type="dxa"/>
            <w:vAlign w:val="bottom"/>
          </w:tcPr>
          <w:p>
            <w:pPr>
              <w:spacing w:after="0"/>
              <w:rPr>
                <w:sz w:val="13"/>
                <w:szCs w:val="13"/>
                <w:color w:val="auto"/>
              </w:rPr>
            </w:pPr>
          </w:p>
        </w:tc>
        <w:tc>
          <w:tcPr>
            <w:tcW w:w="28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Residential real estate:</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Home equity line of credit ("HELOC") and other</w:t>
            </w:r>
          </w:p>
        </w:tc>
        <w:tc>
          <w:tcPr>
            <w:tcW w:w="2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707</w:t>
            </w: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4"/>
          </w:tcPr>
          <w:p>
            <w:pPr>
              <w:ind w:left="580"/>
              <w:spacing w:after="0"/>
              <w:rPr>
                <w:sz w:val="20"/>
                <w:szCs w:val="20"/>
                <w:color w:val="auto"/>
              </w:rPr>
            </w:pPr>
            <w:r>
              <w:rPr>
                <w:rFonts w:ascii="Arial" w:cs="Arial" w:eastAsia="Arial" w:hAnsi="Arial"/>
                <w:sz w:val="13"/>
                <w:szCs w:val="13"/>
                <w:color w:val="auto"/>
              </w:rPr>
              <w:t>- $</w:t>
            </w:r>
          </w:p>
        </w:tc>
        <w:tc>
          <w:tcPr>
            <w:tcW w:w="1300" w:type="dxa"/>
            <w:vAlign w:val="bottom"/>
            <w:gridSpan w:val="3"/>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4"/>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707</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144,937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144,937</w:t>
            </w:r>
          </w:p>
        </w:tc>
      </w:tr>
      <w:tr>
        <w:trPr>
          <w:trHeight w:val="171"/>
        </w:trPr>
        <w:tc>
          <w:tcPr>
            <w:tcW w:w="40" w:type="dxa"/>
            <w:vAlign w:val="bottom"/>
          </w:tcPr>
          <w:p>
            <w:pPr>
              <w:spacing w:after="0"/>
              <w:rPr>
                <w:sz w:val="14"/>
                <w:szCs w:val="14"/>
                <w:color w:val="auto"/>
              </w:rPr>
            </w:pPr>
          </w:p>
        </w:tc>
        <w:tc>
          <w:tcPr>
            <w:tcW w:w="28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Condo residential</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58,018</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58,018</w:t>
            </w:r>
          </w:p>
        </w:tc>
      </w:tr>
      <w:tr>
        <w:trPr>
          <w:trHeight w:val="151"/>
        </w:trPr>
        <w:tc>
          <w:tcPr>
            <w:tcW w:w="40" w:type="dxa"/>
            <w:vAlign w:val="bottom"/>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203,662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203,662</w:t>
            </w:r>
          </w:p>
        </w:tc>
      </w:tr>
      <w:tr>
        <w:trPr>
          <w:trHeight w:val="168"/>
        </w:trPr>
        <w:tc>
          <w:tcPr>
            <w:tcW w:w="284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37,326</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37,326</w:t>
            </w: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Multi-family residential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134,535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134,535</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406</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48,509</w:t>
            </w: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621,789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Arial" w:cs="Arial" w:eastAsia="Arial" w:hAnsi="Arial"/>
                <w:sz w:val="13"/>
                <w:szCs w:val="13"/>
                <w:color w:val="auto"/>
              </w:rPr>
              <w:t>1,197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622,986</w:t>
            </w:r>
          </w:p>
        </w:tc>
      </w:tr>
      <w:tr>
        <w:trPr>
          <w:trHeight w:val="165"/>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w:t>
            </w:r>
          </w:p>
        </w:tc>
      </w:tr>
      <w:tr>
        <w:trPr>
          <w:trHeight w:val="156"/>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841,842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3"/>
                <w:szCs w:val="13"/>
                <w:color w:val="auto"/>
              </w:rPr>
              <w:t>1,197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406</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843,445</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Secured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111,293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462</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111,755</w:t>
            </w:r>
          </w:p>
        </w:tc>
      </w:tr>
      <w:tr>
        <w:trPr>
          <w:trHeight w:val="165"/>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19,516</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19,516</w:t>
            </w:r>
          </w:p>
        </w:tc>
      </w:tr>
      <w:tr>
        <w:trPr>
          <w:trHeight w:val="156"/>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130,809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462</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131,271</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84,770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84,770</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210</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109,250</w:t>
            </w:r>
          </w:p>
        </w:tc>
      </w:tr>
      <w:tr>
        <w:trPr>
          <w:trHeight w:val="171"/>
        </w:trPr>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gridSpan w:val="2"/>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1,370,123</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1,197</w:t>
            </w:r>
          </w:p>
        </w:tc>
        <w:tc>
          <w:tcPr>
            <w:tcW w:w="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1,078</w:t>
            </w:r>
          </w:p>
        </w:tc>
        <w:tc>
          <w:tcPr>
            <w:tcW w:w="660" w:type="dxa"/>
            <w:vAlign w:val="bottom"/>
            <w:gridSpan w:val="2"/>
            <w:shd w:val="clear" w:color="auto" w:fill="CCEEFF"/>
          </w:tcPr>
          <w:p>
            <w:pPr>
              <w:jc w:val="right"/>
              <w:ind w:right="536"/>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1,372,398</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380"/>
              <w:spacing w:after="0"/>
              <w:rPr>
                <w:sz w:val="20"/>
                <w:szCs w:val="20"/>
                <w:color w:val="auto"/>
              </w:rPr>
            </w:pPr>
            <w:r>
              <w:rPr>
                <w:rFonts w:ascii="Arial" w:cs="Arial" w:eastAsia="Arial" w:hAnsi="Arial"/>
                <w:sz w:val="13"/>
                <w:szCs w:val="13"/>
                <w:b w:val="1"/>
                <w:bCs w:val="1"/>
                <w:color w:val="auto"/>
              </w:rPr>
              <w:t>As of December 31, 2021</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64"/>
        </w:trPr>
        <w:tc>
          <w:tcPr>
            <w:tcW w:w="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Special</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73"/>
        </w:trPr>
        <w:tc>
          <w:tcPr>
            <w:tcW w:w="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Mention</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r>
      <w:tr>
        <w:trPr>
          <w:trHeight w:val="141"/>
        </w:trPr>
        <w:tc>
          <w:tcPr>
            <w:tcW w:w="4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Home equity line of credit ("HELOC") and other</w:t>
            </w:r>
          </w:p>
        </w:tc>
        <w:tc>
          <w:tcPr>
            <w:tcW w:w="2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701</w:t>
            </w:r>
          </w:p>
        </w:tc>
        <w:tc>
          <w:tcPr>
            <w:tcW w:w="1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4"/>
          </w:tcPr>
          <w:p>
            <w:pPr>
              <w:ind w:left="580"/>
              <w:spacing w:after="0"/>
              <w:rPr>
                <w:sz w:val="20"/>
                <w:szCs w:val="20"/>
                <w:color w:val="auto"/>
              </w:rPr>
            </w:pPr>
            <w:r>
              <w:rPr>
                <w:rFonts w:ascii="Arial" w:cs="Arial" w:eastAsia="Arial" w:hAnsi="Arial"/>
                <w:sz w:val="13"/>
                <w:szCs w:val="13"/>
                <w:color w:val="auto"/>
              </w:rPr>
              <w:t>- $</w:t>
            </w:r>
          </w:p>
        </w:tc>
        <w:tc>
          <w:tcPr>
            <w:tcW w:w="1300" w:type="dxa"/>
            <w:vAlign w:val="bottom"/>
            <w:gridSpan w:val="3"/>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4"/>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701</w:t>
            </w:r>
          </w:p>
        </w:tc>
      </w:tr>
      <w:tr>
        <w:trPr>
          <w:trHeight w:val="151"/>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130,840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4,581</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135,421</w:t>
            </w:r>
          </w:p>
        </w:tc>
      </w:tr>
      <w:tr>
        <w:trPr>
          <w:trHeight w:val="180"/>
        </w:trPr>
        <w:tc>
          <w:tcPr>
            <w:tcW w:w="40" w:type="dxa"/>
            <w:vAlign w:val="bottom"/>
          </w:tcPr>
          <w:p>
            <w:pPr>
              <w:spacing w:after="0"/>
              <w:rPr>
                <w:sz w:val="15"/>
                <w:szCs w:val="15"/>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65,237</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65,237</w:t>
            </w:r>
          </w:p>
        </w:tc>
      </w:tr>
      <w:tr>
        <w:trPr>
          <w:trHeight w:val="141"/>
        </w:trPr>
        <w:tc>
          <w:tcPr>
            <w:tcW w:w="4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196,778</w:t>
            </w: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ind w:left="58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4,581</w:t>
            </w: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201,359</w:t>
            </w:r>
          </w:p>
        </w:tc>
      </w:tr>
      <w:tr>
        <w:trPr>
          <w:trHeight w:val="168"/>
        </w:trPr>
        <w:tc>
          <w:tcPr>
            <w:tcW w:w="284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24,581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24,581</w:t>
            </w: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Multi-family residential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127,489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127,489</w:t>
            </w:r>
          </w:p>
        </w:tc>
      </w:tr>
      <w:tr>
        <w:trPr>
          <w:trHeight w:val="151"/>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41,983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417</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42,400</w:t>
            </w: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509,189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510,411</w:t>
            </w:r>
          </w:p>
        </w:tc>
      </w:tr>
      <w:tr>
        <w:trPr>
          <w:trHeight w:val="155"/>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107</w:t>
            </w:r>
          </w:p>
        </w:tc>
      </w:tr>
      <w:tr>
        <w:trPr>
          <w:trHeight w:val="167"/>
        </w:trPr>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703,349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8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704,988</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800" w:type="dxa"/>
            <w:vAlign w:val="bottom"/>
          </w:tcPr>
          <w:p>
            <w:pPr>
              <w:ind w:left="60"/>
              <w:spacing w:after="0"/>
              <w:rPr>
                <w:sz w:val="20"/>
                <w:szCs w:val="20"/>
                <w:color w:val="auto"/>
              </w:rPr>
            </w:pPr>
            <w:r>
              <w:rPr>
                <w:rFonts w:ascii="Arial" w:cs="Arial" w:eastAsia="Arial" w:hAnsi="Arial"/>
                <w:sz w:val="13"/>
                <w:szCs w:val="13"/>
                <w:color w:val="auto"/>
              </w:rPr>
              <w:t>Secured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97,605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536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98,141</w:t>
            </w:r>
          </w:p>
        </w:tc>
      </w:tr>
      <w:tr>
        <w:trPr>
          <w:trHeight w:val="155"/>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48,434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w:t>
            </w:r>
          </w:p>
        </w:tc>
        <w:tc>
          <w:tcPr>
            <w:tcW w:w="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48,451</w:t>
            </w:r>
          </w:p>
        </w:tc>
      </w:tr>
      <w:tr>
        <w:trPr>
          <w:trHeight w:val="167"/>
        </w:trPr>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146,039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553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146,592</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59,491</w:t>
            </w:r>
          </w:p>
        </w:tc>
      </w:tr>
      <w:tr>
        <w:trPr>
          <w:trHeight w:val="171"/>
        </w:trPr>
        <w:tc>
          <w:tcPr>
            <w:tcW w:w="4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r>
      <w:tr>
        <w:trPr>
          <w:trHeight w:val="160"/>
        </w:trPr>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80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260" w:type="dxa"/>
            <w:vAlign w:val="bottom"/>
            <w:tcBorders>
              <w:bottom w:val="single" w:sz="8" w:color="CCEEFF"/>
            </w:tcBorders>
            <w:gridSpan w:val="3"/>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1,184,662</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ind w:left="280"/>
              <w:spacing w:after="0" w:line="131" w:lineRule="exact"/>
              <w:rPr>
                <w:sz w:val="20"/>
                <w:szCs w:val="20"/>
                <w:color w:val="auto"/>
              </w:rPr>
            </w:pPr>
            <w:r>
              <w:rPr>
                <w:rFonts w:ascii="Arial" w:cs="Arial" w:eastAsia="Arial" w:hAnsi="Arial"/>
                <w:sz w:val="13"/>
                <w:szCs w:val="13"/>
                <w:color w:val="auto"/>
              </w:rPr>
              <w:t>1,222</w:t>
            </w: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5,775</w:t>
            </w:r>
          </w:p>
        </w:tc>
        <w:tc>
          <w:tcPr>
            <w:tcW w:w="660" w:type="dxa"/>
            <w:vAlign w:val="bottom"/>
            <w:tcBorders>
              <w:bottom w:val="single" w:sz="8" w:color="CCEEFF"/>
            </w:tcBorders>
            <w:gridSpan w:val="2"/>
            <w:shd w:val="clear" w:color="auto" w:fill="CCEEFF"/>
          </w:tcPr>
          <w:p>
            <w:pPr>
              <w:jc w:val="right"/>
              <w:ind w:right="536"/>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1,191,659</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Loan Aging</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 The following tables include an aging analysis of accruing loans and total non-accruing loans as of June 30, 2022 and December 31, 2021 (in thousands):</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3"/>
                <w:szCs w:val="13"/>
                <w:b w:val="1"/>
                <w:bCs w:val="1"/>
                <w:color w:val="auto"/>
              </w:rPr>
              <w:t>Accruing</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5"/>
        </w:trPr>
        <w:tc>
          <w:tcPr>
            <w:tcW w:w="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jc w:val="center"/>
              <w:ind w:right="16"/>
              <w:spacing w:after="0" w:line="115" w:lineRule="exact"/>
              <w:rPr>
                <w:sz w:val="20"/>
                <w:szCs w:val="20"/>
                <w:color w:val="auto"/>
              </w:rPr>
            </w:pPr>
            <w:r>
              <w:rPr>
                <w:rFonts w:ascii="Arial" w:cs="Arial" w:eastAsia="Arial" w:hAnsi="Arial"/>
                <w:sz w:val="13"/>
                <w:szCs w:val="13"/>
                <w:b w:val="1"/>
                <w:bCs w:val="1"/>
                <w:color w:val="auto"/>
              </w:rPr>
              <w:t>Past Due 90</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right"/>
              <w:spacing w:after="0"/>
              <w:rPr>
                <w:sz w:val="20"/>
                <w:szCs w:val="20"/>
                <w:color w:val="auto"/>
              </w:rPr>
            </w:pPr>
            <w:r>
              <w:rPr>
                <w:rFonts w:ascii="Arial" w:cs="Arial" w:eastAsia="Arial" w:hAnsi="Arial"/>
                <w:sz w:val="13"/>
                <w:szCs w:val="13"/>
                <w:b w:val="1"/>
                <w:bCs w:val="1"/>
                <w:color w:val="auto"/>
                <w:w w:val="99"/>
              </w:rPr>
              <w:t>Past Due 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As of June 30, 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36"/>
              <w:spacing w:after="0"/>
              <w:rPr>
                <w:sz w:val="20"/>
                <w:szCs w:val="20"/>
                <w:color w:val="auto"/>
              </w:rPr>
            </w:pPr>
            <w:r>
              <w:rPr>
                <w:rFonts w:ascii="Arial" w:cs="Arial" w:eastAsia="Arial" w:hAnsi="Arial"/>
                <w:sz w:val="13"/>
                <w:szCs w:val="13"/>
                <w:b w:val="1"/>
                <w:bCs w:val="1"/>
                <w:color w:val="auto"/>
              </w:rPr>
              <w:t>89 Days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Accruing</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Accruing</w:t>
            </w:r>
          </w:p>
        </w:tc>
        <w:tc>
          <w:tcPr>
            <w:tcW w:w="88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Loans</w:t>
            </w: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Home equity line of credit and other</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707</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576"/>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120" w:type="dxa"/>
            <w:vAlign w:val="bottom"/>
            <w:gridSpan w:val="3"/>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707</w:t>
            </w:r>
          </w:p>
        </w:tc>
        <w:tc>
          <w:tcPr>
            <w:tcW w:w="4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144,937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144,937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144,937</w:t>
            </w:r>
          </w:p>
        </w:tc>
        <w:tc>
          <w:tcPr>
            <w:tcW w:w="20" w:type="dxa"/>
            <w:vAlign w:val="bottom"/>
            <w:shd w:val="clear" w:color="auto" w:fill="CCEEFF"/>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57,338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680</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58,018</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58,018</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202,982</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680</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b w:val="1"/>
                <w:bCs w:val="1"/>
                <w:color w:val="auto"/>
                <w:w w:val="91"/>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203,662</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203,662</w:t>
            </w: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37,326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37,326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37,326</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Multi-family residential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134,535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134,535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134,535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48,509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48,509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48,509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622,986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622,986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622,986</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843,445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843,445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843,445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Secured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111,556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111,755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111,755</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19,516</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19,516</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19,516</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131,072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131,271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131,271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84,770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84,770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84,770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109,250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109,250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109,250</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1,371,519</w:t>
            </w:r>
          </w:p>
        </w:tc>
        <w:tc>
          <w:tcPr>
            <w:tcW w:w="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879</w:t>
            </w:r>
          </w:p>
        </w:tc>
        <w:tc>
          <w:tcPr>
            <w:tcW w:w="740" w:type="dxa"/>
            <w:vAlign w:val="bottom"/>
            <w:gridSpan w:val="3"/>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91"/>
              </w:rPr>
              <w:t>-</w:t>
            </w: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1,372,398</w:t>
            </w:r>
          </w:p>
        </w:tc>
        <w:tc>
          <w:tcPr>
            <w:tcW w:w="4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1,372,398</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Accruing</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tcPr>
          <w:p>
            <w:pPr>
              <w:jc w:val="center"/>
              <w:ind w:right="43"/>
              <w:spacing w:after="0" w:line="126" w:lineRule="exact"/>
              <w:rPr>
                <w:sz w:val="20"/>
                <w:szCs w:val="20"/>
                <w:color w:val="auto"/>
              </w:rPr>
            </w:pPr>
            <w:r>
              <w:rPr>
                <w:rFonts w:ascii="Arial" w:cs="Arial" w:eastAsia="Arial" w:hAnsi="Arial"/>
                <w:sz w:val="13"/>
                <w:szCs w:val="13"/>
                <w:b w:val="1"/>
                <w:bCs w:val="1"/>
                <w:color w:val="auto"/>
                <w:w w:val="97"/>
              </w:rPr>
              <w:t>Past Due 90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73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and Still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380" w:type="dxa"/>
            <w:vAlign w:val="bottom"/>
            <w:gridSpan w:val="3"/>
          </w:tcPr>
          <w:p>
            <w:pPr>
              <w:spacing w:after="0"/>
              <w:rPr>
                <w:sz w:val="20"/>
                <w:szCs w:val="20"/>
                <w:color w:val="auto"/>
              </w:rPr>
            </w:pPr>
            <w:r>
              <w:rPr>
                <w:rFonts w:ascii="Arial" w:cs="Arial" w:eastAsia="Arial" w:hAnsi="Arial"/>
                <w:sz w:val="13"/>
                <w:szCs w:val="13"/>
                <w:b w:val="1"/>
                <w:bCs w:val="1"/>
                <w:color w:val="auto"/>
              </w:rPr>
              <w:t>As of December 31, 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3"/>
                <w:szCs w:val="13"/>
                <w:color w:val="auto"/>
              </w:rPr>
            </w:pPr>
          </w:p>
        </w:tc>
        <w:tc>
          <w:tcPr>
            <w:tcW w:w="680" w:type="dxa"/>
            <w:vAlign w:val="bottom"/>
            <w:gridSpan w:val="3"/>
          </w:tcPr>
          <w:p>
            <w:pPr>
              <w:jc w:val="center"/>
              <w:ind w:left="16"/>
              <w:spacing w:after="0"/>
              <w:rPr>
                <w:sz w:val="20"/>
                <w:szCs w:val="20"/>
                <w:color w:val="auto"/>
              </w:rPr>
            </w:pPr>
            <w:r>
              <w:rPr>
                <w:rFonts w:ascii="Arial" w:cs="Arial" w:eastAsia="Arial" w:hAnsi="Arial"/>
                <w:sz w:val="13"/>
                <w:szCs w:val="13"/>
                <w:b w:val="1"/>
                <w:bCs w:val="1"/>
                <w:color w:val="auto"/>
                <w:w w:val="99"/>
              </w:rPr>
              <w:t>Accruing</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5"/>
              </w:rPr>
              <w:t>Accruing</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0" w:type="dxa"/>
            <w:vAlign w:val="bottom"/>
          </w:tcPr>
          <w:p>
            <w:pPr>
              <w:spacing w:after="0"/>
              <w:rPr>
                <w:sz w:val="13"/>
                <w:szCs w:val="13"/>
                <w:color w:val="auto"/>
              </w:rPr>
            </w:pPr>
          </w:p>
        </w:tc>
        <w:tc>
          <w:tcPr>
            <w:tcW w:w="2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13"/>
                <w:szCs w:val="13"/>
                <w:color w:val="auto"/>
              </w:rPr>
            </w:pPr>
          </w:p>
        </w:tc>
        <w:tc>
          <w:tcPr>
            <w:tcW w:w="71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spacing w:after="0"/>
              <w:rPr>
                <w:sz w:val="13"/>
                <w:szCs w:val="13"/>
                <w:color w:val="auto"/>
              </w:rPr>
            </w:pPr>
          </w:p>
        </w:tc>
        <w:tc>
          <w:tcPr>
            <w:tcW w:w="73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7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133,942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134,231</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135,421</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64,243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994</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65,237</w:t>
            </w: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65,237</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198,886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200,169</w:t>
            </w: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127,053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127,489</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127,489</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510,411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704,552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704,988</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48,041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410</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48,451</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48,451</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146,182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410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146,592</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146,592</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78,969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79,229</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1,188,080</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shd w:val="clear" w:color="auto" w:fill="CCEEFF"/>
              </w:rPr>
              <w:t>1,190,469</w:t>
            </w:r>
          </w:p>
        </w:tc>
        <w:tc>
          <w:tcPr>
            <w:tcW w:w="17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17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1,191,659</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There was no interest income recognized attributable to nonaccrual loans outstanding during June 30, 2022 and 2021. Interest income on these loans for the three months ended June 30, 2022 and 2021, would have been approximately $0 and $1 thousand, respectively, had these loans performed in accordance with their original terms.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Impaired Loans</w:t>
      </w:r>
    </w:p>
    <w:p>
      <w:pPr>
        <w:spacing w:after="0" w:line="188"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at the dates indicated (in thousands):</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June 30, 2022</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0"/>
          </w:tcPr>
          <w:p>
            <w:pPr>
              <w:jc w:val="center"/>
              <w:ind w:right="56"/>
              <w:spacing w:after="0"/>
              <w:rPr>
                <w:sz w:val="20"/>
                <w:szCs w:val="20"/>
                <w:color w:val="auto"/>
              </w:rPr>
            </w:pPr>
            <w:r>
              <w:rPr>
                <w:rFonts w:ascii="Arial" w:cs="Arial" w:eastAsia="Arial" w:hAnsi="Arial"/>
                <w:sz w:val="13"/>
                <w:szCs w:val="13"/>
                <w:b w:val="1"/>
                <w:bCs w:val="1"/>
                <w:color w:val="auto"/>
                <w:w w:val="97"/>
              </w:rPr>
              <w:t>December 31, 2021</w:t>
            </w:r>
          </w:p>
        </w:tc>
        <w:tc>
          <w:tcPr>
            <w:tcW w:w="20" w:type="dxa"/>
            <w:vAlign w:val="bottom"/>
          </w:tcPr>
          <w:p>
            <w:pPr>
              <w:spacing w:after="0"/>
              <w:rPr>
                <w:sz w:val="14"/>
                <w:szCs w:val="14"/>
                <w:color w:val="auto"/>
              </w:rPr>
            </w:pPr>
          </w:p>
        </w:tc>
      </w:tr>
      <w:tr>
        <w:trPr>
          <w:trHeight w:val="232"/>
        </w:trPr>
        <w:tc>
          <w:tcPr>
            <w:tcW w:w="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b w:val="1"/>
                <w:bCs w:val="1"/>
                <w:color w:val="auto"/>
                <w:w w:val="95"/>
              </w:rPr>
              <w:t>Unpaid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Principal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b w:val="1"/>
                <w:bCs w:val="1"/>
                <w:color w:val="auto"/>
                <w:w w:val="92"/>
              </w:rPr>
              <w:t>Valuation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2"/>
                <w:szCs w:val="12"/>
                <w:color w:val="auto"/>
              </w:rPr>
            </w:pPr>
          </w:p>
        </w:tc>
        <w:tc>
          <w:tcPr>
            <w:tcW w:w="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b w:val="1"/>
                <w:bCs w:val="1"/>
                <w:color w:val="auto"/>
                <w:w w:val="95"/>
              </w:rPr>
              <w:t>Valuation</w:t>
            </w:r>
          </w:p>
        </w:tc>
        <w:tc>
          <w:tcPr>
            <w:tcW w:w="20" w:type="dxa"/>
            <w:vAlign w:val="bottom"/>
          </w:tcPr>
          <w:p>
            <w:pPr>
              <w:spacing w:after="0"/>
              <w:rPr>
                <w:sz w:val="12"/>
                <w:szCs w:val="12"/>
                <w:color w:val="auto"/>
              </w:rPr>
            </w:pPr>
          </w:p>
        </w:tc>
      </w:tr>
      <w:tr>
        <w:trPr>
          <w:trHeight w:val="173"/>
        </w:trPr>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Balance</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6"/>
              </w:rPr>
              <w:t>Allowance</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6"/>
              </w:rPr>
              <w:t>Allowance</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7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Impaired Loans with No Specific Allowance:</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3,598</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3,592</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5,021</w:t>
            </w: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5,035</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593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7"/>
        </w:trPr>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4,191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4,185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5,730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3,710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3,677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165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3,985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178</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99</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40" w:type="dxa"/>
            <w:vAlign w:val="bottom"/>
          </w:tcPr>
          <w:p>
            <w:pPr>
              <w:spacing w:after="0"/>
              <w:rPr>
                <w:sz w:val="15"/>
                <w:szCs w:val="15"/>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Consumer and other</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210</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104</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20" w:type="dxa"/>
            <w:vAlign w:val="bottom"/>
          </w:tcPr>
          <w:p>
            <w:pPr>
              <w:spacing w:after="0"/>
              <w:rPr>
                <w:sz w:val="15"/>
                <w:szCs w:val="15"/>
                <w:color w:val="auto"/>
              </w:rPr>
            </w:pPr>
          </w:p>
        </w:tc>
      </w:tr>
      <w:tr>
        <w:trPr>
          <w:trHeight w:val="131"/>
        </w:trPr>
        <w:tc>
          <w:tcPr>
            <w:tcW w:w="40" w:type="dxa"/>
            <w:vAlign w:val="bottom"/>
          </w:tcPr>
          <w:p>
            <w:pPr>
              <w:spacing w:after="0"/>
              <w:rPr>
                <w:sz w:val="11"/>
                <w:szCs w:val="11"/>
                <w:color w:val="auto"/>
              </w:rPr>
            </w:pPr>
          </w:p>
        </w:tc>
        <w:tc>
          <w:tcPr>
            <w:tcW w:w="27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4,019</w:t>
            </w: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3,986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319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4,350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4,315</w:t>
            </w: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360</w:t>
            </w:r>
          </w:p>
        </w:tc>
        <w:tc>
          <w:tcPr>
            <w:tcW w:w="20" w:type="dxa"/>
            <w:vAlign w:val="bottom"/>
            <w:tcBorders>
              <w:bottom w:val="single" w:sz="8" w:color="CCEEFF"/>
            </w:tcBorders>
            <w:shd w:val="clear" w:color="auto" w:fill="CCEEFF"/>
          </w:tcPr>
          <w:p>
            <w:pPr>
              <w:spacing w:after="0"/>
              <w:rPr>
                <w:sz w:val="11"/>
                <w:szCs w:val="11"/>
                <w:color w:val="auto"/>
              </w:rPr>
            </w:pPr>
          </w:p>
        </w:tc>
      </w:tr>
      <w:tr>
        <w:trPr>
          <w:trHeight w:val="172"/>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Total</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8,210</w:t>
            </w:r>
          </w:p>
        </w:tc>
        <w:tc>
          <w:tcPr>
            <w:tcW w:w="16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8,171</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319</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10,067</w:t>
            </w: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10,045</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Net investment balance is the unpaid principal balance of the loan adjusted for the remaining net deferred loan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following table presents the average recorded investment balance on impaired loans for the dates indicated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4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3"/>
                <w:szCs w:val="13"/>
                <w:b w:val="1"/>
                <w:bCs w:val="1"/>
                <w:color w:val="auto"/>
              </w:rPr>
              <w:t>Three Months Ended June 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20" w:type="dxa"/>
            <w:vAlign w:val="bottom"/>
            <w:gridSpan w:val="2"/>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7,332</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8,321</w:t>
            </w:r>
          </w:p>
        </w:tc>
        <w:tc>
          <w:tcPr>
            <w:tcW w:w="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7,890</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9,027</w:t>
            </w:r>
          </w:p>
        </w:tc>
        <w:tc>
          <w:tcPr>
            <w:tcW w:w="20" w:type="dxa"/>
            <w:vAlign w:val="bottom"/>
            <w:shd w:val="clear" w:color="auto" w:fill="CCEEFF"/>
          </w:tcPr>
          <w:p>
            <w:pPr>
              <w:spacing w:after="0"/>
              <w:rPr>
                <w:sz w:val="13"/>
                <w:szCs w:val="13"/>
                <w:color w:val="auto"/>
              </w:rPr>
            </w:pPr>
          </w:p>
        </w:tc>
      </w:tr>
      <w:tr>
        <w:trPr>
          <w:trHeight w:val="171"/>
        </w:trPr>
        <w:tc>
          <w:tcPr>
            <w:tcW w:w="21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599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631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115</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124</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20" w:type="dxa"/>
            <w:vAlign w:val="bottom"/>
            <w:shd w:val="clear" w:color="auto" w:fill="CCEEFF"/>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214</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217</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420" w:type="dxa"/>
            <w:vAlign w:val="bottom"/>
            <w:gridSpan w:val="2"/>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8,260</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9,489</w:t>
            </w:r>
          </w:p>
        </w:tc>
        <w:tc>
          <w:tcPr>
            <w:tcW w:w="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8,862</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10,210</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Interest income recognized on impaired loans for the three months ended June 30, 2022 and 2021 was $90 thousand and $105 thousand, respectively.</w:t>
      </w:r>
    </w:p>
    <w:p>
      <w:pPr>
        <w:spacing w:after="0" w:line="153"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Interest income recognized on impaired loans for the six months ended June 30, 2022 and 2021 was $ 181 thousand and $214 thousand, respectively.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Troubled Debt Restructuring</w:t>
      </w:r>
    </w:p>
    <w:p>
      <w:pPr>
        <w:spacing w:after="0" w:line="188"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A troubled debt restructuring (“TDR”) occurs when the Company has agreed to a loan modification in the form of a concession for a borrower who is experiencing financial difficulty. Modifications to loans can be made for rate, term, payment, conversion of loan to interest only for a limited period of time or a combination to include more than one type of modification.</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presents performing and non-performing TDRs at the dates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June 30, 2022</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3"/>
                <w:szCs w:val="13"/>
                <w:b w:val="1"/>
                <w:bCs w:val="1"/>
                <w:color w:val="auto"/>
                <w:w w:val="99"/>
              </w:rPr>
              <w:t>December 31, 2021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center"/>
              <w:ind w:right="3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Accrual Status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center"/>
              <w:ind w:right="36"/>
              <w:spacing w:after="0"/>
              <w:rPr>
                <w:sz w:val="20"/>
                <w:szCs w:val="20"/>
                <w:color w:val="auto"/>
              </w:rPr>
            </w:pPr>
            <w:r>
              <w:rPr>
                <w:rFonts w:ascii="Arial" w:cs="Arial" w:eastAsia="Arial" w:hAnsi="Arial"/>
                <w:sz w:val="13"/>
                <w:szCs w:val="13"/>
                <w:b w:val="1"/>
                <w:bCs w:val="1"/>
                <w:color w:val="auto"/>
              </w:rPr>
              <w:t>Status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Total TDRs</w:t>
            </w: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Accrual Status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rPr>
              <w:t>Status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Total TDRs</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16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50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7,307</w:t>
            </w:r>
          </w:p>
        </w:tc>
        <w:tc>
          <w:tcPr>
            <w:tcW w:w="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9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7,307</w:t>
            </w:r>
          </w:p>
        </w:tc>
        <w:tc>
          <w:tcPr>
            <w:tcW w:w="32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7,815</w:t>
            </w:r>
          </w:p>
        </w:tc>
        <w:tc>
          <w:tcPr>
            <w:tcW w:w="10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2"/>
                <w:szCs w:val="12"/>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594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594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696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210</w:t>
            </w: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210</w:t>
            </w: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224</w:t>
            </w: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162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500" w:type="dxa"/>
            <w:vAlign w:val="bottom"/>
            <w:tcBorders>
              <w:bottom w:val="single" w:sz="8" w:color="CCEEFF"/>
            </w:tcBorders>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8,210</w:t>
            </w:r>
          </w:p>
        </w:tc>
        <w:tc>
          <w:tcPr>
            <w:tcW w:w="80" w:type="dxa"/>
            <w:vAlign w:val="bottom"/>
            <w:tcBorders>
              <w:bottom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90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8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8,210</w:t>
            </w:r>
          </w:p>
        </w:tc>
        <w:tc>
          <w:tcPr>
            <w:tcW w:w="320" w:type="dxa"/>
            <w:vAlign w:val="bottom"/>
            <w:tcBorders>
              <w:bottom w:val="single" w:sz="8" w:color="CCEEFF"/>
            </w:tcBorders>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6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8,876</w:t>
            </w:r>
          </w:p>
        </w:tc>
        <w:tc>
          <w:tcPr>
            <w:tcW w:w="100" w:type="dxa"/>
            <w:vAlign w:val="bottom"/>
            <w:tcBorders>
              <w:bottom w:val="single" w:sz="8" w:color="CCEEFF"/>
            </w:tcBorders>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8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8,876</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had allocated $319 thousand and $ 360 thousand of specific allowance for TDR loans at June 30, 2022 and December 31, 2021, respectively. There were no charge-offs on TDR loans during the three and six months ended June 30, 2022 and 2021. There were no commitments outstanding to lend additional funds to any of these TDR customers as of June 30, 2022.</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During the quarter ended June 30, 2022 and 2021, there were no defaults on loans which were modified as a TDR within the prior 12 months. The Company also did not have any new TDR loans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1020" w:hanging="378"/>
        <w:spacing w:after="0"/>
        <w:tabs>
          <w:tab w:leader="none" w:pos="102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Company’s provision for income taxes is presented in the following table for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Six Months Ended June 30,</w:t>
            </w: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jc w:val="center"/>
              <w:ind w:right="2556"/>
              <w:spacing w:after="0"/>
              <w:rPr>
                <w:sz w:val="20"/>
                <w:szCs w:val="20"/>
                <w:color w:val="auto"/>
              </w:rPr>
            </w:pPr>
            <w:r>
              <w:rPr>
                <w:rFonts w:ascii="Arial" w:cs="Arial" w:eastAsia="Arial" w:hAnsi="Arial"/>
                <w:sz w:val="13"/>
                <w:szCs w:val="13"/>
                <w:b w:val="1"/>
                <w:bCs w:val="1"/>
                <w:color w:val="auto"/>
                <w:w w:val="89"/>
              </w:rPr>
              <w:t>Current:</w:t>
            </w:r>
          </w:p>
        </w:tc>
        <w:tc>
          <w:tcPr>
            <w:tcW w:w="20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Federal</w:t>
            </w:r>
          </w:p>
        </w:tc>
        <w:tc>
          <w:tcPr>
            <w:tcW w:w="2840" w:type="dxa"/>
            <w:vAlign w:val="bottom"/>
            <w:gridSpan w:val="2"/>
          </w:tcPr>
          <w:p>
            <w:pPr>
              <w:jc w:val="right"/>
              <w:ind w:right="69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jc w:val="center"/>
              <w:ind w:right="2556"/>
              <w:spacing w:after="0"/>
              <w:rPr>
                <w:sz w:val="20"/>
                <w:szCs w:val="20"/>
                <w:color w:val="auto"/>
              </w:rPr>
            </w:pPr>
            <w:r>
              <w:rPr>
                <w:rFonts w:ascii="Arial" w:cs="Arial" w:eastAsia="Arial" w:hAnsi="Arial"/>
                <w:sz w:val="13"/>
                <w:szCs w:val="13"/>
                <w:color w:val="auto"/>
                <w:w w:val="85"/>
              </w:rPr>
              <w:t>State</w:t>
            </w:r>
          </w:p>
        </w:tc>
        <w:tc>
          <w:tcPr>
            <w:tcW w:w="20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312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Federal</w:t>
            </w: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2,778</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2,268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jc w:val="center"/>
              <w:ind w:right="2556"/>
              <w:spacing w:after="0"/>
              <w:rPr>
                <w:sz w:val="20"/>
                <w:szCs w:val="20"/>
                <w:color w:val="auto"/>
              </w:rPr>
            </w:pPr>
            <w:r>
              <w:rPr>
                <w:rFonts w:ascii="Arial" w:cs="Arial" w:eastAsia="Arial" w:hAnsi="Arial"/>
                <w:sz w:val="13"/>
                <w:szCs w:val="13"/>
                <w:color w:val="auto"/>
                <w:w w:val="85"/>
              </w:rPr>
              <w:t>State</w:t>
            </w:r>
          </w:p>
        </w:tc>
        <w:tc>
          <w:tcPr>
            <w:tcW w:w="20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788</w:t>
            </w:r>
          </w:p>
        </w:tc>
        <w:tc>
          <w:tcPr>
            <w:tcW w:w="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20" w:type="dxa"/>
            <w:vAlign w:val="bottom"/>
            <w:shd w:val="clear" w:color="auto" w:fill="CCEEFF"/>
          </w:tcPr>
          <w:p>
            <w:pPr>
              <w:spacing w:after="0"/>
              <w:rPr>
                <w:sz w:val="14"/>
                <w:szCs w:val="14"/>
                <w:color w:val="auto"/>
              </w:rPr>
            </w:pPr>
          </w:p>
        </w:tc>
      </w:tr>
      <w:tr>
        <w:trPr>
          <w:trHeight w:val="151"/>
        </w:trPr>
        <w:tc>
          <w:tcPr>
            <w:tcW w:w="3120" w:type="dxa"/>
            <w:vAlign w:val="bottom"/>
            <w:gridSpan w:val="2"/>
          </w:tcPr>
          <w:p>
            <w:pPr>
              <w:spacing w:after="0"/>
              <w:rPr>
                <w:sz w:val="20"/>
                <w:szCs w:val="20"/>
                <w:color w:val="auto"/>
              </w:rPr>
            </w:pPr>
            <w:r>
              <w:rPr>
                <w:rFonts w:ascii="Arial" w:cs="Arial" w:eastAsia="Arial" w:hAnsi="Arial"/>
                <w:sz w:val="13"/>
                <w:szCs w:val="13"/>
                <w:color w:val="auto"/>
              </w:rPr>
              <w:t>Total deferred</w:t>
            </w: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3,566</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2,761</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Arial" w:cs="Arial" w:eastAsia="Arial" w:hAnsi="Arial"/>
                <w:sz w:val="13"/>
                <w:szCs w:val="13"/>
                <w:color w:val="auto"/>
              </w:rPr>
              <w:t>Total tax expense</w:t>
            </w:r>
          </w:p>
        </w:tc>
        <w:tc>
          <w:tcPr>
            <w:tcW w:w="2840" w:type="dxa"/>
            <w:vAlign w:val="bottom"/>
            <w:gridSpan w:val="2"/>
          </w:tcPr>
          <w:p>
            <w:pPr>
              <w:jc w:val="right"/>
              <w:ind w:right="69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3,566</w:t>
            </w:r>
          </w:p>
        </w:tc>
        <w:tc>
          <w:tcPr>
            <w:tcW w:w="86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2,761</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actual income tax expense for the six months ended June 30, 2022 and 2021 differs from the statutory tax expense for the year (computed by applying the U.S. federal corporate tax rate of 21% for 2022 and 2021 to income before provision for income taxes) as follows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Federal taxes at statutory rate</w:t>
            </w:r>
          </w:p>
        </w:tc>
        <w:tc>
          <w:tcPr>
            <w:tcW w:w="212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2,435</w:t>
            </w:r>
          </w:p>
        </w:tc>
        <w:tc>
          <w:tcPr>
            <w:tcW w:w="20" w:type="dxa"/>
            <w:vAlign w:val="bottom"/>
            <w:shd w:val="clear" w:color="auto" w:fill="CCEEFF"/>
          </w:tcPr>
          <w:p>
            <w:pPr>
              <w:spacing w:after="0"/>
              <w:rPr>
                <w:sz w:val="13"/>
                <w:szCs w:val="13"/>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596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406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1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1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tax expense</w:t>
            </w:r>
          </w:p>
        </w:tc>
        <w:tc>
          <w:tcPr>
            <w:tcW w:w="212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3,566</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2,761</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196"/>
              <w:spacing w:after="0"/>
              <w:rPr>
                <w:sz w:val="20"/>
                <w:szCs w:val="20"/>
                <w:color w:val="auto"/>
              </w:rPr>
            </w:pPr>
            <w:r>
              <w:rPr>
                <w:rFonts w:ascii="Arial" w:cs="Arial" w:eastAsia="Arial" w:hAnsi="Arial"/>
                <w:sz w:val="13"/>
                <w:szCs w:val="13"/>
                <w:b w:val="1"/>
                <w:bCs w:val="1"/>
                <w:color w:val="auto"/>
              </w:rPr>
              <w:t>June 30, 2022</w:t>
            </w:r>
          </w:p>
        </w:tc>
        <w:tc>
          <w:tcPr>
            <w:tcW w:w="40" w:type="dxa"/>
            <w:vAlign w:val="bottom"/>
          </w:tcPr>
          <w:p>
            <w:pPr>
              <w:spacing w:after="0"/>
              <w:rPr>
                <w:sz w:val="13"/>
                <w:szCs w:val="13"/>
                <w:color w:val="auto"/>
              </w:rPr>
            </w:pPr>
          </w:p>
        </w:tc>
        <w:tc>
          <w:tcPr>
            <w:tcW w:w="132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2021</w:t>
            </w:r>
          </w:p>
        </w:tc>
      </w:tr>
      <w:tr>
        <w:trPr>
          <w:trHeight w:val="151"/>
        </w:trPr>
        <w:tc>
          <w:tcPr>
            <w:tcW w:w="40" w:type="dxa"/>
            <w:vAlign w:val="bottom"/>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Net operating loss</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25,768</w:t>
            </w:r>
          </w:p>
        </w:tc>
        <w:tc>
          <w:tcPr>
            <w:tcW w:w="48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28,819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Allowance for credit losses</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4,001</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3,816</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Lease liability</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3,440</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3,595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Unrealized losses on available for sale securities</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12,514</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Deferred loan fees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Depreciable property</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134</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Stock option compensation</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298</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Accruals</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447</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net</w:t>
            </w: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144</w:t>
            </w:r>
          </w:p>
        </w:tc>
        <w:tc>
          <w:tcPr>
            <w:tcW w:w="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r>
      <w:tr>
        <w:trPr>
          <w:trHeight w:val="151"/>
        </w:trPr>
        <w:tc>
          <w:tcPr>
            <w:tcW w:w="60" w:type="dxa"/>
            <w:vAlign w:val="bottom"/>
            <w:gridSpan w:val="2"/>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46,746</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38,651</w:t>
            </w:r>
          </w:p>
        </w:tc>
        <w:tc>
          <w:tcPr>
            <w:tcW w:w="20" w:type="dxa"/>
            <w:vAlign w:val="bottom"/>
            <w:shd w:val="clear" w:color="auto" w:fill="CCEEFF"/>
          </w:tcPr>
          <w:p>
            <w:pPr>
              <w:spacing w:after="0"/>
              <w:rPr>
                <w:sz w:val="13"/>
                <w:szCs w:val="13"/>
                <w:color w:val="auto"/>
              </w:rPr>
            </w:pPr>
          </w:p>
        </w:tc>
      </w:tr>
      <w:tr>
        <w:trPr>
          <w:trHeight w:val="171"/>
        </w:trPr>
        <w:tc>
          <w:tcPr>
            <w:tcW w:w="396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liability:</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Deferred loan cost</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(85)</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Lease right of use asset</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(3,440)</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Deferred expenses</w:t>
            </w: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20" w:type="dxa"/>
            <w:vAlign w:val="bottom"/>
          </w:tcPr>
          <w:p>
            <w:pPr>
              <w:spacing w:after="0"/>
              <w:rPr>
                <w:sz w:val="14"/>
                <w:szCs w:val="14"/>
                <w:color w:val="auto"/>
              </w:rPr>
            </w:pPr>
          </w:p>
        </w:tc>
      </w:tr>
      <w:tr>
        <w:trPr>
          <w:trHeight w:val="151"/>
        </w:trPr>
        <w:tc>
          <w:tcPr>
            <w:tcW w:w="60" w:type="dxa"/>
            <w:vAlign w:val="bottom"/>
            <w:gridSpan w:val="2"/>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liability</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(3,687)</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w:t>
            </w: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920" w:type="dxa"/>
            <w:vAlign w:val="bottom"/>
            <w:tcBorders>
              <w:bottom w:val="single" w:sz="8" w:color="CCEEFF"/>
            </w:tcBorders>
            <w:gridSpan w:val="2"/>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0" w:type="dxa"/>
            <w:vAlign w:val="bottom"/>
            <w:gridSpan w:val="2"/>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43,059</w:t>
            </w:r>
          </w:p>
        </w:tc>
        <w:tc>
          <w:tcPr>
            <w:tcW w:w="48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34,929</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Company has approximately $97.8 million of federal and $ 120.5 million of state net operating loss carryforwards expiring in various amounts between 2031 and 2036 and are limited to future taxable earnings of the Company.</w:t>
      </w:r>
    </w:p>
    <w:p>
      <w:pPr>
        <w:spacing w:after="0" w:line="200" w:lineRule="exact"/>
        <w:rPr>
          <w:sz w:val="20"/>
          <w:szCs w:val="20"/>
          <w:color w:val="auto"/>
        </w:rPr>
      </w:pPr>
    </w:p>
    <w:p>
      <w:pPr>
        <w:spacing w:after="0" w:line="39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examinations by tax authorities for years before 2018.</w:t>
      </w:r>
    </w:p>
    <w:p>
      <w:pPr>
        <w:spacing w:after="0" w:line="142"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For the three months ended June 30, 2022 and 2021, the Company did not have any unrecognized tax benefits as a result of tax positions taken during a prior period or during the current period. Additionally, no interest or penalties were recorded as a result of tax uncertainties.</w:t>
      </w:r>
    </w:p>
    <w:p>
      <w:pPr>
        <w:spacing w:after="0" w:line="124" w:lineRule="exact"/>
        <w:rPr>
          <w:sz w:val="20"/>
          <w:szCs w:val="20"/>
          <w:color w:val="auto"/>
        </w:rPr>
      </w:pPr>
    </w:p>
    <w:p>
      <w:pPr>
        <w:ind w:left="1020" w:hanging="378"/>
        <w:spacing w:after="0"/>
        <w:tabs>
          <w:tab w:leader="none" w:pos="102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20"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47"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June 30, 2022 and December 31, 2021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56"/>
              <w:spacing w:after="0"/>
              <w:rPr>
                <w:sz w:val="20"/>
                <w:szCs w:val="20"/>
                <w:color w:val="auto"/>
              </w:rPr>
            </w:pPr>
            <w:r>
              <w:rPr>
                <w:rFonts w:ascii="Arial" w:cs="Arial" w:eastAsia="Arial" w:hAnsi="Arial"/>
                <w:sz w:val="13"/>
                <w:szCs w:val="13"/>
                <w:b w:val="1"/>
                <w:bCs w:val="1"/>
                <w:color w:val="auto"/>
              </w:rPr>
              <w:t>June 30, 2022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9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Commitments to grant loans and unfunded lines of credit</w:t>
            </w:r>
          </w:p>
        </w:tc>
        <w:tc>
          <w:tcPr>
            <w:tcW w:w="9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142,498</w:t>
            </w:r>
          </w:p>
        </w:tc>
        <w:tc>
          <w:tcPr>
            <w:tcW w:w="1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134,877</w:t>
            </w:r>
          </w:p>
        </w:tc>
        <w:tc>
          <w:tcPr>
            <w:tcW w:w="20" w:type="dxa"/>
            <w:vAlign w:val="bottom"/>
            <w:shd w:val="clear" w:color="auto" w:fill="CCEEFF"/>
          </w:tcPr>
          <w:p>
            <w:pPr>
              <w:spacing w:after="0"/>
              <w:rPr>
                <w:sz w:val="12"/>
                <w:szCs w:val="12"/>
                <w:color w:val="auto"/>
              </w:rPr>
            </w:pPr>
          </w:p>
        </w:tc>
      </w:tr>
      <w:tr>
        <w:trPr>
          <w:trHeight w:val="160"/>
        </w:trPr>
        <w:tc>
          <w:tcPr>
            <w:tcW w:w="4020" w:type="dxa"/>
            <w:vAlign w:val="bottom"/>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3,843</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6,420</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9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146,341</w:t>
            </w:r>
          </w:p>
        </w:tc>
        <w:tc>
          <w:tcPr>
            <w:tcW w:w="120" w:type="dxa"/>
            <w:vAlign w:val="bottom"/>
            <w:tcBorders>
              <w:bottom w:val="single" w:sz="8" w:color="CCEEFF"/>
            </w:tcBorders>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141,297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40" w:right="739" w:firstLine="256"/>
        <w:spacing w:after="0" w:line="252"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53"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42"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138" w:lineRule="exact"/>
        <w:rPr>
          <w:sz w:val="20"/>
          <w:szCs w:val="20"/>
          <w:color w:val="auto"/>
        </w:rPr>
      </w:pPr>
    </w:p>
    <w:p>
      <w:pPr>
        <w:ind w:left="1020" w:hanging="378"/>
        <w:spacing w:after="0"/>
        <w:tabs>
          <w:tab w:leader="none" w:pos="102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2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utilizes interest rate swap agreements as part of its asset 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enters into interest rate swaps with its loan customers. The Company had 17 and 18 interest rate swaps with loan customers with an aggregate notional amount of $36.3 million and $39.2 million at June 30, 2022 and December 31, 2021, respectively. These interest rate swaps mature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w:t>
      </w:r>
    </w:p>
    <w:p>
      <w:pPr>
        <w:spacing w:after="0" w:line="25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719"/>
        <w:spacing w:after="0" w:line="252" w:lineRule="auto"/>
        <w:rPr>
          <w:sz w:val="20"/>
          <w:szCs w:val="20"/>
          <w:color w:val="auto"/>
        </w:rPr>
      </w:pPr>
      <w:r>
        <w:rPr>
          <w:rFonts w:ascii="Arial" w:cs="Arial" w:eastAsia="Arial" w:hAnsi="Arial"/>
          <w:sz w:val="14"/>
          <w:szCs w:val="14"/>
          <w:color w:val="auto"/>
        </w:rPr>
        <w:t>the Consolidated Balance Sheets. While these derivatives represent economic hedges, they do not qualify as hedges for accounting purposes.</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Company’s customer-related interest rate swaps at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9"/>
              </w:rPr>
              <w:t>Notional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w w:val="97"/>
              </w:rPr>
              <w:t>Collateral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Balance Sheet Location</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Asset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Liability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0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June 30, 2022:</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36,315</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1,260</w:t>
            </w:r>
          </w:p>
        </w:tc>
        <w:tc>
          <w:tcPr>
            <w:tcW w:w="16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3,831</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020" w:type="dxa"/>
            <w:vAlign w:val="bottom"/>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39,156</w:t>
            </w:r>
          </w:p>
        </w:tc>
        <w:tc>
          <w:tcPr>
            <w:tcW w:w="12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1,260</w:t>
            </w:r>
          </w:p>
        </w:tc>
        <w:tc>
          <w:tcPr>
            <w:tcW w:w="1660" w:type="dxa"/>
            <w:vAlign w:val="bottom"/>
            <w:gridSpan w:val="3"/>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1,434</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20" w:hanging="378"/>
        <w:spacing w:after="0"/>
        <w:tabs>
          <w:tab w:leader="none" w:pos="10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Determination of Fair Value</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58"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Fair Value Hierarchy</w:t>
      </w:r>
    </w:p>
    <w:p>
      <w:pPr>
        <w:spacing w:after="0" w:line="188"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24"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2"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2" w:lineRule="exact"/>
        <w:rPr>
          <w:sz w:val="20"/>
          <w:szCs w:val="20"/>
          <w:color w:val="auto"/>
        </w:rPr>
      </w:pPr>
    </w:p>
    <w:p>
      <w:pPr>
        <w:jc w:val="both"/>
        <w:ind w:left="1160" w:right="719"/>
        <w:spacing w:after="0" w:line="257"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39"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23" w:lineRule="exact"/>
        <w:rPr>
          <w:sz w:val="20"/>
          <w:szCs w:val="20"/>
          <w:color w:val="auto"/>
        </w:rPr>
      </w:pPr>
    </w:p>
    <w:p>
      <w:pPr>
        <w:ind w:left="640" w:right="719" w:firstLine="256"/>
        <w:spacing w:after="0" w:line="295"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represents the Company's assets measured at fair value on a recurring basis at June 30, 2022 and</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December 31, 2021 for each of the fair value hierarchy levels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2022</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3"/>
                <w:szCs w:val="13"/>
                <w:b w:val="1"/>
                <w:bCs w:val="1"/>
                <w:color w:val="auto"/>
                <w:w w:val="99"/>
              </w:rPr>
              <w:t>December 31, 2021</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Level 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5"/>
              </w:rPr>
              <w:t>Level 2</w:t>
            </w: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5"/>
              </w:rPr>
              <w:t>Level 3</w:t>
            </w: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w w:val="95"/>
              </w:rPr>
              <w:t>Level 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5"/>
              </w:rPr>
              <w:t>Level 2</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Level 3</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Investment securities available for sale:</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4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U.S. Government Agency</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00"/>
              <w:spacing w:after="0"/>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25,850</w:t>
            </w:r>
          </w:p>
        </w:tc>
        <w:tc>
          <w:tcPr>
            <w:tcW w:w="400" w:type="dxa"/>
            <w:vAlign w:val="bottom"/>
            <w:gridSpan w:val="2"/>
          </w:tcPr>
          <w:p>
            <w:pPr>
              <w:jc w:val="right"/>
              <w:ind w:right="276"/>
              <w:spacing w:after="0"/>
              <w:rPr>
                <w:sz w:val="20"/>
                <w:szCs w:val="20"/>
                <w:color w:val="auto"/>
              </w:rPr>
            </w:pPr>
            <w:r>
              <w:rPr>
                <w:rFonts w:ascii="Arial" w:cs="Arial" w:eastAsia="Arial" w:hAnsi="Arial"/>
                <w:sz w:val="10"/>
                <w:szCs w:val="10"/>
                <w:color w:val="auto"/>
                <w:w w:val="71"/>
              </w:rPr>
              <w:t>$</w:t>
            </w:r>
          </w:p>
        </w:tc>
        <w:tc>
          <w:tcPr>
            <w:tcW w:w="24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25,850</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60"/>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10,520</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10,520</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U.S. Treasury</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2,437</w:t>
            </w:r>
          </w:p>
        </w:tc>
        <w:tc>
          <w:tcPr>
            <w:tcW w:w="40" w:type="dxa"/>
            <w:vAlign w:val="bottom"/>
            <w:tcBorders>
              <w:left w:val="single" w:sz="8" w:color="CCEEFF"/>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2,437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133,820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133,820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156,829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156,829</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95,982</w:t>
            </w:r>
          </w:p>
        </w:tc>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95,982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118,842</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118,842</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40,121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40,121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50,117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50,117</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Municipal Securities</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19,602</w:t>
            </w:r>
          </w:p>
        </w:tc>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19,602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24,276</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24,276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15,972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15,972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28,408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28,408</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Corporate bonds</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right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5,680</w:t>
            </w:r>
          </w:p>
        </w:tc>
        <w:tc>
          <w:tcPr>
            <w:tcW w:w="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5,680</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12,550</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12,550</w:t>
            </w:r>
          </w:p>
        </w:tc>
        <w:tc>
          <w:tcPr>
            <w:tcW w:w="0" w:type="dxa"/>
            <w:vAlign w:val="bottom"/>
          </w:tcPr>
          <w:p>
            <w:pPr>
              <w:spacing w:after="0"/>
              <w:rPr>
                <w:sz w:val="1"/>
                <w:szCs w:val="1"/>
                <w:color w:val="auto"/>
              </w:rPr>
            </w:pPr>
          </w:p>
        </w:tc>
      </w:tr>
      <w:tr>
        <w:trPr>
          <w:trHeight w:val="167"/>
        </w:trPr>
        <w:tc>
          <w:tcPr>
            <w:tcW w:w="2500" w:type="dxa"/>
            <w:vAlign w:val="bottom"/>
            <w:gridSpan w:val="2"/>
          </w:tcPr>
          <w:p>
            <w:pPr>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auto"/>
              </w:rPr>
              <w:t>2,437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337,027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339,464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401,542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401,542</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right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3,831</w:t>
            </w:r>
          </w:p>
        </w:tc>
        <w:tc>
          <w:tcPr>
            <w:tcW w:w="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3,831</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1,434</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1,434</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b w:val="1"/>
                <w:bCs w:val="1"/>
                <w:color w:val="auto"/>
              </w:rPr>
              <w:t>Total assets at fair value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ind w:left="20"/>
              <w:spacing w:after="0"/>
              <w:rPr>
                <w:sz w:val="20"/>
                <w:szCs w:val="20"/>
                <w:color w:val="auto"/>
              </w:rPr>
            </w:pPr>
            <w:r>
              <w:rPr>
                <w:rFonts w:ascii="Arial" w:cs="Arial" w:eastAsia="Arial" w:hAnsi="Arial"/>
                <w:sz w:val="13"/>
                <w:szCs w:val="13"/>
                <w:color w:val="auto"/>
              </w:rPr>
              <w:t>2,437</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340,858</w:t>
            </w:r>
          </w:p>
        </w:tc>
        <w:tc>
          <w:tcPr>
            <w:tcW w:w="400" w:type="dxa"/>
            <w:vAlign w:val="bottom"/>
            <w:gridSpan w:val="2"/>
          </w:tcPr>
          <w:p>
            <w:pPr>
              <w:jc w:val="right"/>
              <w:ind w:right="276"/>
              <w:spacing w:after="0"/>
              <w:rPr>
                <w:sz w:val="20"/>
                <w:szCs w:val="20"/>
                <w:color w:val="auto"/>
              </w:rPr>
            </w:pPr>
            <w:r>
              <w:rPr>
                <w:rFonts w:ascii="Arial" w:cs="Arial" w:eastAsia="Arial" w:hAnsi="Arial"/>
                <w:sz w:val="10"/>
                <w:szCs w:val="10"/>
                <w:color w:val="auto"/>
                <w:w w:val="71"/>
              </w:rPr>
              <w:t>$</w:t>
            </w:r>
          </w:p>
        </w:tc>
        <w:tc>
          <w:tcPr>
            <w:tcW w:w="24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343,295</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60"/>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402,976</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402,976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0" w:type="dxa"/>
            <w:vAlign w:val="bottom"/>
          </w:tcPr>
          <w:p>
            <w:pPr>
              <w:spacing w:after="0"/>
              <w:rPr>
                <w:sz w:val="9"/>
                <w:szCs w:val="9"/>
                <w:color w:val="auto"/>
              </w:rPr>
            </w:pPr>
          </w:p>
        </w:tc>
        <w:tc>
          <w:tcPr>
            <w:tcW w:w="24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Derivative liabilities</w:t>
            </w:r>
          </w:p>
        </w:tc>
        <w:tc>
          <w:tcPr>
            <w:tcW w:w="1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ind w:left="300"/>
              <w:spacing w:after="0" w:line="111" w:lineRule="exact"/>
              <w:rPr>
                <w:sz w:val="20"/>
                <w:szCs w:val="20"/>
                <w:color w:val="auto"/>
              </w:rPr>
            </w:pPr>
            <w:r>
              <w:rPr>
                <w:rFonts w:ascii="Arial" w:cs="Arial" w:eastAsia="Arial" w:hAnsi="Arial"/>
                <w:sz w:val="12"/>
                <w:szCs w:val="12"/>
                <w:color w:val="auto"/>
              </w:rPr>
              <w:t>- $</w:t>
            </w:r>
          </w:p>
        </w:tc>
        <w:tc>
          <w:tcPr>
            <w:tcW w:w="640" w:type="dxa"/>
            <w:vAlign w:val="bottom"/>
            <w:tcBorders>
              <w:right w:val="single" w:sz="8" w:color="CCEEFF"/>
            </w:tcBorders>
            <w:shd w:val="clear" w:color="auto" w:fill="CCEEFF"/>
          </w:tcPr>
          <w:p>
            <w:pPr>
              <w:jc w:val="right"/>
              <w:ind w:right="36"/>
              <w:spacing w:after="0" w:line="111" w:lineRule="exact"/>
              <w:rPr>
                <w:sz w:val="20"/>
                <w:szCs w:val="20"/>
                <w:color w:val="auto"/>
              </w:rPr>
            </w:pPr>
            <w:r>
              <w:rPr>
                <w:rFonts w:ascii="Arial" w:cs="Arial" w:eastAsia="Arial" w:hAnsi="Arial"/>
                <w:sz w:val="12"/>
                <w:szCs w:val="12"/>
                <w:color w:val="auto"/>
              </w:rPr>
              <w:t>3,831</w:t>
            </w:r>
          </w:p>
        </w:tc>
        <w:tc>
          <w:tcPr>
            <w:tcW w:w="400" w:type="dxa"/>
            <w:vAlign w:val="bottom"/>
            <w:gridSpan w:val="2"/>
            <w:shd w:val="clear" w:color="auto" w:fill="CCEEFF"/>
          </w:tcPr>
          <w:p>
            <w:pPr>
              <w:jc w:val="right"/>
              <w:ind w:right="276"/>
              <w:spacing w:after="0" w:line="111" w:lineRule="exact"/>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ind w:left="20"/>
              <w:spacing w:after="0" w:line="111" w:lineRule="exact"/>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jc w:val="right"/>
              <w:ind w:right="40"/>
              <w:spacing w:after="0" w:line="111" w:lineRule="exact"/>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3,831</w:t>
            </w:r>
          </w:p>
        </w:tc>
        <w:tc>
          <w:tcPr>
            <w:tcW w:w="4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shd w:val="clear" w:color="auto" w:fill="CCEEFF"/>
          </w:tcPr>
          <w:p>
            <w:pPr>
              <w:jc w:val="right"/>
              <w:ind w:right="36"/>
              <w:spacing w:after="0" w:line="111" w:lineRule="exact"/>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CEEFF"/>
            </w:tcBorders>
            <w:shd w:val="clear" w:color="auto" w:fill="CCEEFF"/>
          </w:tcPr>
          <w:p>
            <w:pPr>
              <w:jc w:val="right"/>
              <w:ind w:right="36"/>
              <w:spacing w:after="0" w:line="111" w:lineRule="exact"/>
              <w:rPr>
                <w:sz w:val="20"/>
                <w:szCs w:val="20"/>
                <w:color w:val="auto"/>
              </w:rPr>
            </w:pPr>
            <w:r>
              <w:rPr>
                <w:rFonts w:ascii="Arial" w:cs="Arial" w:eastAsia="Arial" w:hAnsi="Arial"/>
                <w:sz w:val="12"/>
                <w:szCs w:val="12"/>
                <w:color w:val="auto"/>
              </w:rPr>
              <w:t>1,434</w:t>
            </w:r>
          </w:p>
        </w:tc>
        <w:tc>
          <w:tcPr>
            <w:tcW w:w="1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36"/>
              <w:spacing w:after="0" w:line="111" w:lineRule="exact"/>
              <w:rPr>
                <w:sz w:val="20"/>
                <w:szCs w:val="20"/>
                <w:color w:val="auto"/>
              </w:rPr>
            </w:pPr>
            <w:r>
              <w:rPr>
                <w:rFonts w:ascii="Arial" w:cs="Arial" w:eastAsia="Arial" w:hAnsi="Arial"/>
                <w:sz w:val="12"/>
                <w:szCs w:val="12"/>
                <w:color w:val="auto"/>
              </w:rPr>
              <w:t>1,434</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vMerge w:val="continue"/>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00"/>
              <w:spacing w:after="0"/>
              <w:rPr>
                <w:sz w:val="20"/>
                <w:szCs w:val="20"/>
                <w:color w:val="auto"/>
              </w:rPr>
            </w:pPr>
            <w:r>
              <w:rPr>
                <w:rFonts w:ascii="Arial" w:cs="Arial" w:eastAsia="Arial" w:hAnsi="Arial"/>
                <w:sz w:val="13"/>
                <w:szCs w:val="13"/>
                <w:color w:val="auto"/>
              </w:rPr>
              <w:t>- $</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3,831</w:t>
            </w:r>
          </w:p>
        </w:tc>
        <w:tc>
          <w:tcPr>
            <w:tcW w:w="400" w:type="dxa"/>
            <w:vAlign w:val="bottom"/>
            <w:gridSpan w:val="2"/>
          </w:tcPr>
          <w:p>
            <w:pPr>
              <w:jc w:val="right"/>
              <w:ind w:right="276"/>
              <w:spacing w:after="0"/>
              <w:rPr>
                <w:sz w:val="20"/>
                <w:szCs w:val="20"/>
                <w:color w:val="auto"/>
              </w:rPr>
            </w:pPr>
            <w:r>
              <w:rPr>
                <w:rFonts w:ascii="Arial" w:cs="Arial" w:eastAsia="Arial" w:hAnsi="Arial"/>
                <w:sz w:val="10"/>
                <w:szCs w:val="10"/>
                <w:color w:val="auto"/>
                <w:w w:val="71"/>
              </w:rPr>
              <w:t>$</w:t>
            </w:r>
          </w:p>
        </w:tc>
        <w:tc>
          <w:tcPr>
            <w:tcW w:w="24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3,831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60"/>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1,434</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1,434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40" w:right="699" w:firstLine="256"/>
        <w:spacing w:after="0" w:line="250" w:lineRule="auto"/>
        <w:rPr>
          <w:sz w:val="20"/>
          <w:szCs w:val="20"/>
          <w:color w:val="auto"/>
        </w:rPr>
      </w:pPr>
      <w:r>
        <w:rPr>
          <w:rFonts w:ascii="Arial" w:cs="Arial" w:eastAsia="Arial" w:hAnsi="Arial"/>
          <w:sz w:val="14"/>
          <w:szCs w:val="14"/>
          <w:b w:val="1"/>
          <w:bCs w:val="1"/>
          <w:color w:val="auto"/>
        </w:rPr>
        <w:t xml:space="preserve">Impaired Loans: </w:t>
      </w:r>
      <w:r>
        <w:rPr>
          <w:rFonts w:ascii="Arial" w:cs="Arial" w:eastAsia="Arial" w:hAnsi="Arial"/>
          <w:sz w:val="14"/>
          <w:szCs w:val="14"/>
          <w:color w:val="auto"/>
        </w:rPr>
        <w:t>At June 30, 2022 and December 31, 2021, in accordance with provisions of the loan impairment</w:t>
      </w:r>
      <w:r>
        <w:rPr>
          <w:rFonts w:ascii="Arial" w:cs="Arial" w:eastAsia="Arial" w:hAnsi="Arial"/>
          <w:sz w:val="14"/>
          <w:szCs w:val="14"/>
          <w:b w:val="1"/>
          <w:bCs w:val="1"/>
          <w:color w:val="auto"/>
        </w:rPr>
        <w:t xml:space="preserve"> </w:t>
      </w:r>
      <w:r>
        <w:rPr>
          <w:rFonts w:ascii="Arial" w:cs="Arial" w:eastAsia="Arial" w:hAnsi="Arial"/>
          <w:sz w:val="14"/>
          <w:szCs w:val="14"/>
          <w:color w:val="auto"/>
        </w:rPr>
        <w:t>guidance, individual loans with a carrying amount of approximately $4.0 million and $4.4 million, respectively, were written down to their fair value of approximately $3.7 million and $4.0 million, respectively, resulting in an impairment charge of $319 thousand and $360 thousand, respectively, which was included in the allowance for credit losses at June 30, 2022 and December 31, 2021, respectively. Loans applicable to write-downs, or impaired loans, are estimated using the present value of expected cash flows or the appraised value of the underlying collateral discounted as necessary due to management's estimates of changes in economic conditions are considered a Level 3 valuation.</w:t>
      </w:r>
    </w:p>
    <w:p>
      <w:pPr>
        <w:spacing w:after="0" w:line="128" w:lineRule="exact"/>
        <w:rPr>
          <w:sz w:val="20"/>
          <w:szCs w:val="20"/>
          <w:color w:val="auto"/>
        </w:rPr>
      </w:pPr>
    </w:p>
    <w:p>
      <w:pPr>
        <w:jc w:val="both"/>
        <w:ind w:left="640" w:right="699" w:firstLine="256"/>
        <w:spacing w:after="0" w:line="250"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is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June 30, 2022 and December 31, 2021 for each of the fair value hierarchy levels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June 30, 2022:</w:t>
            </w:r>
          </w:p>
        </w:tc>
        <w:tc>
          <w:tcPr>
            <w:tcW w:w="1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3"/>
                <w:szCs w:val="13"/>
                <w:color w:val="auto"/>
              </w:rPr>
              <w:t>Impaired loans</w:t>
            </w:r>
          </w:p>
        </w:tc>
        <w:tc>
          <w:tcPr>
            <w:tcW w:w="14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3,700</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3,700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June 30, 2022 and December 31,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Arial" w:cs="Arial" w:eastAsia="Arial" w:hAnsi="Arial"/>
                <w:sz w:val="13"/>
                <w:szCs w:val="13"/>
                <w:b w:val="1"/>
                <w:bCs w:val="1"/>
                <w:color w:val="auto"/>
              </w:rPr>
              <w:t>Valuation Technique(s)</w:t>
            </w:r>
          </w:p>
        </w:tc>
        <w:tc>
          <w:tcPr>
            <w:tcW w:w="60" w:type="dxa"/>
            <w:vAlign w:val="bottom"/>
          </w:tcPr>
          <w:p>
            <w:pPr>
              <w:spacing w:after="0"/>
              <w:rPr>
                <w:sz w:val="14"/>
                <w:szCs w:val="14"/>
                <w:color w:val="auto"/>
              </w:rPr>
            </w:pPr>
          </w:p>
        </w:tc>
        <w:tc>
          <w:tcPr>
            <w:tcW w:w="3320" w:type="dxa"/>
            <w:vAlign w:val="bottom"/>
            <w:gridSpan w:val="2"/>
          </w:tcPr>
          <w:p>
            <w:pPr>
              <w:ind w:left="940"/>
              <w:spacing w:after="0"/>
              <w:rPr>
                <w:sz w:val="20"/>
                <w:szCs w:val="20"/>
                <w:color w:val="auto"/>
              </w:rPr>
            </w:pPr>
            <w:r>
              <w:rPr>
                <w:rFonts w:ascii="Arial" w:cs="Arial" w:eastAsia="Arial" w:hAnsi="Arial"/>
                <w:sz w:val="13"/>
                <w:szCs w:val="13"/>
                <w:b w:val="1"/>
                <w:bCs w:val="1"/>
                <w:color w:val="auto"/>
              </w:rPr>
              <w:t>Unobservable Input(s)</w:t>
            </w:r>
          </w:p>
        </w:tc>
      </w:tr>
      <w:tr>
        <w:trPr>
          <w:trHeight w:val="151"/>
        </w:trPr>
        <w:tc>
          <w:tcPr>
            <w:tcW w:w="40" w:type="dxa"/>
            <w:vAlign w:val="bottom"/>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June 30, 2022:</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3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1600" w:type="dxa"/>
            <w:vAlign w:val="bottom"/>
            <w:gridSpan w:val="2"/>
          </w:tcPr>
          <w:p>
            <w:pPr>
              <w:spacing w:after="0"/>
              <w:rPr>
                <w:sz w:val="20"/>
                <w:szCs w:val="20"/>
                <w:color w:val="auto"/>
              </w:rPr>
            </w:pPr>
            <w:r>
              <w:rPr>
                <w:rFonts w:ascii="Arial" w:cs="Arial" w:eastAsia="Arial" w:hAnsi="Arial"/>
                <w:sz w:val="13"/>
                <w:szCs w:val="13"/>
                <w:color w:val="auto"/>
              </w:rPr>
              <w:t>Residential real estate</w:t>
            </w: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3,546</w:t>
            </w:r>
          </w:p>
        </w:tc>
        <w:tc>
          <w:tcPr>
            <w:tcW w:w="2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3"/>
          </w:tcPr>
          <w:p>
            <w:pPr>
              <w:ind w:left="20"/>
              <w:spacing w:after="0"/>
              <w:rPr>
                <w:sz w:val="20"/>
                <w:szCs w:val="20"/>
                <w:color w:val="auto"/>
              </w:rPr>
            </w:pPr>
            <w:r>
              <w:rPr>
                <w:rFonts w:ascii="Arial" w:cs="Arial" w:eastAsia="Arial" w:hAnsi="Arial"/>
                <w:sz w:val="13"/>
                <w:szCs w:val="13"/>
                <w:color w:val="auto"/>
              </w:rPr>
              <w:t>Adj. for differences between comparable sales</w:t>
            </w:r>
          </w:p>
        </w:tc>
      </w:tr>
      <w:tr>
        <w:trPr>
          <w:trHeight w:val="171"/>
        </w:trPr>
        <w:tc>
          <w:tcPr>
            <w:tcW w:w="4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w:t>
            </w:r>
          </w:p>
        </w:tc>
        <w:tc>
          <w:tcPr>
            <w:tcW w:w="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71"/>
        </w:trPr>
        <w:tc>
          <w:tcPr>
            <w:tcW w:w="1600" w:type="dxa"/>
            <w:vAlign w:val="bottom"/>
            <w:gridSpan w:val="2"/>
          </w:tcPr>
          <w:p>
            <w:pPr>
              <w:spacing w:after="0"/>
              <w:rPr>
                <w:sz w:val="20"/>
                <w:szCs w:val="20"/>
                <w:color w:val="auto"/>
              </w:rPr>
            </w:pPr>
            <w:r>
              <w:rPr>
                <w:rFonts w:ascii="Arial" w:cs="Arial" w:eastAsia="Arial" w:hAnsi="Arial"/>
                <w:sz w:val="13"/>
                <w:szCs w:val="13"/>
                <w:color w:val="auto"/>
              </w:rPr>
              <w:t>Consumer and other loans</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20" w:type="dxa"/>
            <w:vAlign w:val="bottom"/>
          </w:tcPr>
          <w:p>
            <w:pPr>
              <w:spacing w:after="0"/>
              <w:rPr>
                <w:sz w:val="14"/>
                <w:szCs w:val="14"/>
                <w:color w:val="auto"/>
              </w:rPr>
            </w:pP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61"/>
        </w:trPr>
        <w:tc>
          <w:tcPr>
            <w:tcW w:w="40" w:type="dxa"/>
            <w:vAlign w:val="bottom"/>
          </w:tcPr>
          <w:p>
            <w:pPr>
              <w:spacing w:after="0"/>
              <w:rPr>
                <w:sz w:val="14"/>
                <w:szCs w:val="14"/>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impaired loans</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1600" w:type="dxa"/>
            <w:vAlign w:val="bottom"/>
            <w:gridSpan w:val="2"/>
          </w:tcPr>
          <w:p>
            <w:pPr>
              <w:spacing w:after="0"/>
              <w:rPr>
                <w:sz w:val="20"/>
                <w:szCs w:val="20"/>
                <w:color w:val="auto"/>
              </w:rPr>
            </w:pPr>
            <w:r>
              <w:rPr>
                <w:rFonts w:ascii="Arial" w:cs="Arial" w:eastAsia="Arial" w:hAnsi="Arial"/>
                <w:sz w:val="13"/>
                <w:szCs w:val="13"/>
                <w:color w:val="auto"/>
              </w:rPr>
              <w:t>Residential real estate</w:t>
            </w: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3,807</w:t>
            </w:r>
          </w:p>
        </w:tc>
        <w:tc>
          <w:tcPr>
            <w:tcW w:w="2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3"/>
          </w:tcPr>
          <w:p>
            <w:pPr>
              <w:ind w:left="20"/>
              <w:spacing w:after="0"/>
              <w:rPr>
                <w:sz w:val="20"/>
                <w:szCs w:val="20"/>
                <w:color w:val="auto"/>
              </w:rPr>
            </w:pPr>
            <w:r>
              <w:rPr>
                <w:rFonts w:ascii="Arial" w:cs="Arial" w:eastAsia="Arial" w:hAnsi="Arial"/>
                <w:sz w:val="13"/>
                <w:szCs w:val="13"/>
                <w:color w:val="auto"/>
              </w:rPr>
              <w:t>Adj. for differences between comparable sales</w:t>
            </w:r>
          </w:p>
        </w:tc>
      </w:tr>
      <w:tr>
        <w:trPr>
          <w:trHeight w:val="171"/>
        </w:trPr>
        <w:tc>
          <w:tcPr>
            <w:tcW w:w="4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w:t>
            </w:r>
          </w:p>
        </w:tc>
        <w:tc>
          <w:tcPr>
            <w:tcW w:w="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71"/>
        </w:trPr>
        <w:tc>
          <w:tcPr>
            <w:tcW w:w="1600" w:type="dxa"/>
            <w:vAlign w:val="bottom"/>
            <w:gridSpan w:val="2"/>
          </w:tcPr>
          <w:p>
            <w:pPr>
              <w:spacing w:after="0"/>
              <w:rPr>
                <w:sz w:val="20"/>
                <w:szCs w:val="20"/>
                <w:color w:val="auto"/>
              </w:rPr>
            </w:pPr>
            <w:r>
              <w:rPr>
                <w:rFonts w:ascii="Arial" w:cs="Arial" w:eastAsia="Arial" w:hAnsi="Arial"/>
                <w:sz w:val="13"/>
                <w:szCs w:val="13"/>
                <w:color w:val="auto"/>
              </w:rPr>
              <w:t>Consumer and other loans</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20" w:type="dxa"/>
            <w:vAlign w:val="bottom"/>
          </w:tcPr>
          <w:p>
            <w:pPr>
              <w:spacing w:after="0"/>
              <w:rPr>
                <w:sz w:val="14"/>
                <w:szCs w:val="14"/>
                <w:color w:val="auto"/>
              </w:rPr>
            </w:pP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61"/>
        </w:trPr>
        <w:tc>
          <w:tcPr>
            <w:tcW w:w="40" w:type="dxa"/>
            <w:vAlign w:val="bottom"/>
          </w:tcPr>
          <w:p>
            <w:pPr>
              <w:spacing w:after="0"/>
              <w:rPr>
                <w:sz w:val="14"/>
                <w:szCs w:val="14"/>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impaired loans</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There were no financial liabilities measured at fair value on a non-recurring basis at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Not Measured at Fair Value</w:t>
      </w:r>
    </w:p>
    <w:p>
      <w:pPr>
        <w:spacing w:after="0" w:line="188"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June 30, 2022 and December 31,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rPr>
              <w:t>Fair Value Hierarchy</w:t>
            </w: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76"/>
              <w:spacing w:after="0"/>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Fair Value</w:t>
            </w:r>
          </w:p>
        </w:tc>
      </w:tr>
      <w:tr>
        <w:trPr>
          <w:trHeight w:val="153"/>
        </w:trPr>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r>
      <w:tr>
        <w:trPr>
          <w:trHeight w:val="151"/>
        </w:trPr>
        <w:tc>
          <w:tcPr>
            <w:tcW w:w="40" w:type="dxa"/>
            <w:vAlign w:val="bottom"/>
          </w:tcPr>
          <w:p>
            <w:pPr>
              <w:spacing w:after="0"/>
              <w:rPr>
                <w:sz w:val="13"/>
                <w:szCs w:val="13"/>
                <w:color w:val="auto"/>
              </w:rPr>
            </w:pPr>
          </w:p>
        </w:tc>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June 30, 2022:</w:t>
            </w: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Assets: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7,448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7,448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7,448</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75,824</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75,824</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75,824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116,671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101,067</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101,067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1,356,947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1,339,283</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1,339,283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5,991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1,246</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4,745</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5,991</w:t>
            </w:r>
          </w:p>
        </w:tc>
        <w:tc>
          <w:tcPr>
            <w:tcW w:w="20" w:type="dxa"/>
            <w:vAlign w:val="bottom"/>
            <w:shd w:val="clear" w:color="auto" w:fill="CCEEFF"/>
          </w:tcPr>
          <w:p>
            <w:pPr>
              <w:spacing w:after="0"/>
              <w:rPr>
                <w:sz w:val="14"/>
                <w:szCs w:val="14"/>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Liabilities: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653,708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653,708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653,708</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802,841</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802,841</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802,841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63,416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63,416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63,416</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Time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218,755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214,737</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214,737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66,000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64,985</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64,985</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99</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50</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49</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Investment securities held to maturity</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122,658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120,157</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120,157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1,175,024</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1,189,191</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1,189,191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1,222</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4,753</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Demand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225,200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224,688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224,688</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FHLB advances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36,000</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36,479</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36,479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w:t>
            </w:r>
          </w:p>
        </w:tc>
        <w:tc>
          <w:tcPr>
            <w:tcW w:w="20" w:type="dxa"/>
            <w:vAlign w:val="bottom"/>
            <w:shd w:val="clear" w:color="auto" w:fill="CCEEFF"/>
          </w:tcPr>
          <w:p>
            <w:pPr>
              <w:spacing w:after="0"/>
              <w:rPr>
                <w:sz w:val="14"/>
                <w:szCs w:val="14"/>
                <w:color w:val="auto"/>
              </w:rPr>
            </w:pPr>
          </w:p>
        </w:tc>
      </w:tr>
    </w:tbl>
    <w:p>
      <w:pPr>
        <w:spacing w:after="0" w:line="153" w:lineRule="exact"/>
        <w:rPr>
          <w:sz w:val="20"/>
          <w:szCs w:val="20"/>
          <w:color w:val="auto"/>
        </w:rPr>
      </w:pPr>
    </w:p>
    <w:p>
      <w:pPr>
        <w:ind w:left="1020" w:hanging="378"/>
        <w:spacing w:after="0"/>
        <w:tabs>
          <w:tab w:leader="none" w:pos="10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Common Stock</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rights of the holders of Class A common stock and Class B common stock are the same, except for voting and conversion rights. Holders of Class A common stock are entitled to voting rights, while holders of Class B common stock have no voting rights. Shares of Class B common stock are convertible into shares of Class A common stock if sold or transferred.</w:t>
      </w:r>
    </w:p>
    <w:p>
      <w:pPr>
        <w:spacing w:after="0" w:line="145"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In June 2021, the Bank effected a 1 for 5 reverse stock split of all the Class A common stock $1.00 par value. Each five shares of the Bank’s Class A common stock was combined into one fully paid share of Class A common stock. Any fractional shares resulting from this reverse stock split were rounded up to one whole share. The Bank has adjusted the Class A common stock, earnings per share and stock options for this 1 for 5 reverse stock split for all periods in 2021. The Class B common stock was not adjusted but if sold or exchanged would be converted at the 1 for 5 reverse stock split of 1 share of Class A common stock for 5 shares of Class B common stock. Any dividends declared by the Board of Directors (the “Board”) to include Class B common stock will also be paid as if converted. The 1 for 5 reverse stock split resulted in adjustments to Consolidated Balance Sheets, Consolidated Statements of Operations, and Consolidated Statements of Changes in Stockholders’ Equity.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 July 2021, the Bank completed the IPO of its Class A common stock, in which it issued and sold 4,600,000 shares of Class A common stock at a price of $10.00 per share. The Bank received total net proceeds of $40.0 million after deducting underwriting discounts and expenses.</w:t>
      </w:r>
    </w:p>
    <w:p>
      <w:pPr>
        <w:spacing w:after="0" w:line="142"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 December 2021, the Bank entered into agreements with the Class B shareholders to exchange all outstanding Class B common stock for Class A common stock at a ratio of 5 to 1. As a result, a total of 6,121,052 shares of Class B common stock were exchanged for 1,224,212 shares of Class A common stock.</w:t>
      </w:r>
    </w:p>
    <w:p>
      <w:pPr>
        <w:spacing w:after="0" w:line="152" w:lineRule="exact"/>
        <w:rPr>
          <w:sz w:val="20"/>
          <w:szCs w:val="20"/>
          <w:color w:val="auto"/>
        </w:rPr>
      </w:pPr>
    </w:p>
    <w:p>
      <w:pPr>
        <w:jc w:val="both"/>
        <w:ind w:left="640" w:right="699" w:firstLine="256"/>
        <w:spacing w:after="0" w:line="244" w:lineRule="auto"/>
        <w:rPr>
          <w:sz w:val="20"/>
          <w:szCs w:val="20"/>
          <w:color w:val="auto"/>
        </w:rPr>
      </w:pPr>
      <w:r>
        <w:rPr>
          <w:rFonts w:ascii="Arial" w:cs="Arial" w:eastAsia="Arial" w:hAnsi="Arial"/>
          <w:sz w:val="14"/>
          <w:szCs w:val="14"/>
          <w:color w:val="auto"/>
        </w:rPr>
        <w:t>In December 2021, USCB Financial Holdings, Inc. (the “Company”) acquired all the issued and outstanding shares of the Class A voting common stock of U.S. Century Bank (the “Bank”), which are the only issued and outstanding shares of the Bank’s capital stock, in a share exchange (the “Reorganization”) effected under the Florida Business Corporation Act. Each of the outstanding shares of the Bank’s common stock, par value $ 1.00 per share, formerly held by its shareholders was converted into and exchanged for one newly issued share of the Company’s common stock, par value $1.00 per share, and the Bank became the Company’s wholly owned subsidiary.</w:t>
      </w:r>
    </w:p>
    <w:p>
      <w:pPr>
        <w:spacing w:after="0" w:line="16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current shareholders own the same percentages of its common stock as they previously owned of the Bank’s common stock.</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Preferred Stock</w:t>
      </w:r>
    </w:p>
    <w:p>
      <w:pPr>
        <w:spacing w:after="0" w:line="177"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 April 2021, the Board authorized and approved the offer to repurchase all outstanding shares of Class E preferred stock at the liquidation value of $7.5 million along with declared dividends of $103 thousand. All Class E preferred stock shareholders approved the repurchase which the Bank completed in April 2021.</w:t>
      </w:r>
    </w:p>
    <w:p>
      <w:pPr>
        <w:spacing w:after="0" w:line="152"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Bank offered the Class C and Class D preferred stockholders the ability to exchange their shares for Class A common stock. The offer to exchange was voluntary and the preferred stockholders were given the option to convert 90% of their preferred shares for Class A common stock with the remaining 10% to be redeemed in the form of cash. The exchange ratio for the shares of Class A common stock issued in the preferred stock exchange transaction was based upon the IPO price for shares of Class A common stock.</w:t>
      </w:r>
    </w:p>
    <w:p>
      <w:pPr>
        <w:spacing w:after="0" w:line="16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During the year ended December 31, 2021, 47,473 shares of Class C preferred stock and 11,061,552 shares of Class D preferred stock converted into an aggregate of 10,278,072 shares of Class A common stock. The exchange of the Class C and Class D preferred shares had a total liquidation value of $102.8 million. The remaining unconverted shares of Class C preferred stock and Class D preferred stock totaling 1,234,354 shares were subsequently redeemed at their liquidation value for $11.4 million.</w:t>
      </w:r>
    </w:p>
    <w:p>
      <w:pPr>
        <w:spacing w:after="0" w:line="16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fair value of consideration on the preferred stock exchange and redemption of the Class C and Class D preferred shares exceeded the book value causing a one-time reduction in net income available to common stockholders of $89.6 million. As of June 30, 2022 and December 31, 2021, there were no preferred shares and no outstanding dividends to be paid these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Dividends</w:t>
      </w:r>
    </w:p>
    <w:p>
      <w:pPr>
        <w:spacing w:after="0" w:line="188"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dividend amounts were paid on the preferred shares for the three and six months ended June 30,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60" w:type="dxa"/>
            <w:vAlign w:val="bottom"/>
            <w:gridSpan w:val="8"/>
          </w:tcPr>
          <w:p>
            <w:pPr>
              <w:jc w:val="right"/>
              <w:spacing w:after="0"/>
              <w:rPr>
                <w:sz w:val="20"/>
                <w:szCs w:val="20"/>
                <w:color w:val="auto"/>
              </w:rPr>
            </w:pPr>
            <w:r>
              <w:rPr>
                <w:rFonts w:ascii="Arial" w:cs="Arial" w:eastAsia="Arial" w:hAnsi="Arial"/>
                <w:sz w:val="13"/>
                <w:szCs w:val="13"/>
                <w:b w:val="1"/>
                <w:bCs w:val="1"/>
                <w:color w:val="auto"/>
                <w:w w:val="99"/>
              </w:rPr>
              <w:t>Three Months Ended June 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gridSpan w:val="7"/>
          </w:tcPr>
          <w:p>
            <w:pPr>
              <w:ind w:left="20"/>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8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59"/>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Preferred stock - Class C: Non-voting, Non-cumulative, Perpetual:</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9"/>
        </w:trPr>
        <w:tc>
          <w:tcPr>
            <w:tcW w:w="3920" w:type="dxa"/>
            <w:vAlign w:val="bottom"/>
            <w:gridSpan w:val="3"/>
          </w:tcPr>
          <w:p>
            <w:pPr>
              <w:spacing w:after="0"/>
              <w:rPr>
                <w:sz w:val="20"/>
                <w:szCs w:val="20"/>
                <w:color w:val="auto"/>
              </w:rPr>
            </w:pPr>
            <w:r>
              <w:rPr>
                <w:rFonts w:ascii="Arial" w:cs="Arial" w:eastAsia="Arial" w:hAnsi="Arial"/>
                <w:sz w:val="13"/>
                <w:szCs w:val="13"/>
                <w:color w:val="auto"/>
              </w:rPr>
              <w:t>$1.00 par value; $1,000 per share liquidation preference; annual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7"/>
        </w:trPr>
        <w:tc>
          <w:tcPr>
            <w:tcW w:w="3920" w:type="dxa"/>
            <w:vAlign w:val="bottom"/>
            <w:gridSpan w:val="3"/>
          </w:tcPr>
          <w:p>
            <w:pPr>
              <w:spacing w:after="0" w:line="138" w:lineRule="exact"/>
              <w:rPr>
                <w:sz w:val="20"/>
                <w:szCs w:val="20"/>
                <w:color w:val="auto"/>
              </w:rPr>
            </w:pPr>
            <w:r>
              <w:rPr>
                <w:rFonts w:ascii="Arial" w:cs="Arial" w:eastAsia="Arial" w:hAnsi="Arial"/>
                <w:sz w:val="13"/>
                <w:szCs w:val="13"/>
                <w:color w:val="auto"/>
                <w:w w:val="98"/>
              </w:rPr>
              <w:t>dividend rate of 4% of liquidation preference paid quarterly. Quarterly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dividend of $10.00 per share.</w:t>
            </w:r>
          </w:p>
        </w:tc>
        <w:tc>
          <w:tcPr>
            <w:tcW w:w="720" w:type="dxa"/>
            <w:vAlign w:val="bottom"/>
            <w:gridSpan w:val="2"/>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6"/>
        </w:trPr>
        <w:tc>
          <w:tcPr>
            <w:tcW w:w="3920" w:type="dxa"/>
            <w:vAlign w:val="bottom"/>
            <w:gridSpan w:val="3"/>
          </w:tcPr>
          <w:p>
            <w:pPr>
              <w:spacing w:after="0"/>
              <w:rPr>
                <w:sz w:val="20"/>
                <w:szCs w:val="20"/>
                <w:color w:val="auto"/>
              </w:rPr>
            </w:pPr>
            <w:r>
              <w:rPr>
                <w:rFonts w:ascii="Arial" w:cs="Arial" w:eastAsia="Arial" w:hAnsi="Arial"/>
                <w:sz w:val="13"/>
                <w:szCs w:val="13"/>
                <w:color w:val="auto"/>
              </w:rPr>
              <w:t>Preferred stock - Class D: Non-voting, Non-cumulative, Perpetual:</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9"/>
        </w:trPr>
        <w:tc>
          <w:tcPr>
            <w:tcW w:w="3920" w:type="dxa"/>
            <w:vAlign w:val="bottom"/>
            <w:gridSpan w:val="3"/>
          </w:tcPr>
          <w:p>
            <w:pPr>
              <w:spacing w:after="0"/>
              <w:rPr>
                <w:sz w:val="20"/>
                <w:szCs w:val="20"/>
                <w:color w:val="auto"/>
              </w:rPr>
            </w:pPr>
            <w:r>
              <w:rPr>
                <w:rFonts w:ascii="Arial" w:cs="Arial" w:eastAsia="Arial" w:hAnsi="Arial"/>
                <w:sz w:val="13"/>
                <w:szCs w:val="13"/>
                <w:color w:val="auto"/>
              </w:rPr>
              <w:t>$1.00 par value; $5.00 per share liquidation preference; annual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920" w:type="dxa"/>
            <w:vAlign w:val="bottom"/>
            <w:gridSpan w:val="3"/>
          </w:tcPr>
          <w:p>
            <w:pPr>
              <w:spacing w:after="0"/>
              <w:rPr>
                <w:sz w:val="20"/>
                <w:szCs w:val="20"/>
                <w:color w:val="auto"/>
              </w:rPr>
            </w:pPr>
            <w:r>
              <w:rPr>
                <w:rFonts w:ascii="Arial" w:cs="Arial" w:eastAsia="Arial" w:hAnsi="Arial"/>
                <w:sz w:val="13"/>
                <w:szCs w:val="13"/>
                <w:color w:val="auto"/>
                <w:w w:val="99"/>
              </w:rPr>
              <w:t>dividend rate of 4% of par value paid quarterly. Quarterly dividend of</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7"/>
        </w:trPr>
        <w:tc>
          <w:tcPr>
            <w:tcW w:w="3920" w:type="dxa"/>
            <w:vAlign w:val="bottom"/>
            <w:gridSpan w:val="3"/>
          </w:tcPr>
          <w:p>
            <w:pPr>
              <w:spacing w:after="0" w:line="138" w:lineRule="exact"/>
              <w:rPr>
                <w:sz w:val="20"/>
                <w:szCs w:val="20"/>
                <w:color w:val="auto"/>
              </w:rPr>
            </w:pPr>
            <w:r>
              <w:rPr>
                <w:rFonts w:ascii="Arial" w:cs="Arial" w:eastAsia="Arial" w:hAnsi="Arial"/>
                <w:sz w:val="13"/>
                <w:szCs w:val="13"/>
                <w:color w:val="auto"/>
              </w:rPr>
              <w:t>$0.01 per share.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123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246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47"/>
        </w:trPr>
        <w:tc>
          <w:tcPr>
            <w:tcW w:w="60" w:type="dxa"/>
            <w:vAlign w:val="bottom"/>
            <w:gridSpan w:val="2"/>
          </w:tcPr>
          <w:p>
            <w:pPr>
              <w:spacing w:after="0"/>
              <w:rPr>
                <w:sz w:val="21"/>
                <w:szCs w:val="21"/>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 - Class E: Non-voting, Partially Cumulative,</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49"/>
        </w:trPr>
        <w:tc>
          <w:tcPr>
            <w:tcW w:w="60" w:type="dxa"/>
            <w:vAlign w:val="bottom"/>
            <w:gridSpan w:val="2"/>
          </w:tcPr>
          <w:p>
            <w:pPr>
              <w:spacing w:after="0"/>
              <w:rPr>
                <w:sz w:val="12"/>
                <w:szCs w:val="1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w w:val="98"/>
              </w:rPr>
              <w:t>Perpetual: $1.00 par value; $1,000 per share liquidation preference;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7"/>
        </w:trPr>
        <w:tc>
          <w:tcPr>
            <w:tcW w:w="60" w:type="dxa"/>
            <w:vAlign w:val="bottom"/>
            <w:gridSpan w:val="2"/>
          </w:tcPr>
          <w:p>
            <w:pPr>
              <w:spacing w:after="0"/>
              <w:rPr>
                <w:sz w:val="11"/>
                <w:szCs w:val="11"/>
                <w:color w:val="auto"/>
              </w:rPr>
            </w:pPr>
          </w:p>
        </w:tc>
        <w:tc>
          <w:tcPr>
            <w:tcW w:w="38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annual dividend rate of 7% of liquidation preference paid quarterly.</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9"/>
        </w:trPr>
        <w:tc>
          <w:tcPr>
            <w:tcW w:w="60" w:type="dxa"/>
            <w:vAlign w:val="bottom"/>
            <w:gridSpan w:val="2"/>
          </w:tcPr>
          <w:p>
            <w:pPr>
              <w:spacing w:after="0"/>
              <w:rPr>
                <w:sz w:val="12"/>
                <w:szCs w:val="1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Quarterly dividend of $17.50 per share.</w:t>
            </w: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Pr>
          <w:p>
            <w:pPr>
              <w:ind w:left="40"/>
              <w:spacing w:after="0"/>
              <w:rPr>
                <w:sz w:val="20"/>
                <w:szCs w:val="20"/>
                <w:color w:val="auto"/>
              </w:rPr>
            </w:pPr>
            <w:r>
              <w:rPr>
                <w:rFonts w:ascii="Arial" w:cs="Arial" w:eastAsia="Arial" w:hAnsi="Arial"/>
                <w:sz w:val="13"/>
                <w:szCs w:val="13"/>
                <w:color w:val="auto"/>
              </w:rPr>
              <w:t>Total dividends paid</w:t>
            </w:r>
          </w:p>
        </w:tc>
        <w:tc>
          <w:tcPr>
            <w:tcW w:w="720" w:type="dxa"/>
            <w:vAlign w:val="bottom"/>
            <w:gridSpan w:val="2"/>
          </w:tcPr>
          <w:p>
            <w:pPr>
              <w:jc w:val="right"/>
              <w:ind w:right="576"/>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4"/>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754</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4"/>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Declaration of dividends by the Board is required before dividend payments are made. No dividends were approved by the Board for the common stock classes for the three months ended June 30, 2022 and 2021. Additionally, there were no dividends declared and unpaid as of June 30, 2022 and 2021.</w:t>
      </w:r>
    </w:p>
    <w:p>
      <w:pPr>
        <w:spacing w:after="0" w:line="142"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The Company and the Bank exceeded all regulatory capital requirements and remained significantly above “well-capitalized” guidelines. At June 30, 2022, total risk-based capital ratio for the Company and the Bank were 13.74% and 13.67%, respectively.</w:t>
      </w:r>
    </w:p>
    <w:p>
      <w:pPr>
        <w:spacing w:after="0" w:line="134" w:lineRule="exact"/>
        <w:rPr>
          <w:sz w:val="20"/>
          <w:szCs w:val="20"/>
          <w:color w:val="auto"/>
        </w:rPr>
      </w:pPr>
    </w:p>
    <w:p>
      <w:pPr>
        <w:ind w:left="1020" w:hanging="378"/>
        <w:spacing w:after="0"/>
        <w:tabs>
          <w:tab w:leader="none" w:pos="102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2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57"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To calculate EPS for the three and six months ended June 30, 2022, net income available to common stockholders was not allocated between Class A and Class B common stock since there were no issued and outstanding shares of Class B common stock as of June 30, 2022.</w:t>
      </w:r>
    </w:p>
    <w:p>
      <w:pPr>
        <w:spacing w:after="0" w:line="158"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To calculate EPS for the three and six months ended June 30, 2021, net income available to common stockholders was allocated as if all the income for the period were distributed to common stockholders. The allocation was based on the outstanding shares per common share class to the total common shares outstanding during each period giving effect for the 1 for 5 reverse stock split. The Company’s Articles of Incorporation require that the distribution of net income to Common B stockholders be adjusted to give effect for Class A stock splits. Therefore, the income allocated to Class B common shares was calculated based on their 20% per share equivalent to Class A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679" w:firstLine="256"/>
        <w:spacing w:after="0" w:line="252" w:lineRule="auto"/>
        <w:rPr>
          <w:sz w:val="20"/>
          <w:szCs w:val="20"/>
          <w:color w:val="auto"/>
        </w:rPr>
      </w:pPr>
      <w:r>
        <w:rPr>
          <w:rFonts w:ascii="Arial" w:cs="Arial" w:eastAsia="Arial" w:hAnsi="Arial"/>
          <w:sz w:val="14"/>
          <w:szCs w:val="14"/>
          <w:color w:val="auto"/>
        </w:rPr>
        <w:t>The following table reflects the calculation of net income available to common stockholders for three and six months ended June 30,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w w:val="98"/>
              </w:rPr>
              <w:t>Three Months Ended June 30,</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w w:val="99"/>
              </w:rPr>
              <w:t>Six Months Ended June 30,</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1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Income</w:t>
            </w:r>
          </w:p>
        </w:tc>
        <w:tc>
          <w:tcPr>
            <w:tcW w:w="5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5,295</w:t>
            </w:r>
          </w:p>
        </w:tc>
        <w:tc>
          <w:tcPr>
            <w:tcW w:w="2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4,053</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10,149</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8,834</w:t>
            </w:r>
          </w:p>
        </w:tc>
        <w:tc>
          <w:tcPr>
            <w:tcW w:w="20" w:type="dxa"/>
            <w:vAlign w:val="bottom"/>
            <w:shd w:val="clear" w:color="auto" w:fill="CCEEFF"/>
          </w:tcPr>
          <w:p>
            <w:pPr>
              <w:spacing w:after="0"/>
              <w:rPr>
                <w:sz w:val="12"/>
                <w:szCs w:val="12"/>
                <w:color w:val="auto"/>
              </w:rPr>
            </w:pPr>
          </w:p>
        </w:tc>
      </w:tr>
      <w:tr>
        <w:trPr>
          <w:trHeight w:val="160"/>
        </w:trPr>
        <w:tc>
          <w:tcPr>
            <w:tcW w:w="3160" w:type="dxa"/>
            <w:vAlign w:val="bottom"/>
            <w:gridSpan w:val="2"/>
          </w:tcPr>
          <w:p>
            <w:pPr>
              <w:spacing w:after="0"/>
              <w:rPr>
                <w:sz w:val="20"/>
                <w:szCs w:val="20"/>
                <w:color w:val="auto"/>
              </w:rPr>
            </w:pPr>
            <w:r>
              <w:rPr>
                <w:rFonts w:ascii="Arial" w:cs="Arial" w:eastAsia="Arial" w:hAnsi="Arial"/>
                <w:sz w:val="13"/>
                <w:szCs w:val="13"/>
                <w:color w:val="auto"/>
              </w:rPr>
              <w:t>Less: Preferred stock dividends</w:t>
            </w:r>
          </w:p>
        </w:tc>
        <w:tc>
          <w:tcPr>
            <w:tcW w:w="4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1,535</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12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Net income available to common stockholders</w:t>
            </w:r>
          </w:p>
        </w:tc>
        <w:tc>
          <w:tcPr>
            <w:tcW w:w="520" w:type="dxa"/>
            <w:vAlign w:val="bottom"/>
            <w:tcBorders>
              <w:bottom w:val="single" w:sz="8" w:color="CCEEFF"/>
            </w:tcBorders>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5,295</w:t>
            </w:r>
          </w:p>
        </w:tc>
        <w:tc>
          <w:tcPr>
            <w:tcW w:w="220" w:type="dxa"/>
            <w:vAlign w:val="bottom"/>
            <w:tcBorders>
              <w:bottom w:val="single" w:sz="8" w:color="CCEEFF"/>
            </w:tcBorders>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3,299</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10,149</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7,299</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and six months ended June 30, 2022 and 2021 (in thousands, except per share amounts):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Class B</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line="151" w:lineRule="exact"/>
              <w:rPr>
                <w:sz w:val="20"/>
                <w:szCs w:val="20"/>
                <w:color w:val="auto"/>
              </w:rPr>
            </w:pPr>
            <w:r>
              <w:rPr>
                <w:rFonts w:ascii="Arial" w:cs="Arial" w:eastAsia="Arial" w:hAnsi="Arial"/>
                <w:sz w:val="13"/>
                <w:szCs w:val="13"/>
                <w:b w:val="1"/>
                <w:bCs w:val="1"/>
                <w:color w:val="auto"/>
                <w:w w:val="95"/>
              </w:rPr>
              <w:t xml:space="preserve">Class B </w:t>
            </w:r>
            <w:r>
              <w:rPr>
                <w:rFonts w:ascii="Arial" w:cs="Arial" w:eastAsia="Arial" w:hAnsi="Arial"/>
                <w:sz w:val="17"/>
                <w:szCs w:val="17"/>
                <w:color w:val="auto"/>
                <w:w w:val="95"/>
                <w:vertAlign w:val="superscript"/>
              </w:rPr>
              <w:t>(1)</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Numerator: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 before allocation</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5,295</w:t>
            </w:r>
          </w:p>
        </w:tc>
        <w:tc>
          <w:tcPr>
            <w:tcW w:w="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3,299</w:t>
            </w:r>
          </w:p>
        </w:tc>
        <w:tc>
          <w:tcPr>
            <w:tcW w:w="2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3,299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rPr>
              <w:t>Multiply: % allocated on weighted avg. shares outstanding</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76.0%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24.0%</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 after allocation</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5,295</w:t>
            </w:r>
          </w:p>
        </w:tc>
        <w:tc>
          <w:tcPr>
            <w:tcW w:w="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2,509</w:t>
            </w:r>
          </w:p>
        </w:tc>
        <w:tc>
          <w:tcPr>
            <w:tcW w:w="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20" w:type="dxa"/>
            <w:vAlign w:val="bottom"/>
            <w:shd w:val="clear" w:color="auto" w:fill="CCEEFF"/>
          </w:tcPr>
          <w:p>
            <w:pPr>
              <w:spacing w:after="0"/>
              <w:rPr>
                <w:sz w:val="13"/>
                <w:szCs w:val="13"/>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Denominator: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20,000,753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3,889,469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shd w:val="clear" w:color="auto" w:fill="CCEEFF"/>
          </w:tcPr>
          <w:p>
            <w:pPr>
              <w:spacing w:after="0"/>
              <w:rPr>
                <w:sz w:val="14"/>
                <w:szCs w:val="14"/>
                <w:color w:val="auto"/>
              </w:rPr>
            </w:pPr>
          </w:p>
        </w:tc>
      </w:tr>
      <w:tr>
        <w:trPr>
          <w:trHeight w:val="212"/>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Earnings per share, basic</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0.26</w:t>
            </w:r>
          </w:p>
        </w:tc>
        <w:tc>
          <w:tcPr>
            <w:tcW w:w="780" w:type="dxa"/>
            <w:vAlign w:val="bottom"/>
            <w:gridSpan w:val="4"/>
          </w:tcPr>
          <w:p>
            <w:pPr>
              <w:ind w:left="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0.65</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0.13</w:t>
            </w:r>
          </w:p>
        </w:tc>
        <w:tc>
          <w:tcPr>
            <w:tcW w:w="20" w:type="dxa"/>
            <w:vAlign w:val="bottom"/>
          </w:tcPr>
          <w:p>
            <w:pPr>
              <w:spacing w:after="0"/>
              <w:rPr>
                <w:sz w:val="18"/>
                <w:szCs w:val="18"/>
                <w:color w:val="auto"/>
              </w:rPr>
            </w:pPr>
          </w:p>
        </w:tc>
      </w:tr>
      <w:tr>
        <w:trPr>
          <w:trHeight w:val="121"/>
        </w:trPr>
        <w:tc>
          <w:tcPr>
            <w:tcW w:w="40" w:type="dxa"/>
            <w:vAlign w:val="bottom"/>
          </w:tcPr>
          <w:p>
            <w:pPr>
              <w:spacing w:after="0"/>
              <w:rPr>
                <w:sz w:val="10"/>
                <w:szCs w:val="10"/>
                <w:color w:val="auto"/>
              </w:rPr>
            </w:pPr>
          </w:p>
        </w:tc>
        <w:tc>
          <w:tcPr>
            <w:tcW w:w="38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Diluted EPS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rPr>
              <w:t>Net income available to common shares before allocation</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5,295</w:t>
            </w:r>
          </w:p>
        </w:tc>
        <w:tc>
          <w:tcPr>
            <w:tcW w:w="780" w:type="dxa"/>
            <w:vAlign w:val="bottom"/>
            <w:gridSpan w:val="4"/>
          </w:tcPr>
          <w:p>
            <w:pPr>
              <w:ind w:left="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3,299</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3,299</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Multiply: % allocated on weighted avg. shares outstanding</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76.0%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24.0%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rPr>
              <w:t>Net income available to common shares after allocation</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5,295</w:t>
            </w:r>
          </w:p>
        </w:tc>
        <w:tc>
          <w:tcPr>
            <w:tcW w:w="780" w:type="dxa"/>
            <w:vAlign w:val="bottom"/>
            <w:gridSpan w:val="4"/>
          </w:tcPr>
          <w:p>
            <w:pPr>
              <w:ind w:left="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2,509</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790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rPr>
              <w:t>Weighted average shares outstanding for basic EPS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20,000,753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3,889,469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170,508</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44,167</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w w:val="99"/>
              </w:rPr>
              <w:t>Weighted avg. shares including dilutive potential common shares</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20,171,261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3,933,636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0.64</w:t>
            </w:r>
          </w:p>
        </w:tc>
        <w:tc>
          <w:tcPr>
            <w:tcW w:w="2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0.13</w:t>
            </w:r>
          </w:p>
        </w:tc>
        <w:tc>
          <w:tcPr>
            <w:tcW w:w="20" w:type="dxa"/>
            <w:vAlign w:val="bottom"/>
            <w:shd w:val="clear" w:color="auto" w:fill="CCEEFF"/>
          </w:tcPr>
          <w:p>
            <w:pPr>
              <w:spacing w:after="0"/>
              <w:rPr>
                <w:sz w:val="14"/>
                <w:szCs w:val="14"/>
                <w:color w:val="auto"/>
              </w:rPr>
            </w:pPr>
          </w:p>
        </w:tc>
      </w:tr>
      <w:tr>
        <w:trPr>
          <w:trHeight w:val="20"/>
        </w:trPr>
        <w:tc>
          <w:tcPr>
            <w:tcW w:w="3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103,666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bl>
    <w:p>
      <w:pPr>
        <w:spacing w:after="0" w:line="185" w:lineRule="exact"/>
        <w:rPr>
          <w:sz w:val="20"/>
          <w:szCs w:val="20"/>
          <w:color w:val="auto"/>
        </w:rPr>
      </w:pPr>
    </w:p>
    <w:p>
      <w:pPr>
        <w:ind w:left="820" w:hanging="200"/>
        <w:spacing w:after="0"/>
        <w:tabs>
          <w:tab w:leader="none" w:pos="8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Net income available to common shares between ClassA and Class B common stock was allocatedbased on the weighted average number of</w:t>
      </w:r>
    </w:p>
    <w:p>
      <w:pPr>
        <w:spacing w:after="0" w:line="1" w:lineRule="exact"/>
        <w:rPr>
          <w:rFonts w:ascii="Arial" w:cs="Arial" w:eastAsia="Arial" w:hAnsi="Arial"/>
          <w:sz w:val="11"/>
          <w:szCs w:val="11"/>
          <w:color w:val="auto"/>
        </w:rPr>
      </w:pPr>
    </w:p>
    <w:p>
      <w:pPr>
        <w:ind w:left="620" w:right="799"/>
        <w:spacing w:after="0" w:line="263" w:lineRule="auto"/>
        <w:rPr>
          <w:rFonts w:ascii="Arial" w:cs="Arial" w:eastAsia="Arial" w:hAnsi="Arial"/>
          <w:sz w:val="11"/>
          <w:szCs w:val="11"/>
          <w:color w:val="auto"/>
        </w:rPr>
      </w:pPr>
      <w:r>
        <w:rPr>
          <w:rFonts w:ascii="Arial" w:cs="Arial" w:eastAsia="Arial" w:hAnsi="Arial"/>
          <w:sz w:val="11"/>
          <w:szCs w:val="11"/>
          <w:color w:val="auto"/>
        </w:rPr>
        <w:t>shares outstanding. The allocation also assumes that Class B shares had converted to Class A shares which is equivalentto 0.20 per share of Class B or 1,224,212 shares of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jc w:val="right"/>
              <w:ind w:right="96"/>
              <w:spacing w:after="0"/>
              <w:rPr>
                <w:sz w:val="20"/>
                <w:szCs w:val="20"/>
                <w:color w:val="auto"/>
              </w:rPr>
            </w:pPr>
            <w:r>
              <w:rPr>
                <w:rFonts w:ascii="Arial" w:cs="Arial" w:eastAsia="Arial" w:hAnsi="Arial"/>
                <w:sz w:val="13"/>
                <w:szCs w:val="13"/>
                <w:b w:val="1"/>
                <w:bCs w:val="1"/>
                <w:color w:val="auto"/>
                <w:w w:val="99"/>
              </w:rPr>
              <w:t>Six Months Ended June 30,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7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Class A</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Class B</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Class A</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line="151" w:lineRule="exact"/>
              <w:rPr>
                <w:sz w:val="20"/>
                <w:szCs w:val="20"/>
                <w:color w:val="auto"/>
              </w:rPr>
            </w:pPr>
            <w:r>
              <w:rPr>
                <w:rFonts w:ascii="Arial" w:cs="Arial" w:eastAsia="Arial" w:hAnsi="Arial"/>
                <w:sz w:val="13"/>
                <w:szCs w:val="13"/>
                <w:b w:val="1"/>
                <w:bCs w:val="1"/>
                <w:color w:val="auto"/>
                <w:w w:val="95"/>
              </w:rPr>
              <w:t xml:space="preserve">Class B </w:t>
            </w:r>
            <w:r>
              <w:rPr>
                <w:rFonts w:ascii="Arial" w:cs="Arial" w:eastAsia="Arial" w:hAnsi="Arial"/>
                <w:sz w:val="17"/>
                <w:szCs w:val="17"/>
                <w:b w:val="1"/>
                <w:bCs w:val="1"/>
                <w:color w:val="auto"/>
                <w:w w:val="95"/>
                <w:vertAlign w:val="superscript"/>
              </w:rPr>
              <w:t>(1)</w:t>
            </w:r>
          </w:p>
        </w:tc>
        <w:tc>
          <w:tcPr>
            <w:tcW w:w="20" w:type="dxa"/>
            <w:vAlign w:val="bottom"/>
            <w:tcBorders>
              <w:bottom w:val="single" w:sz="8" w:color="CCEEFF"/>
            </w:tcBorders>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840" w:type="dxa"/>
            <w:vAlign w:val="bottom"/>
            <w:gridSpan w:val="4"/>
          </w:tcPr>
          <w:p>
            <w:pPr>
              <w:spacing w:after="0"/>
              <w:rPr>
                <w:sz w:val="20"/>
                <w:szCs w:val="20"/>
                <w:color w:val="auto"/>
              </w:rPr>
            </w:pPr>
            <w:r>
              <w:rPr>
                <w:rFonts w:ascii="Arial" w:cs="Arial" w:eastAsia="Arial" w:hAnsi="Arial"/>
                <w:sz w:val="13"/>
                <w:szCs w:val="13"/>
                <w:b w:val="1"/>
                <w:bCs w:val="1"/>
                <w:color w:val="auto"/>
              </w:rPr>
              <w:t>Numerator: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shares before allocation</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10,149</w:t>
            </w:r>
          </w:p>
        </w:tc>
        <w:tc>
          <w:tcPr>
            <w:tcW w:w="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7,299</w:t>
            </w:r>
          </w:p>
        </w:tc>
        <w:tc>
          <w:tcPr>
            <w:tcW w:w="2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7,299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Multiply: % allocated on weighted avg. shares outstanding</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23.9%</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7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Net income available to common shares after allocation</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10,149</w:t>
            </w:r>
          </w:p>
        </w:tc>
        <w:tc>
          <w:tcPr>
            <w:tcW w:w="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5,551</w:t>
            </w:r>
          </w:p>
        </w:tc>
        <w:tc>
          <w:tcPr>
            <w:tcW w:w="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1,748</w:t>
            </w:r>
          </w:p>
        </w:tc>
        <w:tc>
          <w:tcPr>
            <w:tcW w:w="20" w:type="dxa"/>
            <w:vAlign w:val="bottom"/>
            <w:shd w:val="clear" w:color="auto" w:fill="CCEEFF"/>
          </w:tcPr>
          <w:p>
            <w:pPr>
              <w:spacing w:after="0"/>
              <w:rPr>
                <w:sz w:val="13"/>
                <w:szCs w:val="13"/>
                <w:color w:val="auto"/>
              </w:rPr>
            </w:pPr>
          </w:p>
        </w:tc>
      </w:tr>
      <w:tr>
        <w:trPr>
          <w:trHeight w:val="171"/>
        </w:trPr>
        <w:tc>
          <w:tcPr>
            <w:tcW w:w="3840" w:type="dxa"/>
            <w:vAlign w:val="bottom"/>
            <w:gridSpan w:val="4"/>
          </w:tcPr>
          <w:p>
            <w:pPr>
              <w:spacing w:after="0"/>
              <w:rPr>
                <w:sz w:val="20"/>
                <w:szCs w:val="20"/>
                <w:color w:val="auto"/>
              </w:rPr>
            </w:pPr>
            <w:r>
              <w:rPr>
                <w:rFonts w:ascii="Arial" w:cs="Arial" w:eastAsia="Arial" w:hAnsi="Arial"/>
                <w:sz w:val="13"/>
                <w:szCs w:val="13"/>
                <w:b w:val="1"/>
                <w:bCs w:val="1"/>
                <w:color w:val="auto"/>
              </w:rPr>
              <w:t>Denominator: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19,997,869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3,889,469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shd w:val="clear" w:color="auto" w:fill="CCEEFF"/>
          </w:tcPr>
          <w:p>
            <w:pPr>
              <w:spacing w:after="0"/>
              <w:rPr>
                <w:sz w:val="14"/>
                <w:szCs w:val="14"/>
                <w:color w:val="auto"/>
              </w:rPr>
            </w:pPr>
          </w:p>
        </w:tc>
      </w:tr>
      <w:tr>
        <w:trPr>
          <w:trHeight w:val="201"/>
        </w:trPr>
        <w:tc>
          <w:tcPr>
            <w:tcW w:w="3840" w:type="dxa"/>
            <w:vAlign w:val="bottom"/>
            <w:gridSpan w:val="4"/>
          </w:tcPr>
          <w:p>
            <w:pPr>
              <w:spacing w:after="0"/>
              <w:rPr>
                <w:sz w:val="20"/>
                <w:szCs w:val="20"/>
                <w:color w:val="auto"/>
              </w:rPr>
            </w:pPr>
            <w:r>
              <w:rPr>
                <w:rFonts w:ascii="Arial" w:cs="Arial" w:eastAsia="Arial" w:hAnsi="Arial"/>
                <w:sz w:val="13"/>
                <w:szCs w:val="13"/>
                <w:b w:val="1"/>
                <w:bCs w:val="1"/>
                <w:color w:val="auto"/>
              </w:rPr>
              <w:t>Earnings per share, basic</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0.51</w:t>
            </w:r>
          </w:p>
        </w:tc>
        <w:tc>
          <w:tcPr>
            <w:tcW w:w="780" w:type="dxa"/>
            <w:vAlign w:val="bottom"/>
            <w:gridSpan w:val="4"/>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1.43</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0.29</w:t>
            </w:r>
          </w:p>
        </w:tc>
        <w:tc>
          <w:tcPr>
            <w:tcW w:w="20" w:type="dxa"/>
            <w:vAlign w:val="bottom"/>
          </w:tcPr>
          <w:p>
            <w:pPr>
              <w:spacing w:after="0"/>
              <w:rPr>
                <w:sz w:val="17"/>
                <w:szCs w:val="17"/>
                <w:color w:val="auto"/>
              </w:rPr>
            </w:pPr>
          </w:p>
        </w:tc>
      </w:tr>
      <w:tr>
        <w:trPr>
          <w:trHeight w:val="121"/>
        </w:trPr>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7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3840" w:type="dxa"/>
            <w:vAlign w:val="bottom"/>
            <w:gridSpan w:val="4"/>
          </w:tcPr>
          <w:p>
            <w:pPr>
              <w:spacing w:after="0"/>
              <w:rPr>
                <w:sz w:val="20"/>
                <w:szCs w:val="20"/>
                <w:color w:val="auto"/>
              </w:rPr>
            </w:pPr>
            <w:r>
              <w:rPr>
                <w:rFonts w:ascii="Arial" w:cs="Arial" w:eastAsia="Arial" w:hAnsi="Arial"/>
                <w:sz w:val="13"/>
                <w:szCs w:val="13"/>
                <w:b w:val="1"/>
                <w:bCs w:val="1"/>
                <w:color w:val="auto"/>
              </w:rPr>
              <w:t>Diluted EPS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rPr>
              <w:t>Net income available to common shares before allocation</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10,149</w:t>
            </w:r>
          </w:p>
        </w:tc>
        <w:tc>
          <w:tcPr>
            <w:tcW w:w="780" w:type="dxa"/>
            <w:vAlign w:val="bottom"/>
            <w:gridSpan w:val="4"/>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7,299</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7,299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Multiply: % allocated on weighted avg. shares outstanding</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76.1%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23.9%</w:t>
            </w:r>
          </w:p>
        </w:tc>
        <w:tc>
          <w:tcPr>
            <w:tcW w:w="20" w:type="dxa"/>
            <w:vAlign w:val="bottom"/>
            <w:shd w:val="clear" w:color="auto" w:fill="CCEEFF"/>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rPr>
              <w:t>Net income available to common shares after allocation</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10,149</w:t>
            </w:r>
          </w:p>
        </w:tc>
        <w:tc>
          <w:tcPr>
            <w:tcW w:w="780" w:type="dxa"/>
            <w:vAlign w:val="bottom"/>
            <w:gridSpan w:val="4"/>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5,551</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1,748</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rPr>
              <w:t>Weighted average shares outstanding for basic EPS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19,997,869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3,889,469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Add: Dilutive effects of assumed exercises of stock options</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195,049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44,167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w w:val="99"/>
              </w:rPr>
              <w:t>Weighted avg. shares including dilutive potential common shares</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20,192,918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3,933,636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r>
      <w:tr>
        <w:trPr>
          <w:trHeight w:val="161"/>
        </w:trPr>
        <w:tc>
          <w:tcPr>
            <w:tcW w:w="60" w:type="dxa"/>
            <w:vAlign w:val="bottom"/>
            <w:gridSpan w:val="2"/>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0.29</w:t>
            </w:r>
          </w:p>
        </w:tc>
        <w:tc>
          <w:tcPr>
            <w:tcW w:w="20" w:type="dxa"/>
            <w:vAlign w:val="bottom"/>
            <w:shd w:val="clear" w:color="auto" w:fill="CCEEFF"/>
          </w:tcPr>
          <w:p>
            <w:pPr>
              <w:spacing w:after="0"/>
              <w:rPr>
                <w:sz w:val="14"/>
                <w:szCs w:val="14"/>
                <w:color w:val="auto"/>
              </w:rPr>
            </w:pPr>
          </w:p>
        </w:tc>
      </w:tr>
      <w:tr>
        <w:trPr>
          <w:trHeight w:val="20"/>
        </w:trPr>
        <w:tc>
          <w:tcPr>
            <w:tcW w:w="3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384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60" w:type="dxa"/>
            <w:vAlign w:val="bottom"/>
            <w:gridSpan w:val="2"/>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103,666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bl>
    <w:p>
      <w:pPr>
        <w:spacing w:after="0" w:line="185" w:lineRule="exact"/>
        <w:rPr>
          <w:sz w:val="20"/>
          <w:szCs w:val="20"/>
          <w:color w:val="auto"/>
        </w:rPr>
      </w:pPr>
    </w:p>
    <w:p>
      <w:pPr>
        <w:ind w:left="620" w:right="799"/>
        <w:spacing w:after="0" w:line="263" w:lineRule="auto"/>
        <w:tabs>
          <w:tab w:leader="none" w:pos="824" w:val="left"/>
        </w:tabs>
        <w:numPr>
          <w:ilvl w:val="0"/>
          <w:numId w:val="14"/>
        </w:numPr>
        <w:rPr>
          <w:rFonts w:ascii="Arial" w:cs="Arial" w:eastAsia="Arial" w:hAnsi="Arial"/>
          <w:sz w:val="11"/>
          <w:szCs w:val="11"/>
          <w:color w:val="auto"/>
        </w:rPr>
      </w:pPr>
      <w:r>
        <w:rPr>
          <w:rFonts w:ascii="Arial" w:cs="Arial" w:eastAsia="Arial" w:hAnsi="Arial"/>
          <w:sz w:val="11"/>
          <w:szCs w:val="11"/>
          <w:color w:val="auto"/>
        </w:rPr>
        <w:t>Net income available to common shares between ClassA and Class B common stock was allocatedbased on the weighted average number of shares outstanding. The allocation also assumes that Class B shares had converted to Class A shares which is equivalentto 0.20 per share of Class B or 1,224,212 shares of Class A shares.</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8 “Stockholders’ Equity” for further discussion of the stock split.</w:t>
      </w:r>
    </w:p>
    <w:p>
      <w:pPr>
        <w:spacing w:after="0" w:line="141" w:lineRule="exact"/>
        <w:rPr>
          <w:sz w:val="20"/>
          <w:szCs w:val="20"/>
          <w:color w:val="auto"/>
        </w:rPr>
      </w:pPr>
    </w:p>
    <w:p>
      <w:pPr>
        <w:ind w:left="1040" w:hanging="398"/>
        <w:spacing w:after="0"/>
        <w:tabs>
          <w:tab w:leader="none" w:pos="10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2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0"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63"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i w:val="1"/>
          <w:iCs w:val="1"/>
          <w:color w:val="auto"/>
        </w:rPr>
        <w:t>The following discussion and analysis are designed to provide a better understanding of the consolidated financial condition and results of operations of the Company and the Bank, its wholly owned subsidiary, for the quarter and six months ended June 30, 2022. This discussion and analysis are best read in conjunction with the consolidated financial statements and related footnotes included in this Form 10-Q and in the Annual Report filed on the Form 10-K (“2021 form 10-K”) filed with the Security and Exchange Commission (“SEC”) for the year ended December 31, 2021.</w:t>
      </w:r>
    </w:p>
    <w:p>
      <w:pPr>
        <w:spacing w:after="0" w:line="137"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and in the 2021 Form 10-K filed with the SEC which is available at the SEC’s website www.sec.gov.</w:t>
      </w:r>
    </w:p>
    <w:p>
      <w:pPr>
        <w:spacing w:after="0" w:line="140" w:lineRule="exact"/>
        <w:rPr>
          <w:sz w:val="20"/>
          <w:szCs w:val="20"/>
          <w:color w:val="auto"/>
        </w:rPr>
      </w:pPr>
    </w:p>
    <w:p>
      <w:pPr>
        <w:ind w:left="660" w:right="719" w:firstLine="256"/>
        <w:spacing w:after="0" w:line="289"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8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This Quarterly Report on Form 10-Q contains statements that are not historical in nature and are intended to be, and are hereby identified as, forward-looking statements for purposes of the safe harbor provided by Section 21E of the Securities Exchange Act of 1934, as amended (Exchange Act”). The words “may,” “will,” “anticipate,” “should,” “would,” “believe,” “contemplate,” “expect,” “aim,” “plan,” “estimate,” “continue,”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312"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53" w:lineRule="exact"/>
        <w:rPr>
          <w:sz w:val="20"/>
          <w:szCs w:val="20"/>
          <w:color w:val="auto"/>
        </w:rPr>
      </w:pPr>
    </w:p>
    <w:p>
      <w:pPr>
        <w:ind w:left="1180" w:right="699" w:hanging="261"/>
        <w:spacing w:after="0" w:line="246" w:lineRule="auto"/>
        <w:tabs>
          <w:tab w:leader="none" w:pos="1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continuation of COVID-19 pandemic and its impact on us, our employees, customers and third-party service</w:t>
      </w:r>
    </w:p>
    <w:p>
      <w:pPr>
        <w:ind w:left="1180"/>
        <w:spacing w:after="0"/>
        <w:rPr>
          <w:sz w:val="20"/>
          <w:szCs w:val="20"/>
          <w:color w:val="auto"/>
        </w:rPr>
      </w:pPr>
      <w:r>
        <w:rPr>
          <w:rFonts w:ascii="Arial" w:cs="Arial" w:eastAsia="Arial" w:hAnsi="Arial"/>
          <w:sz w:val="14"/>
          <w:szCs w:val="14"/>
          <w:color w:val="auto"/>
        </w:rPr>
        <w:t>providers, and the ultimate extent of the impacts of the pandemic and related government stimulus programs;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spacing w:after="0" w:line="10" w:lineRule="exact"/>
        <w:rPr>
          <w:sz w:val="20"/>
          <w:szCs w:val="20"/>
          <w:color w:val="auto"/>
        </w:rPr>
      </w:pPr>
    </w:p>
    <w:p>
      <w:pPr>
        <w:ind w:left="1180" w:right="67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ind w:left="1180" w:right="719" w:hanging="261"/>
        <w:spacing w:after="0" w:line="238"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67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effects of the forthcoming implementation of the Current Expected Credit Losses (“CECL”) standard;</w:t>
      </w:r>
    </w:p>
    <w:p>
      <w:pPr>
        <w:jc w:val="both"/>
        <w:ind w:left="1180" w:right="699" w:hanging="261"/>
        <w:spacing w:after="0" w:line="243"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concentration of ownership of our Class A common stock;</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fluctuations in the price of our Class A common stock;</w:t>
      </w:r>
    </w:p>
    <w:p>
      <w:pPr>
        <w:spacing w:after="0" w:line="9" w:lineRule="exact"/>
        <w:rPr>
          <w:rFonts w:ascii="Arial" w:cs="Arial" w:eastAsia="Arial" w:hAnsi="Arial"/>
          <w:sz w:val="14"/>
          <w:szCs w:val="14"/>
          <w:color w:val="auto"/>
        </w:rPr>
      </w:pPr>
    </w:p>
    <w:p>
      <w:pPr>
        <w:ind w:left="1180" w:right="69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interest rate margin;</w:t>
      </w:r>
    </w:p>
    <w:p>
      <w:pPr>
        <w:ind w:left="1180" w:right="69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risks described in this Form 10-Q and other filings we make with the SEC.</w:t>
      </w:r>
    </w:p>
    <w:p>
      <w:pPr>
        <w:spacing w:after="0" w:line="17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Form 10-Q are made only as of the date hereof, and we undertake no obligation to update or revise any forward-looking statement to reflect events or circumstances after the date on which the statement is made or to reflect the occurrence of unanticipated events, unless required to do so</w:t>
      </w:r>
    </w:p>
    <w:p>
      <w:pPr>
        <w:spacing w:after="0" w:line="25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45" w:lineRule="auto"/>
        <w:rPr>
          <w:sz w:val="20"/>
          <w:szCs w:val="20"/>
          <w:color w:val="auto"/>
        </w:rPr>
      </w:pPr>
      <w:r>
        <w:rPr>
          <w:rFonts w:ascii="Arial" w:cs="Arial" w:eastAsia="Arial" w:hAnsi="Arial"/>
          <w:sz w:val="14"/>
          <w:szCs w:val="14"/>
          <w:color w:val="auto"/>
        </w:rPr>
        <w:t>under the federal securities laws. You should also review the risk factors described in the reports the Company filed or will file with the SEC and, for periods prior to the completion of the bank holding company reorganization in December 2021, U.S. Century Bank (“Bank”) filed with the Federal Depository Institution Corporation (“FDIC”).</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88"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This Quarterly Report on Form 10-Q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‘Reconciliation and Management Explanation of Non-GAAP Financial Measures’ included in this Form 10-Q.</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Company, the holding company of the Bank, reported net income of $5.3 million or $0.26 per diluted share for class A common stock for the three months ended June 30, 2022, compared with net income of $4.1 million or $0.64 and $0.13 per diluted share for Class A and Class B common stock, respectively, for the same period in 2021. In December 2021, the Company agreed to exchange all the outstanding shares of Class B common stock for Class A common stock at a ratio of 5 to 1. As of June 30, 2022 and December 31, 2021, the Company’s only class of securities issued and outstanding was Class A common stock.</w:t>
      </w:r>
    </w:p>
    <w:p>
      <w:pPr>
        <w:spacing w:after="0" w:line="158" w:lineRule="exact"/>
        <w:rPr>
          <w:sz w:val="20"/>
          <w:szCs w:val="20"/>
          <w:color w:val="auto"/>
        </w:rPr>
      </w:pPr>
    </w:p>
    <w:p>
      <w:pPr>
        <w:jc w:val="both"/>
        <w:ind w:left="660" w:right="699" w:firstLine="256"/>
        <w:spacing w:after="0" w:line="243" w:lineRule="auto"/>
        <w:rPr>
          <w:sz w:val="20"/>
          <w:szCs w:val="20"/>
          <w:color w:val="auto"/>
        </w:rPr>
      </w:pPr>
      <w:r>
        <w:rPr>
          <w:rFonts w:ascii="Arial" w:cs="Arial" w:eastAsia="Arial" w:hAnsi="Arial"/>
          <w:sz w:val="14"/>
          <w:szCs w:val="14"/>
          <w:color w:val="auto"/>
        </w:rPr>
        <w:t>During the first quarter in 2022, the Board of Directors (the “Board”) approved a share repurchase program of up to 750,000 shares of Class A common stock. Under the repurchase program, the Company may purchase shares of Class A common stock on a discretionary basis from time to time. As of June 30, 2022, the Company had not repurchased any shares.</w:t>
      </w:r>
    </w:p>
    <w:p>
      <w:pPr>
        <w:spacing w:after="0" w:line="159"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In evaluating our financial performance, we consider the level of and trends in net interest income, the net interest margin, the cost of deposits, levels and composition of non-interest income and non-interest expense, performance ratios, asset quality ratios, regulatory capital ratios, and any significant event or transaction.</w:t>
      </w:r>
    </w:p>
    <w:p>
      <w:pPr>
        <w:spacing w:after="0" w:line="142"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Unless otherwise stated, all comparisons in the bullet points below are calculated for the quarter ended June 30, 2022 compared to the quarter ended June 30, 2021 and annualized where appropriate:</w:t>
      </w:r>
    </w:p>
    <w:p>
      <w:pPr>
        <w:spacing w:after="0" w:line="142" w:lineRule="exact"/>
        <w:rPr>
          <w:sz w:val="20"/>
          <w:szCs w:val="20"/>
          <w:color w:val="auto"/>
        </w:rPr>
      </w:pPr>
    </w:p>
    <w:p>
      <w:pPr>
        <w:ind w:left="1180" w:right="719" w:hanging="261"/>
        <w:spacing w:after="0" w:line="252"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income increased $3.2 million or 25.4% to $15.6 million from $12.5 million for the quarter ended June 30, 2021.</w:t>
      </w:r>
    </w:p>
    <w:p>
      <w:pPr>
        <w:spacing w:after="0" w:line="142"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margin (“NIM”) increased to 3.37% from 3.14% for the second quarter of 2021.</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assets exceeded $2.0 billion, an increase of $161.1 million or 8.7%, compared to December 31, 2021.</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loans grew to $1.4 billion, an increase of $182.7 million or 15.3%, compared to December 31, 2021.</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deposits increased $148.3 million or 9.3% to $1.7 billion from $1.6 billion at December 31, 2021.</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 return on average assets was 1.08% compared to 0.98% at June 30, 2021.</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 return on average stockholders’ equity was 11.38% compared to 9.74% at June 30, 2021.</w:t>
      </w:r>
    </w:p>
    <w:p>
      <w:pPr>
        <w:spacing w:after="0" w:line="169" w:lineRule="exact"/>
        <w:rPr>
          <w:rFonts w:ascii="Arial" w:cs="Arial" w:eastAsia="Arial" w:hAnsi="Arial"/>
          <w:sz w:val="14"/>
          <w:szCs w:val="14"/>
          <w:color w:val="auto"/>
        </w:rPr>
      </w:pPr>
    </w:p>
    <w:p>
      <w:pPr>
        <w:ind w:left="1180" w:right="719" w:hanging="261"/>
        <w:spacing w:after="0" w:line="252"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allowance for credit losses to total loans ratio decreased to 1.15% at June 30, 2022 from 1.30% at June 30, 2021.</w:t>
      </w:r>
    </w:p>
    <w:p>
      <w:pPr>
        <w:spacing w:after="0" w:line="152"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Non-performing loans to total loans was 0.00% at June 30, 2022 and 2021.</w:t>
      </w:r>
    </w:p>
    <w:p>
      <w:pPr>
        <w:spacing w:after="0" w:line="159" w:lineRule="exact"/>
        <w:rPr>
          <w:rFonts w:ascii="Arial" w:cs="Arial" w:eastAsia="Arial" w:hAnsi="Arial"/>
          <w:sz w:val="14"/>
          <w:szCs w:val="14"/>
          <w:color w:val="auto"/>
        </w:rPr>
      </w:pPr>
    </w:p>
    <w:p>
      <w:pPr>
        <w:jc w:val="both"/>
        <w:ind w:left="1180" w:right="679" w:hanging="261"/>
        <w:spacing w:after="0" w:line="253"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and the Bank exceeded all regulatory capital requirements and remained significantly above “well-capitalized” guidelines. At June 30, 2022, total risk-based capital ratio for the Company and the Bank were 13.74% and 13.67%, respectively.</w:t>
      </w:r>
    </w:p>
    <w:p>
      <w:pPr>
        <w:spacing w:after="0" w:line="2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1180" w:right="679" w:hanging="261"/>
        <w:spacing w:after="0" w:line="245"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Tangible book value per common share (a Non-GAAP financial measure) was $9.00 as of June 30, 2022, compared to $27.71 at June 30, 2021. The decline was primarily driven by an increase in issued and outstanding Class A common shares as result of the exchange and redemption of preferred shares combined with the completion of the IPO in 2021. See “Reconciliation and Management Explanation for Non-GAAP Financial Measures” for a reconciliation of this non-GAAP financial measure.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8"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of the Company’s 2021 Form 10-K.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the allowance. Management considers the policies related to the ACL as the most critical to the financial statement presentation. The total ACL includes activity related to allowances calculated in accordance with Accounting Standards Codification (“ASC”) 310, Receivables, and ASC 450, Contingencies.</w:t>
      </w:r>
    </w:p>
    <w:p>
      <w:pPr>
        <w:spacing w:after="0" w:line="14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Throughout the year, management estimates the probable incurred losses in the loan portfolio to determine if the ACL is adequate to absorb such losses. The ACL consists of specific and general components. The specific component relates to loans that are individually classified as impaired. We follow a loan review program to evaluate the credit risk in the loan portfolio. Loans that have been identified as impaired are reviewed on a quarterly basis in order to determine whether a specific reserve is required. The general component covers non-impaired loans and is based on industry and our specific historical loan loss experience, volume, growth and composition of the loan portfolio, the evaluation of our loan portfolio through our internal loan review process, general current economic conditions both internal and external to us that may affect the borrower’s ability to pay, value of collateral and other qualitative relevant risk factors. Based on a review of these estimates, we adjust the ACL to a level determined by management to be adequate. Estimates of credit losses are inherently subjective as they involve an exercise of judgment.</w:t>
      </w:r>
    </w:p>
    <w:p>
      <w:pPr>
        <w:spacing w:after="0" w:line="160"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The CARES Act, as amended by the Consolidated Appropriations Act, 2021, specified that COVID-19 related loan modifications executed between March 1, 2020 and the earlier of (i) 60 days after the date of termination of the national emergency declared by President Trump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Restructurings by Creditors.” These modifications include short-term (i.e., up to six months) modifications such as payment deferrals, fee waivers, extensions of repayment terms, or delays in payment that are insignificant. The Company’s charge-off policy is to continuously review all impaired loans to monitor the Company’s ability to collect them in full at the applicable maturity date and/or in accordance with terms of any restructurings. For loans which are collateral dependent, or deemed to be uncollectible, any shortfall in the fair value of the collateral relative to the recorded investment in the loan is charged off. The amount charged-off conforms to the amount necessary to comply with GAAP.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Income Taxes</w:t>
      </w:r>
    </w:p>
    <w:p>
      <w:pPr>
        <w:spacing w:after="0" w:line="186" w:lineRule="exact"/>
        <w:rPr>
          <w:sz w:val="20"/>
          <w:szCs w:val="20"/>
          <w:color w:val="auto"/>
        </w:rPr>
      </w:pPr>
    </w:p>
    <w:p>
      <w:pPr>
        <w:jc w:val="both"/>
        <w:ind w:left="660" w:right="659" w:firstLine="256"/>
        <w:spacing w:after="0" w:line="244"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0" w:lineRule="exact"/>
        <w:rPr>
          <w:sz w:val="20"/>
          <w:szCs w:val="20"/>
          <w:color w:val="auto"/>
        </w:rPr>
      </w:pPr>
    </w:p>
    <w:p>
      <w:pPr>
        <w:spacing w:after="0" w:line="38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assets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4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77"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onereportable operating segment.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86"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6"/>
              <w:spacing w:after="0"/>
              <w:rPr>
                <w:sz w:val="20"/>
                <w:szCs w:val="20"/>
                <w:color w:val="auto"/>
              </w:rPr>
            </w:pPr>
            <w:r>
              <w:rPr>
                <w:rFonts w:ascii="Arial" w:cs="Arial" w:eastAsia="Arial" w:hAnsi="Arial"/>
                <w:sz w:val="13"/>
                <w:szCs w:val="13"/>
                <w:b w:val="1"/>
                <w:bCs w:val="1"/>
                <w:color w:val="auto"/>
              </w:rPr>
              <w:t>June 30, 2022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r>
      <w:tr>
        <w:trPr>
          <w:trHeight w:val="15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2,016,086</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1,853,939</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1,372,733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1,190,081</w:t>
            </w:r>
          </w:p>
        </w:tc>
        <w:tc>
          <w:tcPr>
            <w:tcW w:w="20" w:type="dxa"/>
            <w:vAlign w:val="bottom"/>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1,738,720</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1,590,379</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180,068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4"/>
                <w:szCs w:val="14"/>
                <w:color w:val="auto"/>
              </w:rPr>
            </w:pPr>
          </w:p>
        </w:tc>
      </w:tr>
    </w:tbl>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32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(1) Loan amounts include deferred fees/costs.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0"/>
        </w:trPr>
        <w:tc>
          <w:tcPr>
            <w:tcW w:w="3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3"/>
                <w:szCs w:val="13"/>
                <w:b w:val="1"/>
                <w:bCs w:val="1"/>
                <w:color w:val="auto"/>
              </w:rPr>
              <w:t>Three Months Ended June 30,</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24"/>
                <w:szCs w:val="24"/>
                <w:color w:val="auto"/>
              </w:rPr>
            </w:pPr>
          </w:p>
        </w:tc>
      </w:tr>
      <w:tr>
        <w:trPr>
          <w:trHeight w:val="171"/>
        </w:trPr>
        <w:tc>
          <w:tcPr>
            <w:tcW w:w="3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41"/>
        </w:trPr>
        <w:tc>
          <w:tcPr>
            <w:tcW w:w="32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Consolidated Statements of Operations:</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15,642</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12,474</w:t>
            </w:r>
          </w:p>
        </w:tc>
        <w:tc>
          <w:tcPr>
            <w:tcW w:w="2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30,021</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24,949</w:t>
            </w:r>
          </w:p>
        </w:tc>
        <w:tc>
          <w:tcPr>
            <w:tcW w:w="20" w:type="dxa"/>
            <w:vAlign w:val="bottom"/>
          </w:tcPr>
          <w:p>
            <w:pPr>
              <w:spacing w:after="0"/>
              <w:rPr>
                <w:sz w:val="14"/>
                <w:szCs w:val="14"/>
                <w:color w:val="auto"/>
              </w:rPr>
            </w:pPr>
          </w:p>
        </w:tc>
      </w:tr>
      <w:tr>
        <w:trPr>
          <w:trHeight w:val="151"/>
        </w:trPr>
        <w:tc>
          <w:tcPr>
            <w:tcW w:w="3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1,617</w:t>
            </w:r>
          </w:p>
        </w:tc>
        <w:tc>
          <w:tcPr>
            <w:tcW w:w="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1,516</w:t>
            </w:r>
          </w:p>
        </w:tc>
        <w:tc>
          <w:tcPr>
            <w:tcW w:w="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3,562</w:t>
            </w:r>
          </w:p>
        </w:tc>
        <w:tc>
          <w:tcPr>
            <w:tcW w:w="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9,551</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8,674</w:t>
            </w:r>
          </w:p>
        </w:tc>
        <w:tc>
          <w:tcPr>
            <w:tcW w:w="2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19,163</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17,351</w:t>
            </w:r>
          </w:p>
        </w:tc>
        <w:tc>
          <w:tcPr>
            <w:tcW w:w="20" w:type="dxa"/>
            <w:vAlign w:val="bottom"/>
          </w:tcPr>
          <w:p>
            <w:pPr>
              <w:spacing w:after="0"/>
              <w:rPr>
                <w:sz w:val="14"/>
                <w:szCs w:val="14"/>
                <w:color w:val="auto"/>
              </w:rPr>
            </w:pPr>
          </w:p>
        </w:tc>
      </w:tr>
      <w:tr>
        <w:trPr>
          <w:trHeight w:val="151"/>
        </w:trPr>
        <w:tc>
          <w:tcPr>
            <w:tcW w:w="3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5,295</w:t>
            </w:r>
          </w:p>
        </w:tc>
        <w:tc>
          <w:tcPr>
            <w:tcW w:w="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4,053</w:t>
            </w:r>
          </w:p>
        </w:tc>
        <w:tc>
          <w:tcPr>
            <w:tcW w:w="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10,149</w:t>
            </w:r>
          </w:p>
        </w:tc>
        <w:tc>
          <w:tcPr>
            <w:tcW w:w="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8,834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5,295</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3,299</w:t>
            </w:r>
          </w:p>
        </w:tc>
        <w:tc>
          <w:tcPr>
            <w:tcW w:w="2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10,149</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7,299</w:t>
            </w:r>
          </w:p>
        </w:tc>
        <w:tc>
          <w:tcPr>
            <w:tcW w:w="20" w:type="dxa"/>
            <w:vAlign w:val="bottom"/>
          </w:tcPr>
          <w:p>
            <w:pPr>
              <w:spacing w:after="0"/>
              <w:rPr>
                <w:sz w:val="14"/>
                <w:szCs w:val="14"/>
                <w:color w:val="auto"/>
              </w:rPr>
            </w:pPr>
          </w:p>
        </w:tc>
      </w:tr>
      <w:tr>
        <w:trPr>
          <w:trHeight w:val="171"/>
        </w:trPr>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Profitability: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3"/>
                <w:szCs w:val="13"/>
                <w:color w:val="auto"/>
              </w:rPr>
              <w:t>Efficiency ratio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55.34%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62.00%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60.28%</w:t>
            </w:r>
          </w:p>
        </w:tc>
        <w:tc>
          <w:tcPr>
            <w:tcW w:w="20" w:type="dxa"/>
            <w:vAlign w:val="bottom"/>
          </w:tcPr>
          <w:p>
            <w:pPr>
              <w:spacing w:after="0"/>
              <w:rPr>
                <w:sz w:val="14"/>
                <w:szCs w:val="14"/>
                <w:color w:val="auto"/>
              </w:rPr>
            </w:pPr>
          </w:p>
        </w:tc>
      </w:tr>
      <w:tr>
        <w:trPr>
          <w:trHeight w:val="149"/>
        </w:trPr>
        <w:tc>
          <w:tcPr>
            <w:tcW w:w="3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interest margin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20" w:type="dxa"/>
            <w:vAlign w:val="bottom"/>
            <w:shd w:val="clear" w:color="auto" w:fill="CCEEFF"/>
          </w:tcPr>
          <w:p>
            <w:pPr>
              <w:spacing w:after="0"/>
              <w:rPr>
                <w:sz w:val="12"/>
                <w:szCs w:val="12"/>
                <w:color w:val="auto"/>
              </w:rPr>
            </w:pPr>
          </w:p>
        </w:tc>
      </w:tr>
      <w:tr>
        <w:trPr>
          <w:trHeight w:val="21"/>
        </w:trPr>
        <w:tc>
          <w:tcPr>
            <w:tcW w:w="3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expenses, and provision for income taxes.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2022 compared to the three months ended June 30, 2021</w:t>
      </w:r>
    </w:p>
    <w:p>
      <w:pPr>
        <w:spacing w:after="0" w:line="17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Net income increased to $5.3 million for the three months ended June 30, 2022 from $4.1 million for the same period in 2021. Net income available to common stockholders increased $2.0 million for the three months ended June 30, 2022 compared to the same period in 2021 primarily because of increase in net interest income and no dividend payments in 2022.</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2022 compared to six months ended June 30, 2021</w:t>
      </w:r>
    </w:p>
    <w:p>
      <w:pPr>
        <w:spacing w:after="0" w:line="184"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Net income increased to $10.1 million for the six months ended June 30, 2022 from $8.8 million for the same period in 2021. Net income available to common stockholders increased $2.9 million for the six months ended June 30,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spacing w:after="0" w:line="252" w:lineRule="auto"/>
        <w:rPr>
          <w:sz w:val="20"/>
          <w:szCs w:val="20"/>
          <w:color w:val="auto"/>
        </w:rPr>
      </w:pPr>
      <w:r>
        <w:rPr>
          <w:rFonts w:ascii="Arial" w:cs="Arial" w:eastAsia="Arial" w:hAnsi="Arial"/>
          <w:sz w:val="14"/>
          <w:szCs w:val="14"/>
          <w:color w:val="auto"/>
        </w:rPr>
        <w:t>compared to the same period in 2021 primarily because of increase in net interest income and no dividend payments in 2022.</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8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60"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rates earned on interest-earning assets and rates paid on interest-bearing liabilities. Net interest margin is equal to the annualized net interest income divided by average interest -earning assets. Because non-interest-bearing sources of funds, such as non-interest-bearing deposits and stockholders’ equity, also fund interest-earning assets, net interest margin includes the indirect benefit of these non-interest-bearing sources.</w:t>
      </w:r>
    </w:p>
    <w:p>
      <w:pPr>
        <w:spacing w:after="0" w:line="16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The following table contains information related to average balance sheet, average yields on assets, and average costs of liabilities for the periods indicated (in thousands):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Borders>
              <w:bottom w:val="single" w:sz="8" w:color="auto"/>
            </w:tcBorders>
          </w:tcPr>
          <w:p>
            <w:pPr>
              <w:spacing w:after="0"/>
              <w:rPr>
                <w:sz w:val="13"/>
                <w:szCs w:val="13"/>
                <w:color w:val="auto"/>
              </w:rPr>
            </w:pPr>
          </w:p>
        </w:tc>
        <w:tc>
          <w:tcPr>
            <w:tcW w:w="135" w:type="dxa"/>
            <w:vAlign w:val="bottom"/>
            <w:tcBorders>
              <w:bottom w:val="single" w:sz="8" w:color="auto"/>
            </w:tcBorders>
          </w:tcPr>
          <w:p>
            <w:pPr>
              <w:spacing w:after="0"/>
              <w:rPr>
                <w:sz w:val="13"/>
                <w:szCs w:val="13"/>
                <w:color w:val="auto"/>
              </w:rPr>
            </w:pPr>
          </w:p>
        </w:tc>
        <w:tc>
          <w:tcPr>
            <w:tcW w:w="645"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73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5" w:type="dxa"/>
            <w:vAlign w:val="bottom"/>
            <w:tcBorders>
              <w:bottom w:val="single" w:sz="8" w:color="auto"/>
            </w:tcBorders>
          </w:tcPr>
          <w:p>
            <w:pPr>
              <w:spacing w:after="0"/>
              <w:rPr>
                <w:sz w:val="13"/>
                <w:szCs w:val="13"/>
                <w:color w:val="auto"/>
              </w:rPr>
            </w:pPr>
          </w:p>
        </w:tc>
        <w:tc>
          <w:tcPr>
            <w:tcW w:w="645"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730" w:type="dxa"/>
            <w:vAlign w:val="bottom"/>
          </w:tcPr>
          <w:p>
            <w:pPr>
              <w:ind w:left="50"/>
              <w:spacing w:after="0"/>
              <w:rPr>
                <w:sz w:val="20"/>
                <w:szCs w:val="20"/>
                <w:color w:val="auto"/>
              </w:rPr>
            </w:pPr>
            <w:r>
              <w:rPr>
                <w:rFonts w:ascii="Arial" w:cs="Arial" w:eastAsia="Arial" w:hAnsi="Arial"/>
                <w:sz w:val="13"/>
                <w:szCs w:val="13"/>
                <w:b w:val="1"/>
                <w:bCs w:val="1"/>
                <w:color w:val="auto"/>
              </w:rPr>
              <w:t>Average</w:t>
            </w:r>
          </w:p>
        </w:tc>
        <w:tc>
          <w:tcPr>
            <w:tcW w:w="40" w:type="dxa"/>
            <w:vAlign w:val="bottom"/>
          </w:tcPr>
          <w:p>
            <w:pPr>
              <w:spacing w:after="0"/>
              <w:rPr>
                <w:sz w:val="22"/>
                <w:szCs w:val="22"/>
                <w:color w:val="auto"/>
              </w:rPr>
            </w:pPr>
          </w:p>
        </w:tc>
        <w:tc>
          <w:tcPr>
            <w:tcW w:w="135" w:type="dxa"/>
            <w:vAlign w:val="bottom"/>
          </w:tcPr>
          <w:p>
            <w:pPr>
              <w:spacing w:after="0"/>
              <w:rPr>
                <w:sz w:val="22"/>
                <w:szCs w:val="22"/>
                <w:color w:val="auto"/>
              </w:rPr>
            </w:pPr>
          </w:p>
        </w:tc>
        <w:tc>
          <w:tcPr>
            <w:tcW w:w="645"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2"/>
        </w:trPr>
        <w:tc>
          <w:tcPr>
            <w:tcW w:w="1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line="162"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Interest</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ind w:left="60"/>
              <w:spacing w:after="0" w:line="162" w:lineRule="exact"/>
              <w:rPr>
                <w:sz w:val="20"/>
                <w:szCs w:val="20"/>
                <w:color w:val="auto"/>
              </w:rPr>
            </w:pPr>
            <w:r>
              <w:rPr>
                <w:rFonts w:ascii="Arial" w:cs="Arial" w:eastAsia="Arial" w:hAnsi="Arial"/>
                <w:sz w:val="13"/>
                <w:szCs w:val="13"/>
                <w:b w:val="1"/>
                <w:bCs w:val="1"/>
                <w:color w:val="auto"/>
                <w:w w:val="97"/>
              </w:rPr>
              <w:t xml:space="preserve">Yield/Rate </w:t>
            </w:r>
            <w:r>
              <w:rPr>
                <w:rFonts w:ascii="Arial" w:cs="Arial" w:eastAsia="Arial" w:hAnsi="Arial"/>
                <w:sz w:val="17"/>
                <w:szCs w:val="17"/>
                <w:b w:val="1"/>
                <w:bCs w:val="1"/>
                <w:color w:val="auto"/>
                <w:w w:val="97"/>
                <w:vertAlign w:val="superscript"/>
              </w:rPr>
              <w:t>(2)</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ind w:left="50"/>
              <w:spacing w:after="0"/>
              <w:rPr>
                <w:sz w:val="20"/>
                <w:szCs w:val="20"/>
                <w:color w:val="auto"/>
              </w:rPr>
            </w:pPr>
            <w:r>
              <w:rPr>
                <w:rFonts w:ascii="Arial" w:cs="Arial" w:eastAsia="Arial" w:hAnsi="Arial"/>
                <w:sz w:val="13"/>
                <w:szCs w:val="13"/>
                <w:b w:val="1"/>
                <w:bCs w:val="1"/>
                <w:color w:val="auto"/>
              </w:rPr>
              <w:t>Balance</w:t>
            </w:r>
          </w:p>
        </w:tc>
        <w:tc>
          <w:tcPr>
            <w:tcW w:w="40" w:type="dxa"/>
            <w:vAlign w:val="bottom"/>
            <w:tcBorders>
              <w:bottom w:val="single" w:sz="8" w:color="CCEEFF"/>
            </w:tcBorders>
          </w:tcPr>
          <w:p>
            <w:pPr>
              <w:spacing w:after="0"/>
              <w:rPr>
                <w:sz w:val="14"/>
                <w:szCs w:val="14"/>
                <w:color w:val="auto"/>
              </w:rPr>
            </w:pPr>
          </w:p>
        </w:tc>
        <w:tc>
          <w:tcPr>
            <w:tcW w:w="135" w:type="dxa"/>
            <w:vAlign w:val="bottom"/>
            <w:tcBorders>
              <w:bottom w:val="single" w:sz="8" w:color="auto"/>
            </w:tcBorders>
          </w:tcPr>
          <w:p>
            <w:pPr>
              <w:spacing w:after="0"/>
              <w:rPr>
                <w:sz w:val="14"/>
                <w:szCs w:val="14"/>
                <w:color w:val="auto"/>
              </w:rPr>
            </w:pPr>
          </w:p>
        </w:tc>
        <w:tc>
          <w:tcPr>
            <w:tcW w:w="645"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Interest</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3"/>
                <w:szCs w:val="13"/>
                <w:b w:val="1"/>
                <w:bCs w:val="1"/>
                <w:color w:val="auto"/>
                <w:w w:val="99"/>
              </w:rPr>
              <w:t xml:space="preserve">Yield/Rate </w:t>
            </w:r>
            <w:r>
              <w:rPr>
                <w:rFonts w:ascii="Arial" w:cs="Arial" w:eastAsia="Arial" w:hAnsi="Arial"/>
                <w:sz w:val="17"/>
                <w:szCs w:val="17"/>
                <w:b w:val="1"/>
                <w:bCs w:val="1"/>
                <w:color w:val="auto"/>
                <w:w w:val="99"/>
                <w:vertAlign w:val="superscript"/>
              </w:rPr>
              <w:t>(2)</w:t>
            </w:r>
          </w:p>
        </w:tc>
        <w:tc>
          <w:tcPr>
            <w:tcW w:w="20" w:type="dxa"/>
            <w:vAlign w:val="bottom"/>
            <w:tcBorders>
              <w:bottom w:val="single" w:sz="8" w:color="CCEEFF"/>
            </w:tcBorders>
          </w:tcPr>
          <w:p>
            <w:pPr>
              <w:spacing w:after="0"/>
              <w:rPr>
                <w:sz w:val="14"/>
                <w:szCs w:val="14"/>
                <w:color w:val="auto"/>
              </w:rPr>
            </w:pPr>
          </w:p>
        </w:tc>
      </w:tr>
      <w:tr>
        <w:trPr>
          <w:trHeight w:val="151"/>
        </w:trPr>
        <w:tc>
          <w:tcPr>
            <w:tcW w:w="252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5" w:type="dxa"/>
            <w:vAlign w:val="bottom"/>
            <w:shd w:val="clear" w:color="auto" w:fill="CCEEFF"/>
          </w:tcPr>
          <w:p>
            <w:pPr>
              <w:spacing w:after="0"/>
              <w:rPr>
                <w:sz w:val="13"/>
                <w:szCs w:val="13"/>
                <w:color w:val="auto"/>
              </w:rPr>
            </w:pPr>
          </w:p>
        </w:tc>
        <w:tc>
          <w:tcPr>
            <w:tcW w:w="645"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52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4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1,296,476</w:t>
            </w:r>
          </w:p>
        </w:tc>
        <w:tc>
          <w:tcPr>
            <w:tcW w:w="4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14,053</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1,088,492</w:t>
            </w:r>
          </w:p>
        </w:tc>
        <w:tc>
          <w:tcPr>
            <w:tcW w:w="40" w:type="dxa"/>
            <w:vAlign w:val="bottom"/>
            <w:shd w:val="clear" w:color="auto" w:fill="CCEEFF"/>
          </w:tcPr>
          <w:p>
            <w:pPr>
              <w:spacing w:after="0"/>
              <w:rPr>
                <w:sz w:val="14"/>
                <w:szCs w:val="14"/>
                <w:color w:val="auto"/>
              </w:rPr>
            </w:pPr>
          </w:p>
        </w:tc>
        <w:tc>
          <w:tcPr>
            <w:tcW w:w="135"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5"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11,538</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400" w:type="dxa"/>
            <w:vAlign w:val="bottom"/>
          </w:tcPr>
          <w:p>
            <w:pPr>
              <w:ind w:left="20"/>
              <w:spacing w:after="0" w:line="171"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493,352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2,510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2.04</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spacing w:after="0"/>
              <w:rPr>
                <w:sz w:val="20"/>
                <w:szCs w:val="20"/>
                <w:color w:val="auto"/>
              </w:rPr>
            </w:pPr>
            <w:r>
              <w:rPr>
                <w:rFonts w:ascii="Arial" w:cs="Arial" w:eastAsia="Arial" w:hAnsi="Arial"/>
                <w:sz w:val="13"/>
                <w:szCs w:val="13"/>
                <w:color w:val="auto"/>
              </w:rPr>
              <w:t>385,090</w:t>
            </w: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45" w:type="dxa"/>
            <w:vAlign w:val="bottom"/>
          </w:tcPr>
          <w:p>
            <w:pPr>
              <w:jc w:val="right"/>
              <w:ind w:right="16"/>
              <w:spacing w:after="0"/>
              <w:rPr>
                <w:sz w:val="20"/>
                <w:szCs w:val="20"/>
                <w:color w:val="auto"/>
              </w:rPr>
            </w:pPr>
            <w:r>
              <w:rPr>
                <w:rFonts w:ascii="Arial" w:cs="Arial" w:eastAsia="Arial" w:hAnsi="Arial"/>
                <w:sz w:val="13"/>
                <w:szCs w:val="13"/>
                <w:color w:val="auto"/>
              </w:rPr>
              <w:t>1,968</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2.04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interest earnings assets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69,503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121</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101,134</w:t>
            </w:r>
          </w:p>
        </w:tc>
        <w:tc>
          <w:tcPr>
            <w:tcW w:w="40" w:type="dxa"/>
            <w:vAlign w:val="bottom"/>
            <w:shd w:val="clear" w:color="auto" w:fill="CCEEFF"/>
          </w:tcPr>
          <w:p>
            <w:pPr>
              <w:spacing w:after="0"/>
              <w:rPr>
                <w:sz w:val="14"/>
                <w:szCs w:val="14"/>
                <w:color w:val="auto"/>
              </w:rPr>
            </w:pPr>
          </w:p>
        </w:tc>
        <w:tc>
          <w:tcPr>
            <w:tcW w:w="135" w:type="dxa"/>
            <w:vAlign w:val="bottom"/>
            <w:tcBorders>
              <w:bottom w:val="single" w:sz="8" w:color="auto"/>
            </w:tcBorders>
            <w:shd w:val="clear" w:color="auto" w:fill="CCEEFF"/>
          </w:tcPr>
          <w:p>
            <w:pPr>
              <w:spacing w:after="0"/>
              <w:rPr>
                <w:sz w:val="14"/>
                <w:szCs w:val="14"/>
                <w:color w:val="auto"/>
              </w:rPr>
            </w:pPr>
          </w:p>
        </w:tc>
        <w:tc>
          <w:tcPr>
            <w:tcW w:w="645"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400" w:type="dxa"/>
            <w:vAlign w:val="bottom"/>
          </w:tcPr>
          <w:p>
            <w:pPr>
              <w:ind w:left="100"/>
              <w:spacing w:after="0"/>
              <w:rPr>
                <w:sz w:val="20"/>
                <w:szCs w:val="20"/>
                <w:color w:val="auto"/>
              </w:rPr>
            </w:pPr>
            <w:r>
              <w:rPr>
                <w:rFonts w:ascii="Arial" w:cs="Arial" w:eastAsia="Arial" w:hAnsi="Arial"/>
                <w:sz w:val="13"/>
                <w:szCs w:val="13"/>
                <w:color w:val="auto"/>
              </w:rPr>
              <w:t>Total interest-earning assets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1,859,331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16,684</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3.60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spacing w:after="0"/>
              <w:rPr>
                <w:sz w:val="20"/>
                <w:szCs w:val="20"/>
                <w:color w:val="auto"/>
              </w:rPr>
            </w:pPr>
            <w:r>
              <w:rPr>
                <w:rFonts w:ascii="Arial" w:cs="Arial" w:eastAsia="Arial" w:hAnsi="Arial"/>
                <w:sz w:val="13"/>
                <w:szCs w:val="13"/>
                <w:color w:val="auto"/>
              </w:rPr>
              <w:t>1,574,716</w:t>
            </w:r>
          </w:p>
        </w:tc>
        <w:tc>
          <w:tcPr>
            <w:tcW w:w="40" w:type="dxa"/>
            <w:vAlign w:val="bottom"/>
          </w:tcPr>
          <w:p>
            <w:pPr>
              <w:spacing w:after="0"/>
              <w:rPr>
                <w:sz w:val="13"/>
                <w:szCs w:val="13"/>
                <w:color w:val="auto"/>
              </w:rPr>
            </w:pPr>
          </w:p>
        </w:tc>
        <w:tc>
          <w:tcPr>
            <w:tcW w:w="135" w:type="dxa"/>
            <w:vAlign w:val="bottom"/>
          </w:tcPr>
          <w:p>
            <w:pPr>
              <w:spacing w:after="0"/>
              <w:rPr>
                <w:sz w:val="13"/>
                <w:szCs w:val="13"/>
                <w:color w:val="auto"/>
              </w:rPr>
            </w:pPr>
          </w:p>
        </w:tc>
        <w:tc>
          <w:tcPr>
            <w:tcW w:w="645" w:type="dxa"/>
            <w:vAlign w:val="bottom"/>
          </w:tcPr>
          <w:p>
            <w:pPr>
              <w:jc w:val="right"/>
              <w:ind w:right="16"/>
              <w:spacing w:after="0"/>
              <w:rPr>
                <w:sz w:val="20"/>
                <w:szCs w:val="20"/>
                <w:color w:val="auto"/>
              </w:rPr>
            </w:pPr>
            <w:r>
              <w:rPr>
                <w:rFonts w:ascii="Arial" w:cs="Arial" w:eastAsia="Arial" w:hAnsi="Arial"/>
                <w:sz w:val="13"/>
                <w:szCs w:val="13"/>
                <w:color w:val="auto"/>
              </w:rPr>
              <w:t>13,529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3.41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earning assets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109,050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85,344</w:t>
            </w:r>
          </w:p>
        </w:tc>
        <w:tc>
          <w:tcPr>
            <w:tcW w:w="40" w:type="dxa"/>
            <w:vAlign w:val="bottom"/>
            <w:shd w:val="clear" w:color="auto" w:fill="CCEEFF"/>
          </w:tcPr>
          <w:p>
            <w:pPr>
              <w:spacing w:after="0"/>
              <w:rPr>
                <w:sz w:val="14"/>
                <w:szCs w:val="14"/>
                <w:color w:val="auto"/>
              </w:rPr>
            </w:pPr>
          </w:p>
        </w:tc>
        <w:tc>
          <w:tcPr>
            <w:tcW w:w="135" w:type="dxa"/>
            <w:vAlign w:val="bottom"/>
            <w:shd w:val="clear" w:color="auto" w:fill="CCEEFF"/>
          </w:tcPr>
          <w:p>
            <w:pPr>
              <w:spacing w:after="0"/>
              <w:rPr>
                <w:sz w:val="14"/>
                <w:szCs w:val="14"/>
                <w:color w:val="auto"/>
              </w:rPr>
            </w:pPr>
          </w:p>
        </w:tc>
        <w:tc>
          <w:tcPr>
            <w:tcW w:w="645"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240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1,968,381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spacing w:after="0"/>
              <w:rPr>
                <w:sz w:val="20"/>
                <w:szCs w:val="20"/>
                <w:color w:val="auto"/>
              </w:rPr>
            </w:pPr>
            <w:r>
              <w:rPr>
                <w:rFonts w:ascii="Arial" w:cs="Arial" w:eastAsia="Arial" w:hAnsi="Arial"/>
                <w:sz w:val="13"/>
                <w:szCs w:val="13"/>
                <w:color w:val="auto"/>
              </w:rPr>
              <w:t>1,660,060</w:t>
            </w:r>
          </w:p>
        </w:tc>
        <w:tc>
          <w:tcPr>
            <w:tcW w:w="40"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645"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1"/>
        </w:trPr>
        <w:tc>
          <w:tcPr>
            <w:tcW w:w="2520" w:type="dxa"/>
            <w:vAlign w:val="bottom"/>
            <w:tcBorders>
              <w:top w:val="single" w:sz="8" w:color="CCEEFF"/>
            </w:tcBorders>
            <w:gridSpan w:val="2"/>
            <w:shd w:val="clear" w:color="auto" w:fill="CCEEFF"/>
          </w:tcPr>
          <w:p>
            <w:pPr>
              <w:ind w:left="40"/>
              <w:spacing w:after="0" w:line="121" w:lineRule="exact"/>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73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5" w:type="dxa"/>
            <w:vAlign w:val="bottom"/>
            <w:tcBorders>
              <w:top w:val="single" w:sz="8" w:color="CCEEFF"/>
            </w:tcBorders>
            <w:shd w:val="clear" w:color="auto" w:fill="CCEEFF"/>
          </w:tcPr>
          <w:p>
            <w:pPr>
              <w:spacing w:after="0"/>
              <w:rPr>
                <w:sz w:val="10"/>
                <w:szCs w:val="10"/>
                <w:color w:val="auto"/>
              </w:rPr>
            </w:pPr>
          </w:p>
        </w:tc>
        <w:tc>
          <w:tcPr>
            <w:tcW w:w="645"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0"/>
        </w:trPr>
        <w:tc>
          <w:tcPr>
            <w:tcW w:w="252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4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Interest-bearing demand deposits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66,349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52,620</w:t>
            </w:r>
          </w:p>
        </w:tc>
        <w:tc>
          <w:tcPr>
            <w:tcW w:w="40" w:type="dxa"/>
            <w:vAlign w:val="bottom"/>
            <w:shd w:val="clear" w:color="auto" w:fill="CCEEFF"/>
          </w:tcPr>
          <w:p>
            <w:pPr>
              <w:spacing w:after="0"/>
              <w:rPr>
                <w:sz w:val="14"/>
                <w:szCs w:val="14"/>
                <w:color w:val="auto"/>
              </w:rPr>
            </w:pPr>
          </w:p>
        </w:tc>
        <w:tc>
          <w:tcPr>
            <w:tcW w:w="135" w:type="dxa"/>
            <w:vAlign w:val="bottom"/>
            <w:shd w:val="clear" w:color="auto" w:fill="CCEEFF"/>
          </w:tcPr>
          <w:p>
            <w:pPr>
              <w:spacing w:after="0"/>
              <w:rPr>
                <w:sz w:val="14"/>
                <w:szCs w:val="14"/>
                <w:color w:val="auto"/>
              </w:rPr>
            </w:pPr>
          </w:p>
        </w:tc>
        <w:tc>
          <w:tcPr>
            <w:tcW w:w="645"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Saving and money market deposits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781,076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615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0.32</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spacing w:after="0"/>
              <w:rPr>
                <w:sz w:val="20"/>
                <w:szCs w:val="20"/>
                <w:color w:val="auto"/>
              </w:rPr>
            </w:pPr>
            <w:r>
              <w:rPr>
                <w:rFonts w:ascii="Arial" w:cs="Arial" w:eastAsia="Arial" w:hAnsi="Arial"/>
                <w:sz w:val="13"/>
                <w:szCs w:val="13"/>
                <w:color w:val="auto"/>
              </w:rPr>
              <w:t>607,752</w:t>
            </w: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45" w:type="dxa"/>
            <w:vAlign w:val="bottom"/>
          </w:tcPr>
          <w:p>
            <w:pPr>
              <w:jc w:val="right"/>
              <w:spacing w:after="0"/>
              <w:rPr>
                <w:sz w:val="20"/>
                <w:szCs w:val="20"/>
                <w:color w:val="auto"/>
              </w:rPr>
            </w:pPr>
            <w:r>
              <w:rPr>
                <w:rFonts w:ascii="Arial" w:cs="Arial" w:eastAsia="Arial" w:hAnsi="Arial"/>
                <w:sz w:val="13"/>
                <w:szCs w:val="13"/>
                <w:color w:val="auto"/>
              </w:rPr>
              <w:t>523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224,284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271</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235,899</w:t>
            </w:r>
          </w:p>
        </w:tc>
        <w:tc>
          <w:tcPr>
            <w:tcW w:w="40" w:type="dxa"/>
            <w:vAlign w:val="bottom"/>
            <w:shd w:val="clear" w:color="auto" w:fill="CCEEFF"/>
          </w:tcPr>
          <w:p>
            <w:pPr>
              <w:spacing w:after="0"/>
              <w:rPr>
                <w:sz w:val="14"/>
                <w:szCs w:val="14"/>
                <w:color w:val="auto"/>
              </w:rPr>
            </w:pPr>
          </w:p>
        </w:tc>
        <w:tc>
          <w:tcPr>
            <w:tcW w:w="135" w:type="dxa"/>
            <w:vAlign w:val="bottom"/>
            <w:tcBorders>
              <w:bottom w:val="single" w:sz="8" w:color="auto"/>
            </w:tcBorders>
            <w:shd w:val="clear" w:color="auto" w:fill="CCEEFF"/>
          </w:tcPr>
          <w:p>
            <w:pPr>
              <w:spacing w:after="0"/>
              <w:rPr>
                <w:sz w:val="14"/>
                <w:szCs w:val="14"/>
                <w:color w:val="auto"/>
              </w:rPr>
            </w:pPr>
          </w:p>
        </w:tc>
        <w:tc>
          <w:tcPr>
            <w:tcW w:w="645"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379</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400" w:type="dxa"/>
            <w:vAlign w:val="bottom"/>
          </w:tcPr>
          <w:p>
            <w:pPr>
              <w:ind w:left="100"/>
              <w:spacing w:after="0"/>
              <w:rPr>
                <w:sz w:val="20"/>
                <w:szCs w:val="20"/>
                <w:color w:val="auto"/>
              </w:rPr>
            </w:pPr>
            <w:r>
              <w:rPr>
                <w:rFonts w:ascii="Arial" w:cs="Arial" w:eastAsia="Arial" w:hAnsi="Arial"/>
                <w:sz w:val="13"/>
                <w:szCs w:val="13"/>
                <w:color w:val="auto"/>
              </w:rPr>
              <w:t>Total interest-bearing deposits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1,071,709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903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0.34</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spacing w:after="0"/>
              <w:rPr>
                <w:sz w:val="20"/>
                <w:szCs w:val="20"/>
                <w:color w:val="auto"/>
              </w:rPr>
            </w:pPr>
            <w:r>
              <w:rPr>
                <w:rFonts w:ascii="Arial" w:cs="Arial" w:eastAsia="Arial" w:hAnsi="Arial"/>
                <w:sz w:val="13"/>
                <w:szCs w:val="13"/>
                <w:color w:val="auto"/>
              </w:rPr>
              <w:t>896,271</w:t>
            </w:r>
          </w:p>
        </w:tc>
        <w:tc>
          <w:tcPr>
            <w:tcW w:w="40" w:type="dxa"/>
            <w:vAlign w:val="bottom"/>
          </w:tcPr>
          <w:p>
            <w:pPr>
              <w:spacing w:after="0"/>
              <w:rPr>
                <w:sz w:val="13"/>
                <w:szCs w:val="13"/>
                <w:color w:val="auto"/>
              </w:rPr>
            </w:pPr>
          </w:p>
        </w:tc>
        <w:tc>
          <w:tcPr>
            <w:tcW w:w="135" w:type="dxa"/>
            <w:vAlign w:val="bottom"/>
          </w:tcPr>
          <w:p>
            <w:pPr>
              <w:spacing w:after="0"/>
              <w:rPr>
                <w:sz w:val="13"/>
                <w:szCs w:val="13"/>
                <w:color w:val="auto"/>
              </w:rPr>
            </w:pPr>
          </w:p>
        </w:tc>
        <w:tc>
          <w:tcPr>
            <w:tcW w:w="645" w:type="dxa"/>
            <w:vAlign w:val="bottom"/>
          </w:tcPr>
          <w:p>
            <w:pPr>
              <w:jc w:val="right"/>
              <w:spacing w:after="0"/>
              <w:rPr>
                <w:sz w:val="20"/>
                <w:szCs w:val="20"/>
                <w:color w:val="auto"/>
              </w:rPr>
            </w:pPr>
            <w:r>
              <w:rPr>
                <w:rFonts w:ascii="Arial" w:cs="Arial" w:eastAsia="Arial" w:hAnsi="Arial"/>
                <w:sz w:val="13"/>
                <w:szCs w:val="13"/>
                <w:color w:val="auto"/>
              </w:rPr>
              <w:t>917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0.41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65"/>
        </w:trPr>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36,330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139</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36,000</w:t>
            </w:r>
          </w:p>
        </w:tc>
        <w:tc>
          <w:tcPr>
            <w:tcW w:w="40" w:type="dxa"/>
            <w:vAlign w:val="bottom"/>
            <w:shd w:val="clear" w:color="auto" w:fill="CCEEFF"/>
          </w:tcPr>
          <w:p>
            <w:pPr>
              <w:spacing w:after="0"/>
              <w:rPr>
                <w:sz w:val="14"/>
                <w:szCs w:val="14"/>
                <w:color w:val="auto"/>
              </w:rPr>
            </w:pPr>
          </w:p>
        </w:tc>
        <w:tc>
          <w:tcPr>
            <w:tcW w:w="135" w:type="dxa"/>
            <w:vAlign w:val="bottom"/>
            <w:tcBorders>
              <w:bottom w:val="single" w:sz="8" w:color="auto"/>
            </w:tcBorders>
            <w:shd w:val="clear" w:color="auto" w:fill="CCEEFF"/>
          </w:tcPr>
          <w:p>
            <w:pPr>
              <w:spacing w:after="0"/>
              <w:rPr>
                <w:sz w:val="14"/>
                <w:szCs w:val="14"/>
                <w:color w:val="auto"/>
              </w:rPr>
            </w:pPr>
          </w:p>
        </w:tc>
        <w:tc>
          <w:tcPr>
            <w:tcW w:w="645"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138</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bl>
    <w:p>
      <w:pPr>
        <w:spacing w:after="0" w:line="12" w:lineRule="exact"/>
        <w:rPr>
          <w:sz w:val="20"/>
          <w:szCs w:val="20"/>
          <w:color w:val="auto"/>
        </w:rPr>
      </w:pPr>
    </w:p>
    <w:p>
      <w:pPr>
        <w:sectPr>
          <w:pgSz w:w="11900" w:h="16838" w:orient="portrait"/>
          <w:cols w:equalWidth="0" w:num="1">
            <w:col w:w="9019"/>
          </w:cols>
          <w:pgMar w:left="1440" w:top="491" w:right="1440" w:bottom="1440" w:gutter="0" w:footer="0" w:header="0"/>
        </w:sectPr>
      </w:pPr>
    </w:p>
    <w:p>
      <w:pPr>
        <w:ind w:left="880"/>
        <w:spacing w:after="0"/>
        <w:rPr>
          <w:sz w:val="20"/>
          <w:szCs w:val="20"/>
          <w:color w:val="auto"/>
        </w:rPr>
      </w:pPr>
      <w:r>
        <w:rPr>
          <w:rFonts w:ascii="Arial" w:cs="Arial" w:eastAsia="Arial" w:hAnsi="Arial"/>
          <w:sz w:val="13"/>
          <w:szCs w:val="13"/>
          <w:color w:val="auto"/>
        </w:rPr>
        <w:t>Total interest-bearing liabilities</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Non-interest bearing demand deposits</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Other non-interest-bearing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Arial" w:cs="Arial" w:eastAsia="Arial" w:hAnsi="Arial"/>
                <w:sz w:val="13"/>
                <w:szCs w:val="13"/>
                <w:color w:val="auto"/>
              </w:rPr>
              <w:t>1,108,039</w:t>
            </w:r>
          </w:p>
        </w:tc>
        <w:tc>
          <w:tcPr>
            <w:tcW w:w="8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1,042</w:t>
            </w:r>
          </w:p>
        </w:tc>
        <w:tc>
          <w:tcPr>
            <w:tcW w:w="1300" w:type="dxa"/>
            <w:vAlign w:val="bottom"/>
            <w:gridSpan w:val="4"/>
          </w:tcPr>
          <w:p>
            <w:pPr>
              <w:jc w:val="right"/>
              <w:ind w:right="420"/>
              <w:spacing w:after="0"/>
              <w:rPr>
                <w:sz w:val="20"/>
                <w:szCs w:val="20"/>
                <w:color w:val="auto"/>
              </w:rPr>
            </w:pPr>
            <w:r>
              <w:rPr>
                <w:rFonts w:ascii="Arial" w:cs="Arial" w:eastAsia="Arial" w:hAnsi="Arial"/>
                <w:sz w:val="13"/>
                <w:szCs w:val="13"/>
                <w:color w:val="auto"/>
              </w:rPr>
              <w:t>0.38  %</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932,271</w:t>
            </w:r>
          </w:p>
        </w:tc>
        <w:tc>
          <w:tcPr>
            <w:tcW w:w="60" w:type="dxa"/>
            <w:vAlign w:val="bottom"/>
          </w:tcPr>
          <w:p>
            <w:pPr>
              <w:spacing w:after="0"/>
              <w:rPr>
                <w:sz w:val="14"/>
                <w:szCs w:val="14"/>
                <w:color w:val="auto"/>
              </w:rPr>
            </w:pP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1,055</w:t>
            </w:r>
          </w:p>
        </w:tc>
        <w:tc>
          <w:tcPr>
            <w:tcW w:w="740" w:type="dxa"/>
            <w:vAlign w:val="bottom"/>
          </w:tcPr>
          <w:p>
            <w:pPr>
              <w:jc w:val="right"/>
              <w:spacing w:after="0"/>
              <w:rPr>
                <w:sz w:val="20"/>
                <w:szCs w:val="20"/>
                <w:color w:val="auto"/>
              </w:rPr>
            </w:pPr>
            <w:r>
              <w:rPr>
                <w:rFonts w:ascii="Arial" w:cs="Arial" w:eastAsia="Arial" w:hAnsi="Arial"/>
                <w:sz w:val="13"/>
                <w:szCs w:val="13"/>
                <w:color w:val="auto"/>
              </w:rPr>
              <w:t>0.45  %</w:t>
            </w:r>
          </w:p>
        </w:tc>
      </w:tr>
      <w:tr>
        <w:trPr>
          <w:trHeight w:val="146"/>
        </w:trPr>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644,975</w:t>
            </w:r>
          </w:p>
        </w:tc>
        <w:tc>
          <w:tcPr>
            <w:tcW w:w="8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535,894</w:t>
            </w:r>
          </w:p>
        </w:tc>
        <w:tc>
          <w:tcPr>
            <w:tcW w:w="60" w:type="dxa"/>
            <w:vAlign w:val="bottom"/>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9"/>
        </w:trPr>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28,770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24,964</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2">
            <w:col w:w="2960" w:space="380"/>
            <w:col w:w="5679"/>
          </w:cols>
          <w:pgMar w:left="1440" w:top="49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53"/>
        </w:trPr>
        <w:tc>
          <w:tcPr>
            <w:tcW w:w="2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1,781,784</w:t>
            </w: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9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1,493,129</w:t>
            </w:r>
          </w:p>
        </w:tc>
        <w:tc>
          <w:tcPr>
            <w:tcW w:w="1720" w:type="dxa"/>
            <w:vAlign w:val="bottom"/>
            <w:tcBorders>
              <w:top w:val="single" w:sz="8" w:color="CCEEFF"/>
            </w:tcBorders>
            <w:shd w:val="clear" w:color="auto" w:fill="CCEEFF"/>
          </w:tcPr>
          <w:p>
            <w:pPr>
              <w:spacing w:after="0"/>
              <w:rPr>
                <w:sz w:val="13"/>
                <w:szCs w:val="13"/>
                <w:color w:val="auto"/>
              </w:rPr>
            </w:pPr>
          </w:p>
        </w:tc>
      </w:tr>
      <w:tr>
        <w:trPr>
          <w:trHeight w:val="171"/>
        </w:trPr>
        <w:tc>
          <w:tcPr>
            <w:tcW w:w="2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Stockholders' equity</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186,597</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166,931</w:t>
            </w:r>
          </w:p>
        </w:tc>
        <w:tc>
          <w:tcPr>
            <w:tcW w:w="1720" w:type="dxa"/>
            <w:vAlign w:val="bottom"/>
            <w:tcBorders>
              <w:bottom w:val="single" w:sz="8" w:color="CCEEFF"/>
            </w:tcBorders>
          </w:tcPr>
          <w:p>
            <w:pPr>
              <w:spacing w:after="0"/>
              <w:rPr>
                <w:sz w:val="14"/>
                <w:szCs w:val="14"/>
                <w:color w:val="auto"/>
              </w:rPr>
            </w:pPr>
          </w:p>
        </w:tc>
      </w:tr>
      <w:tr>
        <w:trPr>
          <w:trHeight w:val="161"/>
        </w:trPr>
        <w:tc>
          <w:tcPr>
            <w:tcW w:w="2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1,968,381</w:t>
            </w:r>
          </w:p>
        </w:tc>
        <w:tc>
          <w:tcPr>
            <w:tcW w:w="80" w:type="dxa"/>
            <w:vAlign w:val="bottom"/>
            <w:tcBorders>
              <w:bottom w:val="single" w:sz="8" w:color="auto"/>
            </w:tcBorders>
            <w:gridSpan w:val="2"/>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1,660,060</w:t>
            </w:r>
          </w:p>
        </w:tc>
        <w:tc>
          <w:tcPr>
            <w:tcW w:w="1720" w:type="dxa"/>
            <w:vAlign w:val="bottom"/>
            <w:shd w:val="clear" w:color="auto" w:fill="CCEEFF"/>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interest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15,642</w:t>
            </w:r>
          </w:p>
        </w:tc>
        <w:tc>
          <w:tcPr>
            <w:tcW w:w="70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12,474</w:t>
            </w:r>
          </w:p>
        </w:tc>
        <w:tc>
          <w:tcPr>
            <w:tcW w:w="7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vMerge w:val="restart"/>
            <w:shd w:val="clear" w:color="auto" w:fill="CCEEFF"/>
          </w:tcPr>
          <w:p>
            <w:pPr>
              <w:ind w:left="40"/>
              <w:spacing w:after="0" w:line="162" w:lineRule="exact"/>
              <w:rPr>
                <w:sz w:val="20"/>
                <w:szCs w:val="20"/>
                <w:color w:val="auto"/>
              </w:rPr>
            </w:pPr>
            <w:r>
              <w:rPr>
                <w:rFonts w:ascii="Arial" w:cs="Arial" w:eastAsia="Arial" w:hAnsi="Arial"/>
                <w:sz w:val="13"/>
                <w:szCs w:val="13"/>
                <w:color w:val="auto"/>
              </w:rPr>
              <w:t xml:space="preserve">Net interest spread </w:t>
            </w:r>
            <w:r>
              <w:rPr>
                <w:rFonts w:ascii="Arial" w:cs="Arial" w:eastAsia="Arial" w:hAnsi="Arial"/>
                <w:sz w:val="17"/>
                <w:szCs w:val="17"/>
                <w:color w:val="auto"/>
                <w:vertAlign w:val="superscript"/>
              </w:rPr>
              <w:t>(5)</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360" w:type="dxa"/>
            <w:vAlign w:val="bottom"/>
            <w:tcBorders>
              <w:bottom w:val="single" w:sz="8" w:color="CCEEFF"/>
            </w:tcBorders>
            <w:vMerge w:val="restart"/>
            <w:shd w:val="clear" w:color="auto" w:fill="CCEEFF"/>
          </w:tcPr>
          <w:p>
            <w:pPr>
              <w:jc w:val="right"/>
              <w:ind w:right="113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2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21"/>
        </w:trPr>
        <w:tc>
          <w:tcPr>
            <w:tcW w:w="344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(6)</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3.37</w:t>
            </w:r>
          </w:p>
        </w:tc>
        <w:tc>
          <w:tcPr>
            <w:tcW w:w="1360" w:type="dxa"/>
            <w:vAlign w:val="bottom"/>
          </w:tcPr>
          <w:p>
            <w:pPr>
              <w:jc w:val="right"/>
              <w:ind w:right="11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3.14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Annualized.</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Includes FHLB stock.</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type w:val="continuous"/>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5" w:type="dxa"/>
            <w:vAlign w:val="bottom"/>
            <w:tcBorders>
              <w:bottom w:val="single" w:sz="8" w:color="auto"/>
            </w:tcBorders>
          </w:tcPr>
          <w:p>
            <w:pPr>
              <w:spacing w:after="0"/>
              <w:rPr>
                <w:sz w:val="13"/>
                <w:szCs w:val="13"/>
                <w:color w:val="auto"/>
              </w:rPr>
            </w:pPr>
          </w:p>
        </w:tc>
        <w:tc>
          <w:tcPr>
            <w:tcW w:w="635"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96"/>
              <w:spacing w:after="0"/>
              <w:rPr>
                <w:sz w:val="20"/>
                <w:szCs w:val="20"/>
                <w:color w:val="auto"/>
              </w:rPr>
            </w:pPr>
            <w:r>
              <w:rPr>
                <w:rFonts w:ascii="Arial" w:cs="Arial" w:eastAsia="Arial" w:hAnsi="Arial"/>
                <w:sz w:val="13"/>
                <w:szCs w:val="13"/>
                <w:b w:val="1"/>
                <w:bCs w:val="1"/>
                <w:color w:val="auto"/>
              </w:rPr>
              <w:t>Six Months Ended June 30,</w:t>
            </w:r>
          </w:p>
        </w:tc>
        <w:tc>
          <w:tcPr>
            <w:tcW w:w="40" w:type="dxa"/>
            <w:vAlign w:val="bottom"/>
            <w:tcBorders>
              <w:bottom w:val="single" w:sz="8" w:color="auto"/>
            </w:tcBorders>
          </w:tcPr>
          <w:p>
            <w:pPr>
              <w:spacing w:after="0"/>
              <w:rPr>
                <w:sz w:val="13"/>
                <w:szCs w:val="13"/>
                <w:color w:val="auto"/>
              </w:rPr>
            </w:pPr>
          </w:p>
        </w:tc>
        <w:tc>
          <w:tcPr>
            <w:tcW w:w="135" w:type="dxa"/>
            <w:vAlign w:val="bottom"/>
            <w:tcBorders>
              <w:bottom w:val="single" w:sz="8" w:color="auto"/>
            </w:tcBorders>
          </w:tcPr>
          <w:p>
            <w:pPr>
              <w:spacing w:after="0"/>
              <w:rPr>
                <w:sz w:val="13"/>
                <w:szCs w:val="13"/>
                <w:color w:val="auto"/>
              </w:rPr>
            </w:pPr>
          </w:p>
        </w:tc>
        <w:tc>
          <w:tcPr>
            <w:tcW w:w="645"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5" w:type="dxa"/>
            <w:vAlign w:val="bottom"/>
            <w:tcBorders>
              <w:bottom w:val="single" w:sz="8" w:color="auto"/>
            </w:tcBorders>
          </w:tcPr>
          <w:p>
            <w:pPr>
              <w:spacing w:after="0"/>
              <w:rPr>
                <w:sz w:val="13"/>
                <w:szCs w:val="13"/>
                <w:color w:val="auto"/>
              </w:rPr>
            </w:pPr>
          </w:p>
        </w:tc>
        <w:tc>
          <w:tcPr>
            <w:tcW w:w="635"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5" w:type="dxa"/>
            <w:vAlign w:val="bottom"/>
            <w:tcBorders>
              <w:bottom w:val="single" w:sz="8" w:color="auto"/>
            </w:tcBorders>
          </w:tcPr>
          <w:p>
            <w:pPr>
              <w:spacing w:after="0"/>
              <w:rPr>
                <w:sz w:val="13"/>
                <w:szCs w:val="13"/>
                <w:color w:val="auto"/>
              </w:rPr>
            </w:pPr>
          </w:p>
        </w:tc>
        <w:tc>
          <w:tcPr>
            <w:tcW w:w="645"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36"/>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5"/>
                <w:szCs w:val="15"/>
                <w:color w:val="auto"/>
              </w:rPr>
            </w:pPr>
          </w:p>
        </w:tc>
        <w:tc>
          <w:tcPr>
            <w:tcW w:w="145" w:type="dxa"/>
            <w:vAlign w:val="bottom"/>
          </w:tcPr>
          <w:p>
            <w:pPr>
              <w:spacing w:after="0"/>
              <w:rPr>
                <w:sz w:val="15"/>
                <w:szCs w:val="15"/>
                <w:color w:val="auto"/>
              </w:rPr>
            </w:pPr>
          </w:p>
        </w:tc>
        <w:tc>
          <w:tcPr>
            <w:tcW w:w="635"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b w:val="1"/>
                <w:bCs w:val="1"/>
                <w:color w:val="auto"/>
              </w:rPr>
              <w:t>Average</w:t>
            </w:r>
          </w:p>
        </w:tc>
        <w:tc>
          <w:tcPr>
            <w:tcW w:w="4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64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6"/>
              <w:spacing w:after="0" w:line="162"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20" w:type="dxa"/>
            <w:vAlign w:val="bottom"/>
            <w:tcBorders>
              <w:bottom w:val="single" w:sz="8" w:color="CCEEFF"/>
            </w:tcBorders>
          </w:tcPr>
          <w:p>
            <w:pPr>
              <w:spacing w:after="0"/>
              <w:rPr>
                <w:sz w:val="14"/>
                <w:szCs w:val="14"/>
                <w:color w:val="auto"/>
              </w:rPr>
            </w:pPr>
          </w:p>
        </w:tc>
        <w:tc>
          <w:tcPr>
            <w:tcW w:w="145" w:type="dxa"/>
            <w:vAlign w:val="bottom"/>
            <w:tcBorders>
              <w:bottom w:val="single" w:sz="8" w:color="auto"/>
            </w:tcBorders>
          </w:tcPr>
          <w:p>
            <w:pPr>
              <w:spacing w:after="0"/>
              <w:rPr>
                <w:sz w:val="14"/>
                <w:szCs w:val="14"/>
                <w:color w:val="auto"/>
              </w:rPr>
            </w:pPr>
          </w:p>
        </w:tc>
        <w:tc>
          <w:tcPr>
            <w:tcW w:w="635"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Interest</w:t>
            </w: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3"/>
                <w:szCs w:val="13"/>
                <w:b w:val="1"/>
                <w:bCs w:val="1"/>
                <w:color w:val="auto"/>
                <w:w w:val="99"/>
              </w:rPr>
              <w:t xml:space="preserve">Yield/Rate </w:t>
            </w:r>
            <w:r>
              <w:rPr>
                <w:rFonts w:ascii="Arial" w:cs="Arial" w:eastAsia="Arial" w:hAnsi="Arial"/>
                <w:sz w:val="17"/>
                <w:szCs w:val="17"/>
                <w:b w:val="1"/>
                <w:bCs w:val="1"/>
                <w:color w:val="auto"/>
                <w:w w:val="99"/>
                <w:vertAlign w:val="superscript"/>
              </w:rPr>
              <w:t>(2)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line="162"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40" w:type="dxa"/>
            <w:vAlign w:val="bottom"/>
            <w:tcBorders>
              <w:bottom w:val="single" w:sz="8" w:color="CCEEFF"/>
            </w:tcBorders>
          </w:tcPr>
          <w:p>
            <w:pPr>
              <w:spacing w:after="0"/>
              <w:rPr>
                <w:sz w:val="14"/>
                <w:szCs w:val="14"/>
                <w:color w:val="auto"/>
              </w:rPr>
            </w:pPr>
          </w:p>
        </w:tc>
        <w:tc>
          <w:tcPr>
            <w:tcW w:w="135" w:type="dxa"/>
            <w:vAlign w:val="bottom"/>
            <w:tcBorders>
              <w:bottom w:val="single" w:sz="8" w:color="auto"/>
            </w:tcBorders>
          </w:tcPr>
          <w:p>
            <w:pPr>
              <w:spacing w:after="0"/>
              <w:rPr>
                <w:sz w:val="14"/>
                <w:szCs w:val="14"/>
                <w:color w:val="auto"/>
              </w:rPr>
            </w:pPr>
          </w:p>
        </w:tc>
        <w:tc>
          <w:tcPr>
            <w:tcW w:w="645"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Interest</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3"/>
                <w:szCs w:val="13"/>
                <w:b w:val="1"/>
                <w:bCs w:val="1"/>
                <w:color w:val="auto"/>
                <w:w w:val="99"/>
              </w:rPr>
              <w:t xml:space="preserve">Yield/Rate </w:t>
            </w:r>
            <w:r>
              <w:rPr>
                <w:rFonts w:ascii="Arial" w:cs="Arial" w:eastAsia="Arial" w:hAnsi="Arial"/>
                <w:sz w:val="17"/>
                <w:szCs w:val="17"/>
                <w:b w:val="1"/>
                <w:bCs w:val="1"/>
                <w:color w:val="auto"/>
                <w:w w:val="99"/>
                <w:vertAlign w:val="superscript"/>
              </w:rPr>
              <w:t>(2)</w:t>
            </w:r>
          </w:p>
        </w:tc>
        <w:tc>
          <w:tcPr>
            <w:tcW w:w="20" w:type="dxa"/>
            <w:vAlign w:val="bottom"/>
            <w:tcBorders>
              <w:bottom w:val="single" w:sz="8" w:color="CCEEFF"/>
            </w:tcBorders>
          </w:tcPr>
          <w:p>
            <w:pPr>
              <w:spacing w:after="0"/>
              <w:rPr>
                <w:sz w:val="14"/>
                <w:szCs w:val="14"/>
                <w:color w:val="auto"/>
              </w:rPr>
            </w:pPr>
          </w:p>
        </w:tc>
      </w:tr>
      <w:tr>
        <w:trPr>
          <w:trHeight w:val="151"/>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5" w:type="dxa"/>
            <w:vAlign w:val="bottom"/>
            <w:shd w:val="clear" w:color="auto" w:fill="CCEEFF"/>
          </w:tcPr>
          <w:p>
            <w:pPr>
              <w:spacing w:after="0"/>
              <w:rPr>
                <w:sz w:val="13"/>
                <w:szCs w:val="13"/>
                <w:color w:val="auto"/>
              </w:rPr>
            </w:pPr>
          </w:p>
        </w:tc>
        <w:tc>
          <w:tcPr>
            <w:tcW w:w="635"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5" w:type="dxa"/>
            <w:vAlign w:val="bottom"/>
            <w:shd w:val="clear" w:color="auto" w:fill="CCEEFF"/>
          </w:tcPr>
          <w:p>
            <w:pPr>
              <w:spacing w:after="0"/>
              <w:rPr>
                <w:sz w:val="13"/>
                <w:szCs w:val="13"/>
                <w:color w:val="auto"/>
              </w:rPr>
            </w:pPr>
          </w:p>
        </w:tc>
        <w:tc>
          <w:tcPr>
            <w:tcW w:w="645"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54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635"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4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1,254,189</w:t>
            </w:r>
          </w:p>
        </w:tc>
        <w:tc>
          <w:tcPr>
            <w:tcW w:w="20" w:type="dxa"/>
            <w:vAlign w:val="bottom"/>
            <w:shd w:val="clear" w:color="auto" w:fill="CCEEFF"/>
          </w:tcPr>
          <w:p>
            <w:pPr>
              <w:spacing w:after="0"/>
              <w:rPr>
                <w:sz w:val="14"/>
                <w:szCs w:val="14"/>
                <w:color w:val="auto"/>
              </w:rPr>
            </w:pPr>
          </w:p>
        </w:tc>
        <w:tc>
          <w:tcPr>
            <w:tcW w:w="145"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35"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27,035</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1,080,183</w:t>
            </w:r>
          </w:p>
        </w:tc>
        <w:tc>
          <w:tcPr>
            <w:tcW w:w="40" w:type="dxa"/>
            <w:vAlign w:val="bottom"/>
            <w:shd w:val="clear" w:color="auto" w:fill="CCEEFF"/>
          </w:tcPr>
          <w:p>
            <w:pPr>
              <w:spacing w:after="0"/>
              <w:rPr>
                <w:sz w:val="14"/>
                <w:szCs w:val="14"/>
                <w:color w:val="auto"/>
              </w:rPr>
            </w:pPr>
          </w:p>
        </w:tc>
        <w:tc>
          <w:tcPr>
            <w:tcW w:w="135"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5"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23,406</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420" w:type="dxa"/>
            <w:vAlign w:val="bottom"/>
          </w:tcPr>
          <w:p>
            <w:pPr>
              <w:ind w:left="20"/>
              <w:spacing w:after="0" w:line="171"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501,758</w:t>
            </w:r>
          </w:p>
        </w:tc>
        <w:tc>
          <w:tcPr>
            <w:tcW w:w="2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635" w:type="dxa"/>
            <w:vAlign w:val="bottom"/>
          </w:tcPr>
          <w:p>
            <w:pPr>
              <w:jc w:val="right"/>
              <w:spacing w:after="0"/>
              <w:rPr>
                <w:sz w:val="20"/>
                <w:szCs w:val="20"/>
                <w:color w:val="auto"/>
              </w:rPr>
            </w:pPr>
            <w:r>
              <w:rPr>
                <w:rFonts w:ascii="Arial" w:cs="Arial" w:eastAsia="Arial" w:hAnsi="Arial"/>
                <w:sz w:val="13"/>
                <w:szCs w:val="13"/>
                <w:color w:val="auto"/>
              </w:rPr>
              <w:t>4,839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361,394</w:t>
            </w: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45" w:type="dxa"/>
            <w:vAlign w:val="bottom"/>
          </w:tcPr>
          <w:p>
            <w:pPr>
              <w:jc w:val="right"/>
              <w:ind w:right="16"/>
              <w:spacing w:after="0"/>
              <w:rPr>
                <w:sz w:val="20"/>
                <w:szCs w:val="20"/>
                <w:color w:val="auto"/>
              </w:rPr>
            </w:pPr>
            <w:r>
              <w:rPr>
                <w:rFonts w:ascii="Arial" w:cs="Arial" w:eastAsia="Arial" w:hAnsi="Arial"/>
                <w:sz w:val="13"/>
                <w:szCs w:val="13"/>
                <w:color w:val="auto"/>
              </w:rPr>
              <w:t>3,812</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2.11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interest-earnings assets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79,763</w:t>
            </w:r>
          </w:p>
        </w:tc>
        <w:tc>
          <w:tcPr>
            <w:tcW w:w="20" w:type="dxa"/>
            <w:vAlign w:val="bottom"/>
            <w:shd w:val="clear" w:color="auto" w:fill="CCEEFF"/>
          </w:tcPr>
          <w:p>
            <w:pPr>
              <w:spacing w:after="0"/>
              <w:rPr>
                <w:sz w:val="14"/>
                <w:szCs w:val="14"/>
                <w:color w:val="auto"/>
              </w:rPr>
            </w:pPr>
          </w:p>
        </w:tc>
        <w:tc>
          <w:tcPr>
            <w:tcW w:w="145" w:type="dxa"/>
            <w:vAlign w:val="bottom"/>
            <w:tcBorders>
              <w:bottom w:val="single" w:sz="8" w:color="auto"/>
            </w:tcBorders>
            <w:shd w:val="clear" w:color="auto" w:fill="CCEEFF"/>
          </w:tcPr>
          <w:p>
            <w:pPr>
              <w:spacing w:after="0"/>
              <w:rPr>
                <w:sz w:val="14"/>
                <w:szCs w:val="14"/>
                <w:color w:val="auto"/>
              </w:rPr>
            </w:pPr>
          </w:p>
        </w:tc>
        <w:tc>
          <w:tcPr>
            <w:tcW w:w="63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89,914</w:t>
            </w:r>
          </w:p>
        </w:tc>
        <w:tc>
          <w:tcPr>
            <w:tcW w:w="40" w:type="dxa"/>
            <w:vAlign w:val="bottom"/>
            <w:shd w:val="clear" w:color="auto" w:fill="CCEEFF"/>
          </w:tcPr>
          <w:p>
            <w:pPr>
              <w:spacing w:after="0"/>
              <w:rPr>
                <w:sz w:val="14"/>
                <w:szCs w:val="14"/>
                <w:color w:val="auto"/>
              </w:rPr>
            </w:pPr>
          </w:p>
        </w:tc>
        <w:tc>
          <w:tcPr>
            <w:tcW w:w="135" w:type="dxa"/>
            <w:vAlign w:val="bottom"/>
            <w:tcBorders>
              <w:bottom w:val="single" w:sz="8" w:color="auto"/>
            </w:tcBorders>
            <w:shd w:val="clear" w:color="auto" w:fill="CCEEFF"/>
          </w:tcPr>
          <w:p>
            <w:pPr>
              <w:spacing w:after="0"/>
              <w:rPr>
                <w:sz w:val="14"/>
                <w:szCs w:val="14"/>
                <w:color w:val="auto"/>
              </w:rPr>
            </w:pPr>
          </w:p>
        </w:tc>
        <w:tc>
          <w:tcPr>
            <w:tcW w:w="645"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Total interest-earning assets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1,835,710</w:t>
            </w:r>
          </w:p>
        </w:tc>
        <w:tc>
          <w:tcPr>
            <w:tcW w:w="20" w:type="dxa"/>
            <w:vAlign w:val="bottom"/>
          </w:tcPr>
          <w:p>
            <w:pPr>
              <w:spacing w:after="0"/>
              <w:rPr>
                <w:sz w:val="13"/>
                <w:szCs w:val="13"/>
                <w:color w:val="auto"/>
              </w:rPr>
            </w:pPr>
          </w:p>
        </w:tc>
        <w:tc>
          <w:tcPr>
            <w:tcW w:w="145" w:type="dxa"/>
            <w:vAlign w:val="bottom"/>
          </w:tcPr>
          <w:p>
            <w:pPr>
              <w:spacing w:after="0"/>
              <w:rPr>
                <w:sz w:val="13"/>
                <w:szCs w:val="13"/>
                <w:color w:val="auto"/>
              </w:rPr>
            </w:pPr>
          </w:p>
        </w:tc>
        <w:tc>
          <w:tcPr>
            <w:tcW w:w="635" w:type="dxa"/>
            <w:vAlign w:val="bottom"/>
          </w:tcPr>
          <w:p>
            <w:pPr>
              <w:jc w:val="right"/>
              <w:spacing w:after="0"/>
              <w:rPr>
                <w:sz w:val="20"/>
                <w:szCs w:val="20"/>
                <w:color w:val="auto"/>
              </w:rPr>
            </w:pPr>
            <w:r>
              <w:rPr>
                <w:rFonts w:ascii="Arial" w:cs="Arial" w:eastAsia="Arial" w:hAnsi="Arial"/>
                <w:sz w:val="13"/>
                <w:szCs w:val="13"/>
                <w:color w:val="auto"/>
              </w:rPr>
              <w:t>32,026</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3.52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1,531,491</w:t>
            </w:r>
          </w:p>
        </w:tc>
        <w:tc>
          <w:tcPr>
            <w:tcW w:w="40" w:type="dxa"/>
            <w:vAlign w:val="bottom"/>
          </w:tcPr>
          <w:p>
            <w:pPr>
              <w:spacing w:after="0"/>
              <w:rPr>
                <w:sz w:val="13"/>
                <w:szCs w:val="13"/>
                <w:color w:val="auto"/>
              </w:rPr>
            </w:pPr>
          </w:p>
        </w:tc>
        <w:tc>
          <w:tcPr>
            <w:tcW w:w="135" w:type="dxa"/>
            <w:vAlign w:val="bottom"/>
          </w:tcPr>
          <w:p>
            <w:pPr>
              <w:spacing w:after="0"/>
              <w:rPr>
                <w:sz w:val="13"/>
                <w:szCs w:val="13"/>
                <w:color w:val="auto"/>
              </w:rPr>
            </w:pPr>
          </w:p>
        </w:tc>
        <w:tc>
          <w:tcPr>
            <w:tcW w:w="645" w:type="dxa"/>
            <w:vAlign w:val="bottom"/>
          </w:tcPr>
          <w:p>
            <w:pPr>
              <w:jc w:val="right"/>
              <w:ind w:right="16"/>
              <w:spacing w:after="0"/>
              <w:rPr>
                <w:sz w:val="20"/>
                <w:szCs w:val="20"/>
                <w:color w:val="auto"/>
              </w:rPr>
            </w:pPr>
            <w:r>
              <w:rPr>
                <w:rFonts w:ascii="Arial" w:cs="Arial" w:eastAsia="Arial" w:hAnsi="Arial"/>
                <w:sz w:val="13"/>
                <w:szCs w:val="13"/>
                <w:color w:val="auto"/>
              </w:rPr>
              <w:t>27,257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3.54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earning assets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105,374</w:t>
            </w:r>
          </w:p>
        </w:tc>
        <w:tc>
          <w:tcPr>
            <w:tcW w:w="2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635"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85,718</w:t>
            </w:r>
          </w:p>
        </w:tc>
        <w:tc>
          <w:tcPr>
            <w:tcW w:w="40" w:type="dxa"/>
            <w:vAlign w:val="bottom"/>
            <w:shd w:val="clear" w:color="auto" w:fill="CCEEFF"/>
          </w:tcPr>
          <w:p>
            <w:pPr>
              <w:spacing w:after="0"/>
              <w:rPr>
                <w:sz w:val="14"/>
                <w:szCs w:val="14"/>
                <w:color w:val="auto"/>
              </w:rPr>
            </w:pPr>
          </w:p>
        </w:tc>
        <w:tc>
          <w:tcPr>
            <w:tcW w:w="135" w:type="dxa"/>
            <w:vAlign w:val="bottom"/>
            <w:shd w:val="clear" w:color="auto" w:fill="CCEEFF"/>
          </w:tcPr>
          <w:p>
            <w:pPr>
              <w:spacing w:after="0"/>
              <w:rPr>
                <w:sz w:val="14"/>
                <w:szCs w:val="14"/>
                <w:color w:val="auto"/>
              </w:rPr>
            </w:pPr>
          </w:p>
        </w:tc>
        <w:tc>
          <w:tcPr>
            <w:tcW w:w="645"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1,941,084</w:t>
            </w:r>
          </w:p>
        </w:tc>
        <w:tc>
          <w:tcPr>
            <w:tcW w:w="20" w:type="dxa"/>
            <w:vAlign w:val="bottom"/>
          </w:tcPr>
          <w:p>
            <w:pPr>
              <w:spacing w:after="0"/>
              <w:rPr>
                <w:sz w:val="17"/>
                <w:szCs w:val="17"/>
                <w:color w:val="auto"/>
              </w:rPr>
            </w:pPr>
          </w:p>
        </w:tc>
        <w:tc>
          <w:tcPr>
            <w:tcW w:w="145" w:type="dxa"/>
            <w:vAlign w:val="bottom"/>
          </w:tcPr>
          <w:p>
            <w:pPr>
              <w:spacing w:after="0"/>
              <w:rPr>
                <w:sz w:val="17"/>
                <w:szCs w:val="17"/>
                <w:color w:val="auto"/>
              </w:rPr>
            </w:pPr>
          </w:p>
        </w:tc>
        <w:tc>
          <w:tcPr>
            <w:tcW w:w="635"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1,617,209</w:t>
            </w:r>
          </w:p>
        </w:tc>
        <w:tc>
          <w:tcPr>
            <w:tcW w:w="40"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645"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1"/>
        </w:trPr>
        <w:tc>
          <w:tcPr>
            <w:tcW w:w="2540" w:type="dxa"/>
            <w:vAlign w:val="bottom"/>
            <w:tcBorders>
              <w:top w:val="single" w:sz="8" w:color="CCEEFF"/>
            </w:tcBorders>
            <w:gridSpan w:val="2"/>
            <w:shd w:val="clear" w:color="auto" w:fill="CCEEFF"/>
          </w:tcPr>
          <w:p>
            <w:pPr>
              <w:ind w:left="40"/>
              <w:spacing w:after="0" w:line="121" w:lineRule="exact"/>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5" w:type="dxa"/>
            <w:vAlign w:val="bottom"/>
            <w:tcBorders>
              <w:top w:val="single" w:sz="8" w:color="CCEEFF"/>
            </w:tcBorders>
            <w:shd w:val="clear" w:color="auto" w:fill="CCEEFF"/>
          </w:tcPr>
          <w:p>
            <w:pPr>
              <w:spacing w:after="0"/>
              <w:rPr>
                <w:sz w:val="10"/>
                <w:szCs w:val="10"/>
                <w:color w:val="auto"/>
              </w:rPr>
            </w:pPr>
          </w:p>
        </w:tc>
        <w:tc>
          <w:tcPr>
            <w:tcW w:w="635"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35" w:type="dxa"/>
            <w:vAlign w:val="bottom"/>
            <w:tcBorders>
              <w:top w:val="single" w:sz="8" w:color="CCEEFF"/>
            </w:tcBorders>
            <w:shd w:val="clear" w:color="auto" w:fill="CCEEFF"/>
          </w:tcPr>
          <w:p>
            <w:pPr>
              <w:spacing w:after="0"/>
              <w:rPr>
                <w:sz w:val="10"/>
                <w:szCs w:val="10"/>
                <w:color w:val="auto"/>
              </w:rPr>
            </w:pPr>
          </w:p>
        </w:tc>
        <w:tc>
          <w:tcPr>
            <w:tcW w:w="645"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0"/>
        </w:trPr>
        <w:tc>
          <w:tcPr>
            <w:tcW w:w="254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635"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4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Interest-bearing demand deposits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65,398</w:t>
            </w:r>
          </w:p>
        </w:tc>
        <w:tc>
          <w:tcPr>
            <w:tcW w:w="2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635"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48,607</w:t>
            </w:r>
          </w:p>
        </w:tc>
        <w:tc>
          <w:tcPr>
            <w:tcW w:w="40" w:type="dxa"/>
            <w:vAlign w:val="bottom"/>
            <w:shd w:val="clear" w:color="auto" w:fill="CCEEFF"/>
          </w:tcPr>
          <w:p>
            <w:pPr>
              <w:spacing w:after="0"/>
              <w:rPr>
                <w:sz w:val="14"/>
                <w:szCs w:val="14"/>
                <w:color w:val="auto"/>
              </w:rPr>
            </w:pPr>
          </w:p>
        </w:tc>
        <w:tc>
          <w:tcPr>
            <w:tcW w:w="135" w:type="dxa"/>
            <w:vAlign w:val="bottom"/>
            <w:shd w:val="clear" w:color="auto" w:fill="CCEEFF"/>
          </w:tcPr>
          <w:p>
            <w:pPr>
              <w:spacing w:after="0"/>
              <w:rPr>
                <w:sz w:val="14"/>
                <w:szCs w:val="14"/>
                <w:color w:val="auto"/>
              </w:rPr>
            </w:pPr>
          </w:p>
        </w:tc>
        <w:tc>
          <w:tcPr>
            <w:tcW w:w="645"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Arial" w:cs="Arial" w:eastAsia="Arial" w:hAnsi="Arial"/>
                <w:sz w:val="13"/>
                <w:szCs w:val="13"/>
                <w:color w:val="auto"/>
              </w:rPr>
              <w:t>Saving and money market deposits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758,729</w:t>
            </w:r>
          </w:p>
        </w:tc>
        <w:tc>
          <w:tcPr>
            <w:tcW w:w="2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635" w:type="dxa"/>
            <w:vAlign w:val="bottom"/>
          </w:tcPr>
          <w:p>
            <w:pPr>
              <w:jc w:val="right"/>
              <w:spacing w:after="0"/>
              <w:rPr>
                <w:sz w:val="20"/>
                <w:szCs w:val="20"/>
                <w:color w:val="auto"/>
              </w:rPr>
            </w:pPr>
            <w:r>
              <w:rPr>
                <w:rFonts w:ascii="Arial" w:cs="Arial" w:eastAsia="Arial" w:hAnsi="Arial"/>
                <w:sz w:val="13"/>
                <w:szCs w:val="13"/>
                <w:color w:val="auto"/>
              </w:rPr>
              <w:t>1,166</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588,282</w:t>
            </w: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45" w:type="dxa"/>
            <w:vAlign w:val="bottom"/>
          </w:tcPr>
          <w:p>
            <w:pPr>
              <w:jc w:val="right"/>
              <w:ind w:right="16"/>
              <w:spacing w:after="0"/>
              <w:rPr>
                <w:sz w:val="20"/>
                <w:szCs w:val="20"/>
                <w:color w:val="auto"/>
              </w:rPr>
            </w:pPr>
            <w:r>
              <w:rPr>
                <w:rFonts w:ascii="Arial" w:cs="Arial" w:eastAsia="Arial" w:hAnsi="Arial"/>
                <w:sz w:val="13"/>
                <w:szCs w:val="13"/>
                <w:color w:val="auto"/>
              </w:rPr>
              <w:t>1,071</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223,781</w:t>
            </w:r>
          </w:p>
        </w:tc>
        <w:tc>
          <w:tcPr>
            <w:tcW w:w="20" w:type="dxa"/>
            <w:vAlign w:val="bottom"/>
            <w:shd w:val="clear" w:color="auto" w:fill="CCEEFF"/>
          </w:tcPr>
          <w:p>
            <w:pPr>
              <w:spacing w:after="0"/>
              <w:rPr>
                <w:sz w:val="14"/>
                <w:szCs w:val="14"/>
                <w:color w:val="auto"/>
              </w:rPr>
            </w:pPr>
          </w:p>
        </w:tc>
        <w:tc>
          <w:tcPr>
            <w:tcW w:w="145" w:type="dxa"/>
            <w:vAlign w:val="bottom"/>
            <w:tcBorders>
              <w:bottom w:val="single" w:sz="8" w:color="auto"/>
            </w:tcBorders>
            <w:shd w:val="clear" w:color="auto" w:fill="CCEEFF"/>
          </w:tcPr>
          <w:p>
            <w:pPr>
              <w:spacing w:after="0"/>
              <w:rPr>
                <w:sz w:val="14"/>
                <w:szCs w:val="14"/>
                <w:color w:val="auto"/>
              </w:rPr>
            </w:pPr>
          </w:p>
        </w:tc>
        <w:tc>
          <w:tcPr>
            <w:tcW w:w="63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241,993</w:t>
            </w:r>
          </w:p>
        </w:tc>
        <w:tc>
          <w:tcPr>
            <w:tcW w:w="40" w:type="dxa"/>
            <w:vAlign w:val="bottom"/>
            <w:shd w:val="clear" w:color="auto" w:fill="CCEEFF"/>
          </w:tcPr>
          <w:p>
            <w:pPr>
              <w:spacing w:after="0"/>
              <w:rPr>
                <w:sz w:val="14"/>
                <w:szCs w:val="14"/>
                <w:color w:val="auto"/>
              </w:rPr>
            </w:pPr>
          </w:p>
        </w:tc>
        <w:tc>
          <w:tcPr>
            <w:tcW w:w="135" w:type="dxa"/>
            <w:vAlign w:val="bottom"/>
            <w:tcBorders>
              <w:bottom w:val="single" w:sz="8" w:color="auto"/>
            </w:tcBorders>
            <w:shd w:val="clear" w:color="auto" w:fill="CCEEFF"/>
          </w:tcPr>
          <w:p>
            <w:pPr>
              <w:spacing w:after="0"/>
              <w:rPr>
                <w:sz w:val="14"/>
                <w:szCs w:val="14"/>
                <w:color w:val="auto"/>
              </w:rPr>
            </w:pPr>
          </w:p>
        </w:tc>
        <w:tc>
          <w:tcPr>
            <w:tcW w:w="645"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933</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Total interest-bearing deposits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1,047,908</w:t>
            </w:r>
          </w:p>
        </w:tc>
        <w:tc>
          <w:tcPr>
            <w:tcW w:w="20" w:type="dxa"/>
            <w:vAlign w:val="bottom"/>
          </w:tcPr>
          <w:p>
            <w:pPr>
              <w:spacing w:after="0"/>
              <w:rPr>
                <w:sz w:val="13"/>
                <w:szCs w:val="13"/>
                <w:color w:val="auto"/>
              </w:rPr>
            </w:pPr>
          </w:p>
        </w:tc>
        <w:tc>
          <w:tcPr>
            <w:tcW w:w="145" w:type="dxa"/>
            <w:vAlign w:val="bottom"/>
          </w:tcPr>
          <w:p>
            <w:pPr>
              <w:spacing w:after="0"/>
              <w:rPr>
                <w:sz w:val="13"/>
                <w:szCs w:val="13"/>
                <w:color w:val="auto"/>
              </w:rPr>
            </w:pPr>
          </w:p>
        </w:tc>
        <w:tc>
          <w:tcPr>
            <w:tcW w:w="635" w:type="dxa"/>
            <w:vAlign w:val="bottom"/>
          </w:tcPr>
          <w:p>
            <w:pPr>
              <w:jc w:val="right"/>
              <w:spacing w:after="0"/>
              <w:rPr>
                <w:sz w:val="20"/>
                <w:szCs w:val="20"/>
                <w:color w:val="auto"/>
              </w:rPr>
            </w:pPr>
            <w:r>
              <w:rPr>
                <w:rFonts w:ascii="Arial" w:cs="Arial" w:eastAsia="Arial" w:hAnsi="Arial"/>
                <w:sz w:val="13"/>
                <w:szCs w:val="13"/>
                <w:color w:val="auto"/>
              </w:rPr>
              <w:t>1,729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878,882</w:t>
            </w:r>
          </w:p>
        </w:tc>
        <w:tc>
          <w:tcPr>
            <w:tcW w:w="40" w:type="dxa"/>
            <w:vAlign w:val="bottom"/>
          </w:tcPr>
          <w:p>
            <w:pPr>
              <w:spacing w:after="0"/>
              <w:rPr>
                <w:sz w:val="13"/>
                <w:szCs w:val="13"/>
                <w:color w:val="auto"/>
              </w:rPr>
            </w:pPr>
          </w:p>
        </w:tc>
        <w:tc>
          <w:tcPr>
            <w:tcW w:w="135" w:type="dxa"/>
            <w:vAlign w:val="bottom"/>
          </w:tcPr>
          <w:p>
            <w:pPr>
              <w:spacing w:after="0"/>
              <w:rPr>
                <w:sz w:val="13"/>
                <w:szCs w:val="13"/>
                <w:color w:val="auto"/>
              </w:rPr>
            </w:pPr>
          </w:p>
        </w:tc>
        <w:tc>
          <w:tcPr>
            <w:tcW w:w="645" w:type="dxa"/>
            <w:vAlign w:val="bottom"/>
          </w:tcPr>
          <w:p>
            <w:pPr>
              <w:jc w:val="right"/>
              <w:ind w:right="16"/>
              <w:spacing w:after="0"/>
              <w:rPr>
                <w:sz w:val="20"/>
                <w:szCs w:val="20"/>
                <w:color w:val="auto"/>
              </w:rPr>
            </w:pPr>
            <w:r>
              <w:rPr>
                <w:rFonts w:ascii="Arial" w:cs="Arial" w:eastAsia="Arial" w:hAnsi="Arial"/>
                <w:sz w:val="13"/>
                <w:szCs w:val="13"/>
                <w:color w:val="auto"/>
              </w:rPr>
              <w:t>2,033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0.47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65"/>
        </w:trPr>
        <w:tc>
          <w:tcPr>
            <w:tcW w:w="12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36,171</w:t>
            </w:r>
          </w:p>
        </w:tc>
        <w:tc>
          <w:tcPr>
            <w:tcW w:w="20" w:type="dxa"/>
            <w:vAlign w:val="bottom"/>
            <w:shd w:val="clear" w:color="auto" w:fill="CCEEFF"/>
          </w:tcPr>
          <w:p>
            <w:pPr>
              <w:spacing w:after="0"/>
              <w:rPr>
                <w:sz w:val="14"/>
                <w:szCs w:val="14"/>
                <w:color w:val="auto"/>
              </w:rPr>
            </w:pPr>
          </w:p>
        </w:tc>
        <w:tc>
          <w:tcPr>
            <w:tcW w:w="145" w:type="dxa"/>
            <w:vAlign w:val="bottom"/>
            <w:tcBorders>
              <w:bottom w:val="single" w:sz="8" w:color="auto"/>
            </w:tcBorders>
            <w:shd w:val="clear" w:color="auto" w:fill="CCEEFF"/>
          </w:tcPr>
          <w:p>
            <w:pPr>
              <w:spacing w:after="0"/>
              <w:rPr>
                <w:sz w:val="14"/>
                <w:szCs w:val="14"/>
                <w:color w:val="auto"/>
              </w:rPr>
            </w:pPr>
          </w:p>
        </w:tc>
        <w:tc>
          <w:tcPr>
            <w:tcW w:w="63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36,000</w:t>
            </w:r>
          </w:p>
        </w:tc>
        <w:tc>
          <w:tcPr>
            <w:tcW w:w="40" w:type="dxa"/>
            <w:vAlign w:val="bottom"/>
            <w:shd w:val="clear" w:color="auto" w:fill="CCEEFF"/>
          </w:tcPr>
          <w:p>
            <w:pPr>
              <w:spacing w:after="0"/>
              <w:rPr>
                <w:sz w:val="14"/>
                <w:szCs w:val="14"/>
                <w:color w:val="auto"/>
              </w:rPr>
            </w:pPr>
          </w:p>
        </w:tc>
        <w:tc>
          <w:tcPr>
            <w:tcW w:w="135" w:type="dxa"/>
            <w:vAlign w:val="bottom"/>
            <w:tcBorders>
              <w:bottom w:val="single" w:sz="8" w:color="auto"/>
            </w:tcBorders>
            <w:shd w:val="clear" w:color="auto" w:fill="CCEEFF"/>
          </w:tcPr>
          <w:p>
            <w:pPr>
              <w:spacing w:after="0"/>
              <w:rPr>
                <w:sz w:val="14"/>
                <w:szCs w:val="14"/>
                <w:color w:val="auto"/>
              </w:rPr>
            </w:pPr>
          </w:p>
        </w:tc>
        <w:tc>
          <w:tcPr>
            <w:tcW w:w="645"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275</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r>
    </w:tbl>
    <w:p>
      <w:pPr>
        <w:spacing w:after="0" w:line="12" w:lineRule="exact"/>
        <w:rPr>
          <w:sz w:val="20"/>
          <w:szCs w:val="20"/>
          <w:color w:val="auto"/>
        </w:rPr>
      </w:pPr>
    </w:p>
    <w:p>
      <w:pPr>
        <w:sectPr>
          <w:pgSz w:w="11900" w:h="16838" w:orient="portrait"/>
          <w:cols w:equalWidth="0" w:num="1">
            <w:col w:w="9019"/>
          </w:cols>
          <w:pgMar w:left="1440" w:top="491" w:right="1440" w:bottom="1440" w:gutter="0" w:footer="0" w:header="0"/>
        </w:sectPr>
      </w:pPr>
    </w:p>
    <w:p>
      <w:pPr>
        <w:ind w:left="880"/>
        <w:spacing w:after="0"/>
        <w:rPr>
          <w:sz w:val="20"/>
          <w:szCs w:val="20"/>
          <w:color w:val="auto"/>
        </w:rPr>
      </w:pPr>
      <w:r>
        <w:rPr>
          <w:rFonts w:ascii="Arial" w:cs="Arial" w:eastAsia="Arial" w:hAnsi="Arial"/>
          <w:sz w:val="13"/>
          <w:szCs w:val="13"/>
          <w:color w:val="auto"/>
        </w:rPr>
        <w:t>Total interest-bearing liabilities</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Non-interest bearing demand deposits</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Other non-interest-bearing liabilities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Total liabilities</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Stockholders' equity</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2"/>
          <w:szCs w:val="12"/>
          <w:color w:val="auto"/>
        </w:rPr>
        <w:t>Total liabilities and stockholders' equity</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3"/>
          <w:szCs w:val="13"/>
          <w:color w:val="auto"/>
        </w:rPr>
        <w:t>Net interest income</w:t>
      </w:r>
    </w:p>
    <w:p>
      <w:pPr>
        <w:ind w:left="700"/>
        <w:spacing w:after="0" w:line="230" w:lineRule="auto"/>
        <w:rPr>
          <w:sz w:val="20"/>
          <w:szCs w:val="20"/>
          <w:color w:val="auto"/>
        </w:rPr>
      </w:pPr>
      <w:r>
        <w:rPr>
          <w:rFonts w:ascii="Arial" w:cs="Arial" w:eastAsia="Arial" w:hAnsi="Arial"/>
          <w:sz w:val="13"/>
          <w:szCs w:val="13"/>
          <w:color w:val="auto"/>
        </w:rPr>
        <w:t xml:space="preserve">Net interest spread </w:t>
      </w:r>
      <w:r>
        <w:rPr>
          <w:rFonts w:ascii="Arial" w:cs="Arial" w:eastAsia="Arial" w:hAnsi="Arial"/>
          <w:sz w:val="17"/>
          <w:szCs w:val="17"/>
          <w:color w:val="auto"/>
          <w:vertAlign w:val="superscript"/>
        </w:rPr>
        <w:t>(5)</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gridSpan w:val="5"/>
          </w:tcPr>
          <w:p>
            <w:pPr>
              <w:jc w:val="right"/>
              <w:spacing w:after="0"/>
              <w:rPr>
                <w:sz w:val="20"/>
                <w:szCs w:val="20"/>
                <w:color w:val="auto"/>
              </w:rPr>
            </w:pPr>
            <w:r>
              <w:rPr>
                <w:rFonts w:ascii="Arial" w:cs="Arial" w:eastAsia="Arial" w:hAnsi="Arial"/>
                <w:sz w:val="13"/>
                <w:szCs w:val="13"/>
                <w:color w:val="auto"/>
              </w:rPr>
              <w:t>1,084,079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2,005</w:t>
            </w:r>
          </w:p>
        </w:tc>
        <w:tc>
          <w:tcPr>
            <w:tcW w:w="700" w:type="dxa"/>
            <w:vAlign w:val="bottom"/>
          </w:tcPr>
          <w:p>
            <w:pPr>
              <w:jc w:val="right"/>
              <w:spacing w:after="0"/>
              <w:rPr>
                <w:sz w:val="20"/>
                <w:szCs w:val="20"/>
                <w:color w:val="auto"/>
              </w:rPr>
            </w:pPr>
            <w:r>
              <w:rPr>
                <w:rFonts w:ascii="Arial" w:cs="Arial" w:eastAsia="Arial" w:hAnsi="Arial"/>
                <w:sz w:val="13"/>
                <w:szCs w:val="13"/>
                <w:color w:val="auto"/>
              </w:rPr>
              <w:t>0.37</w:t>
            </w:r>
          </w:p>
        </w:tc>
        <w:tc>
          <w:tcPr>
            <w:tcW w:w="4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914,882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2,308</w:t>
            </w:r>
          </w:p>
        </w:tc>
        <w:tc>
          <w:tcPr>
            <w:tcW w:w="700" w:type="dxa"/>
            <w:vAlign w:val="bottom"/>
          </w:tcPr>
          <w:p>
            <w:pPr>
              <w:jc w:val="right"/>
              <w:spacing w:after="0"/>
              <w:rPr>
                <w:sz w:val="20"/>
                <w:szCs w:val="20"/>
                <w:color w:val="auto"/>
              </w:rPr>
            </w:pPr>
            <w:r>
              <w:rPr>
                <w:rFonts w:ascii="Arial" w:cs="Arial" w:eastAsia="Arial" w:hAnsi="Arial"/>
                <w:sz w:val="13"/>
                <w:szCs w:val="13"/>
                <w:color w:val="auto"/>
              </w:rPr>
              <w:t>0.51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635,740</w:t>
            </w:r>
          </w:p>
        </w:tc>
        <w:tc>
          <w:tcPr>
            <w:tcW w:w="120" w:type="dxa"/>
            <w:vAlign w:val="bottom"/>
            <w:tcBorders>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509,283</w:t>
            </w:r>
          </w:p>
        </w:tc>
        <w:tc>
          <w:tcPr>
            <w:tcW w:w="100" w:type="dxa"/>
            <w:vAlign w:val="bottom"/>
            <w:tcBorders>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7"/>
        </w:trPr>
        <w:tc>
          <w:tcPr>
            <w:tcW w:w="9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3"/>
                <w:szCs w:val="13"/>
                <w:color w:val="auto"/>
              </w:rPr>
              <w:t>27,079</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color w:val="auto"/>
              </w:rPr>
              <w:t>23,803</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45"/>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1,746,898</w:t>
            </w:r>
          </w:p>
        </w:tc>
        <w:tc>
          <w:tcPr>
            <w:tcW w:w="120" w:type="dxa"/>
            <w:vAlign w:val="bottom"/>
            <w:tcBorders>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1,447,968</w:t>
            </w:r>
          </w:p>
        </w:tc>
        <w:tc>
          <w:tcPr>
            <w:tcW w:w="100" w:type="dxa"/>
            <w:vAlign w:val="bottom"/>
            <w:tcBorders>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8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color w:val="auto"/>
              </w:rPr>
              <w:t>194,186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169,241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shd w:val="clear" w:color="auto" w:fill="CCEEFF"/>
              </w:rPr>
              <w:t>$</w:t>
            </w: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1,941,084</w:t>
            </w:r>
          </w:p>
        </w:tc>
        <w:tc>
          <w:tcPr>
            <w:tcW w:w="120" w:type="dxa"/>
            <w:vAlign w:val="bottom"/>
            <w:tcBorders>
              <w:bottom w:val="single" w:sz="8" w:color="auto"/>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shd w:val="clear" w:color="auto" w:fill="CCEEFF"/>
              </w:rPr>
              <w:t>$</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1,617,209</w:t>
            </w:r>
          </w:p>
        </w:tc>
        <w:tc>
          <w:tcPr>
            <w:tcW w:w="100" w:type="dxa"/>
            <w:vAlign w:val="bottom"/>
            <w:tcBorders>
              <w:bottom w:val="single" w:sz="8" w:color="auto"/>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1060" w:type="dxa"/>
            <w:vAlign w:val="bottom"/>
            <w:gridSpan w:val="7"/>
          </w:tcPr>
          <w:p>
            <w:pPr>
              <w:jc w:val="right"/>
              <w:ind w:right="20"/>
              <w:spacing w:after="0" w:line="132"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line="132" w:lineRule="exact"/>
              <w:rPr>
                <w:sz w:val="20"/>
                <w:szCs w:val="20"/>
                <w:color w:val="auto"/>
              </w:rPr>
            </w:pPr>
            <w:r>
              <w:rPr>
                <w:rFonts w:ascii="Arial" w:cs="Arial" w:eastAsia="Arial" w:hAnsi="Arial"/>
                <w:sz w:val="13"/>
                <w:szCs w:val="13"/>
                <w:color w:val="auto"/>
              </w:rPr>
              <w:t>30,021</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5"/>
          </w:tcPr>
          <w:p>
            <w:pPr>
              <w:jc w:val="right"/>
              <w:ind w:right="20"/>
              <w:spacing w:after="0" w:line="132"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line="132" w:lineRule="exact"/>
              <w:rPr>
                <w:sz w:val="20"/>
                <w:szCs w:val="20"/>
                <w:color w:val="auto"/>
              </w:rPr>
            </w:pPr>
            <w:r>
              <w:rPr>
                <w:rFonts w:ascii="Arial" w:cs="Arial" w:eastAsia="Arial" w:hAnsi="Arial"/>
                <w:sz w:val="13"/>
                <w:szCs w:val="13"/>
                <w:color w:val="auto"/>
              </w:rPr>
              <w:t>24,949</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1"/>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00" w:type="dxa"/>
            <w:vAlign w:val="bottom"/>
            <w:tcBorders>
              <w:top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3.15</w:t>
            </w:r>
          </w:p>
        </w:tc>
        <w:tc>
          <w:tcPr>
            <w:tcW w:w="400" w:type="dxa"/>
            <w:vAlign w:val="bottom"/>
            <w:tcBorders>
              <w:top w:val="single" w:sz="8" w:color="CCEEFF"/>
            </w:tcBorders>
            <w:shd w:val="clear" w:color="auto" w:fill="CCEEFF"/>
          </w:tcPr>
          <w:p>
            <w:pPr>
              <w:jc w:val="right"/>
              <w:ind w:right="176"/>
              <w:spacing w:after="0" w:line="121"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left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00" w:type="dxa"/>
            <w:vAlign w:val="bottom"/>
            <w:tcBorders>
              <w:top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3.03</w:t>
            </w:r>
          </w:p>
        </w:tc>
        <w:tc>
          <w:tcPr>
            <w:tcW w:w="180" w:type="dxa"/>
            <w:vAlign w:val="bottom"/>
            <w:tcBorders>
              <w:top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3.30</w:t>
            </w:r>
          </w:p>
        </w:tc>
        <w:tc>
          <w:tcPr>
            <w:tcW w:w="4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r>
    </w:tbl>
    <w:p>
      <w:pPr>
        <w:spacing w:after="0" w:line="168" w:lineRule="exact"/>
        <w:rPr>
          <w:sz w:val="20"/>
          <w:szCs w:val="20"/>
          <w:color w:val="auto"/>
        </w:rPr>
      </w:pPr>
    </w:p>
    <w:p>
      <w:pPr>
        <w:sectPr>
          <w:pgSz w:w="11900" w:h="16838" w:orient="portrait"/>
          <w:cols w:equalWidth="0" w:num="2">
            <w:col w:w="3100" w:space="100"/>
            <w:col w:w="5819"/>
          </w:cols>
          <w:pgMar w:left="1440" w:top="491" w:right="1440" w:bottom="1440" w:gutter="0" w:footer="0" w:header="0"/>
          <w:type w:val="continuous"/>
        </w:sect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Annualized.</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Includes FHLB stock.</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2022 compared to the three months ended June 30, 2021</w:t>
      </w:r>
    </w:p>
    <w:p>
      <w:pPr>
        <w:spacing w:after="0" w:line="18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Net interest income before the provision for credit losses was $15.6 million for the three months ended June 30, 2022, an increase of $3.2 million or 25.4%, from $12.5 million for the same period in 2021. This increase was primarily attributable to higher income from larger loan and investment portfolios combined with an increase in the weighted average loan yield.</w:t>
      </w:r>
    </w:p>
    <w:p>
      <w:pPr>
        <w:spacing w:after="0" w:line="15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Included with loan interest income are PPP loan fees totaling $484 thousand and $925 thousand for the three months ended June 30, 2022 and 2021, respectively. PPP loan fees are recognized upon loan forgiveness by the SBA.</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interest margin increased to 3.37% for the quarter ended June 30, 2022 from 3.14% for the same period in 2021.</w:t>
      </w:r>
    </w:p>
    <w:p>
      <w:pPr>
        <w:ind w:left="660"/>
        <w:spacing w:after="0"/>
        <w:rPr>
          <w:sz w:val="20"/>
          <w:szCs w:val="20"/>
          <w:color w:val="auto"/>
        </w:rPr>
      </w:pPr>
      <w:r>
        <w:rPr>
          <w:rFonts w:ascii="Arial" w:cs="Arial" w:eastAsia="Arial" w:hAnsi="Arial"/>
          <w:sz w:val="14"/>
          <w:szCs w:val="14"/>
          <w:color w:val="auto"/>
        </w:rPr>
        <w:t>The yield for loans and other interest-earning assets increased, while the overall interest-bearing deposits cost decreased .</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2022 compared to six months ended June 30, 2021</w:t>
      </w:r>
    </w:p>
    <w:p>
      <w:pPr>
        <w:spacing w:after="0" w:line="184"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Net interest income before the provision for credit losses was $30.0 million for the six months ended June 30, 2022, an increase of $5.1 million or 20.3%, from $24.9 million for the same period in 2021. This increase was primarily attributable to higher income from larger loan and investment portfolios combined with a decrease in the average deposit cost.</w:t>
      </w:r>
    </w:p>
    <w:p>
      <w:pPr>
        <w:spacing w:after="0" w:line="158" w:lineRule="exact"/>
        <w:rPr>
          <w:sz w:val="20"/>
          <w:szCs w:val="20"/>
          <w:color w:val="auto"/>
        </w:rPr>
      </w:pPr>
    </w:p>
    <w:p>
      <w:pPr>
        <w:jc w:val="both"/>
        <w:ind w:left="660" w:right="679"/>
        <w:spacing w:after="0" w:line="252" w:lineRule="auto"/>
        <w:rPr>
          <w:sz w:val="20"/>
          <w:szCs w:val="20"/>
          <w:color w:val="auto"/>
        </w:rPr>
      </w:pPr>
      <w:r>
        <w:rPr>
          <w:rFonts w:ascii="Arial" w:cs="Arial" w:eastAsia="Arial" w:hAnsi="Arial"/>
          <w:sz w:val="14"/>
          <w:szCs w:val="14"/>
          <w:color w:val="auto"/>
        </w:rPr>
        <w:t>Included with loan interest income are PPP loan fees totaling $1.5 million and $2.4 million for the six months ended June 30, 2022 and 2021, respectively. PPP loan fees are recognized upon loan forgiveness by the SBA.</w:t>
      </w:r>
    </w:p>
    <w:p>
      <w:pPr>
        <w:spacing w:after="0" w:line="153" w:lineRule="exact"/>
        <w:rPr>
          <w:sz w:val="20"/>
          <w:szCs w:val="20"/>
          <w:color w:val="auto"/>
        </w:rPr>
      </w:pPr>
    </w:p>
    <w:p>
      <w:pPr>
        <w:ind w:left="660" w:right="719"/>
        <w:spacing w:after="0" w:line="252" w:lineRule="auto"/>
        <w:rPr>
          <w:sz w:val="20"/>
          <w:szCs w:val="20"/>
          <w:color w:val="auto"/>
        </w:rPr>
      </w:pPr>
      <w:r>
        <w:rPr>
          <w:rFonts w:ascii="Arial" w:cs="Arial" w:eastAsia="Arial" w:hAnsi="Arial"/>
          <w:sz w:val="14"/>
          <w:szCs w:val="14"/>
          <w:color w:val="auto"/>
        </w:rPr>
        <w:t>Net interest margin increased to 3.30% at June 30, 2022 from 3.24% in the same period in 2021. The overall interest-bearing liabilities yields decreased.</w:t>
      </w:r>
    </w:p>
    <w:p>
      <w:pPr>
        <w:spacing w:after="0" w:line="24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type w:val="continuous"/>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8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ACL represents probable incurred losses in our portfolio. We maintain an adequate ACL that can mitigate probable losses inherent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considers statistical and historical trends and economic conditions and other applicable factors.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2022 compared to the three months ended June 30, 2021</w:t>
      </w:r>
    </w:p>
    <w:p>
      <w:pPr>
        <w:spacing w:after="0" w:line="184"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The provision for credit loss was $705 thousand for the three months ended June 30, 2022 compared no provision recorded for the same period in 2021. The primary driver of the provision expense was attributed to loan growth.</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2022 compared to six months ended June 30, 2021</w:t>
      </w:r>
    </w:p>
    <w:p>
      <w:pPr>
        <w:spacing w:after="0" w:line="17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provision for credit loss was $705 thousand for the six months ended June 30, 2022 compared a net recovery of $160 thousand for the same period in 2021. The primary driver of the provision expense was attributed to loan growth. The ACL as a percentage of total loans decreased to 1.15% at June 30, 2022 compared to 1.30% at June 30, 2021 due to the growth of the loan portfolio.</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“Allowance for Credit Losses” below for further discussion on how the ACL is calculated.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86"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our swap and SBA programs. In addition, we own and are beneficiaries of the life insurance policies on some of our employees and generate income on the increase in the cash surrender value of these policies.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pacing w:after="0" w:line="177" w:lineRule="exact"/>
        <w:rPr>
          <w:sz w:val="20"/>
          <w:szCs w:val="20"/>
          <w:color w:val="auto"/>
        </w:rPr>
      </w:pPr>
    </w:p>
    <w:tbl>
      <w:tblPr>
        <w:tblLayout w:type="fixed"/>
        <w:tblInd w:w="3820" w:type="dxa"/>
        <w:tblCellMar>
          <w:top w:w="0" w:type="dxa"/>
          <w:left w:w="0" w:type="dxa"/>
          <w:bottom w:w="0" w:type="dxa"/>
          <w:right w:w="0" w:type="dxa"/>
        </w:tblCellMar>
      </w:tblPr>
      <w:tr>
        <w:trPr>
          <w:trHeight w:val="153"/>
        </w:trPr>
        <w:tc>
          <w:tcPr>
            <w:tcW w:w="22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13"/>
                <w:szCs w:val="13"/>
                <w:color w:val="auto"/>
              </w:rPr>
            </w:pPr>
          </w:p>
        </w:tc>
        <w:tc>
          <w:tcPr>
            <w:tcW w:w="224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b w:val="1"/>
                <w:bCs w:val="1"/>
                <w:color w:val="auto"/>
              </w:rPr>
              <w:t>Six Months Ended June 30,</w:t>
            </w:r>
          </w:p>
        </w:tc>
      </w:tr>
      <w:tr>
        <w:trPr>
          <w:trHeight w:val="151"/>
        </w:trPr>
        <w:tc>
          <w:tcPr>
            <w:tcW w:w="1140" w:type="dxa"/>
            <w:vAlign w:val="bottom"/>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1100" w:type="dxa"/>
            <w:vAlign w:val="bottom"/>
          </w:tcPr>
          <w:p>
            <w:pPr>
              <w:jc w:val="right"/>
              <w:ind w:right="336"/>
              <w:spacing w:after="0"/>
              <w:rPr>
                <w:sz w:val="20"/>
                <w:szCs w:val="20"/>
                <w:color w:val="auto"/>
              </w:rPr>
            </w:pPr>
            <w:r>
              <w:rPr>
                <w:rFonts w:ascii="Arial" w:cs="Arial" w:eastAsia="Arial" w:hAnsi="Arial"/>
                <w:sz w:val="13"/>
                <w:szCs w:val="13"/>
                <w:b w:val="1"/>
                <w:bCs w:val="1"/>
                <w:color w:val="auto"/>
              </w:rPr>
              <w:t>2021</w:t>
            </w:r>
          </w:p>
        </w:tc>
        <w:tc>
          <w:tcPr>
            <w:tcW w:w="118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1100" w:type="dxa"/>
            <w:vAlign w:val="bottom"/>
          </w:tcPr>
          <w:p>
            <w:pPr>
              <w:jc w:val="right"/>
              <w:ind w:right="336"/>
              <w:spacing w:after="0"/>
              <w:rPr>
                <w:sz w:val="20"/>
                <w:szCs w:val="20"/>
                <w:color w:val="auto"/>
              </w:rPr>
            </w:pPr>
            <w:r>
              <w:rPr>
                <w:rFonts w:ascii="Arial" w:cs="Arial" w:eastAsia="Arial" w:hAnsi="Arial"/>
                <w:sz w:val="13"/>
                <w:szCs w:val="13"/>
                <w:b w:val="1"/>
                <w:bCs w:val="1"/>
                <w:color w:val="auto"/>
              </w:rPr>
              <w:t>2021</w:t>
            </w:r>
          </w:p>
        </w:tc>
      </w:tr>
    </w:tbl>
    <w:p>
      <w:pPr>
        <w:spacing w:after="0" w:line="1" w:lineRule="exact"/>
        <w:rPr>
          <w:sz w:val="20"/>
          <w:szCs w:val="20"/>
          <w:color w:val="auto"/>
        </w:rPr>
      </w:pPr>
    </w:p>
    <w:p>
      <w:pPr>
        <w:sectPr>
          <w:pgSz w:w="11900" w:h="16838" w:orient="portrait"/>
          <w:cols w:equalWidth="0" w:num="1">
            <w:col w:w="9019"/>
          </w:cols>
          <w:pgMar w:left="1440" w:top="491" w:right="1440" w:bottom="1440" w:gutter="0" w:footer="0" w:header="0"/>
        </w:sectPr>
      </w:pP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Service fees</w:t>
            </w:r>
          </w:p>
        </w:tc>
        <w:tc>
          <w:tcPr>
            <w:tcW w:w="80" w:type="dxa"/>
            <w:vAlign w:val="bottom"/>
            <w:shd w:val="clear" w:color="auto" w:fill="CCEEFF"/>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r>
      <w:tr>
        <w:trPr>
          <w:trHeight w:val="166"/>
        </w:trPr>
        <w:tc>
          <w:tcPr>
            <w:tcW w:w="3100" w:type="dxa"/>
            <w:vAlign w:val="bottom"/>
          </w:tcPr>
          <w:p>
            <w:pPr>
              <w:spacing w:after="0"/>
              <w:rPr>
                <w:sz w:val="20"/>
                <w:szCs w:val="20"/>
                <w:color w:val="auto"/>
              </w:rPr>
            </w:pPr>
            <w:r>
              <w:rPr>
                <w:rFonts w:ascii="Arial" w:cs="Arial" w:eastAsia="Arial" w:hAnsi="Arial"/>
                <w:sz w:val="13"/>
                <w:szCs w:val="13"/>
                <w:color w:val="auto"/>
              </w:rPr>
              <w:t>Gain (loss) on sale of securities available for sale, net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3"/>
                <w:szCs w:val="13"/>
                <w:color w:val="auto"/>
              </w:rPr>
              <w:t>Gain on sale of loans held for sale, net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3"/>
                <w:szCs w:val="13"/>
                <w:color w:val="auto"/>
              </w:rPr>
              <w:t>Loan settlement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3"/>
                <w:szCs w:val="13"/>
                <w:color w:val="auto"/>
              </w:rPr>
              <w:t>Other non-interest income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100" w:type="dxa"/>
            <w:vAlign w:val="bottom"/>
          </w:tcPr>
          <w:p>
            <w:pPr>
              <w:ind w:left="100"/>
              <w:spacing w:after="0"/>
              <w:rPr>
                <w:sz w:val="20"/>
                <w:szCs w:val="20"/>
                <w:color w:val="auto"/>
              </w:rPr>
            </w:pPr>
            <w:r>
              <w:rPr>
                <w:rFonts w:ascii="Arial" w:cs="Arial" w:eastAsia="Arial" w:hAnsi="Arial"/>
                <w:sz w:val="13"/>
                <w:szCs w:val="13"/>
                <w:color w:val="auto"/>
              </w:rPr>
              <w:t>Total non-interest income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
        </w:trPr>
        <w:tc>
          <w:tcPr>
            <w:tcW w:w="420" w:type="dxa"/>
            <w:vAlign w:val="bottom"/>
            <w:tcBorders>
              <w:right w:val="single" w:sz="8" w:color="CCEEFF"/>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Borders>
              <w:top w:val="single" w:sz="8" w:color="auto"/>
              <w:right w:val="single" w:sz="8" w:color="CCEEFF"/>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Borders>
              <w:top w:val="single" w:sz="8" w:color="auto"/>
              <w:right w:val="single" w:sz="8" w:color="CCEEFF"/>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21"/>
        </w:trPr>
        <w:tc>
          <w:tcPr>
            <w:tcW w:w="420" w:type="dxa"/>
            <w:vAlign w:val="bottom"/>
            <w:tcBorders>
              <w:right w:val="single" w:sz="8" w:color="CCEEFF"/>
            </w:tcBorders>
          </w:tcPr>
          <w:p>
            <w:pPr>
              <w:jc w:val="right"/>
              <w:ind w:right="36"/>
              <w:spacing w:after="0" w:line="121" w:lineRule="exact"/>
              <w:rPr>
                <w:sz w:val="20"/>
                <w:szCs w:val="20"/>
                <w:color w:val="auto"/>
              </w:rPr>
            </w:pPr>
            <w:r>
              <w:rPr>
                <w:rFonts w:ascii="Arial" w:cs="Arial" w:eastAsia="Arial" w:hAnsi="Arial"/>
                <w:sz w:val="13"/>
                <w:szCs w:val="13"/>
                <w:color w:val="auto"/>
                <w:w w:val="92"/>
              </w:rPr>
              <w:t>1,083</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903</w:t>
            </w:r>
          </w:p>
        </w:tc>
        <w:tc>
          <w:tcPr>
            <w:tcW w:w="100" w:type="dxa"/>
            <w:vAlign w:val="bottom"/>
            <w:tcBorders>
              <w:right w:val="single" w:sz="8" w:color="CCEEFF"/>
            </w:tcBorders>
          </w:tcPr>
          <w:p>
            <w:pPr>
              <w:spacing w:after="0"/>
              <w:rPr>
                <w:sz w:val="10"/>
                <w:szCs w:val="10"/>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1,983</w:t>
            </w:r>
          </w:p>
        </w:tc>
        <w:tc>
          <w:tcPr>
            <w:tcW w:w="120" w:type="dxa"/>
            <w:vAlign w:val="bottom"/>
            <w:tcBorders>
              <w:right w:val="single" w:sz="8" w:color="CCEEFF"/>
            </w:tcBorders>
          </w:tcPr>
          <w:p>
            <w:pPr>
              <w:spacing w:after="0"/>
              <w:rPr>
                <w:sz w:val="10"/>
                <w:szCs w:val="10"/>
                <w:color w:val="auto"/>
              </w:rPr>
            </w:pPr>
          </w:p>
        </w:tc>
        <w:tc>
          <w:tcPr>
            <w:tcW w:w="380" w:type="dxa"/>
            <w:vAlign w:val="bottom"/>
            <w:shd w:val="clear" w:color="auto" w:fill="CCEEFF"/>
          </w:tcPr>
          <w:p>
            <w:pPr>
              <w:jc w:val="right"/>
              <w:ind w:right="313"/>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1,792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7"/>
        </w:trPr>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42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rPr>
              <w:t>22</w:t>
            </w: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right w:val="single" w:sz="8" w:color="CCEEFF"/>
            </w:tcBorders>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120" w:type="dxa"/>
            <w:vAlign w:val="bottom"/>
            <w:tcBorders>
              <w:right w:val="single" w:sz="8" w:color="CCEEFF"/>
            </w:tcBorders>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4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4"/>
        </w:trPr>
        <w:tc>
          <w:tcPr>
            <w:tcW w:w="42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rPr>
              <w:t>515</w:t>
            </w:r>
          </w:p>
        </w:tc>
        <w:tc>
          <w:tcPr>
            <w:tcW w:w="4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Borders>
              <w:bottom w:val="single" w:sz="8" w:color="auto"/>
              <w:right w:val="single" w:sz="8" w:color="CCEEFF"/>
            </w:tcBorders>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120" w:type="dxa"/>
            <w:vAlign w:val="bottom"/>
            <w:tcBorders>
              <w:bottom w:val="single" w:sz="8" w:color="auto"/>
              <w:right w:val="single" w:sz="8" w:color="CCEEFF"/>
            </w:tcBorders>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20" w:type="dxa"/>
            <w:vAlign w:val="bottom"/>
          </w:tcPr>
          <w:p>
            <w:pPr>
              <w:jc w:val="right"/>
              <w:ind w:right="36"/>
              <w:spacing w:after="0"/>
              <w:rPr>
                <w:sz w:val="20"/>
                <w:szCs w:val="20"/>
                <w:color w:val="auto"/>
              </w:rPr>
            </w:pPr>
            <w:r>
              <w:rPr>
                <w:rFonts w:ascii="Arial" w:cs="Arial" w:eastAsia="Arial" w:hAnsi="Arial"/>
                <w:sz w:val="13"/>
                <w:szCs w:val="13"/>
                <w:color w:val="auto"/>
                <w:w w:val="92"/>
              </w:rPr>
              <w:t>1,617</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1,516</w:t>
            </w:r>
          </w:p>
        </w:tc>
        <w:tc>
          <w:tcPr>
            <w:tcW w:w="500" w:type="dxa"/>
            <w:vAlign w:val="bottom"/>
            <w:gridSpan w:val="2"/>
          </w:tcPr>
          <w:p>
            <w:pPr>
              <w:jc w:val="right"/>
              <w:ind w:right="292"/>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3,562</w:t>
            </w:r>
          </w:p>
        </w:tc>
        <w:tc>
          <w:tcPr>
            <w:tcW w:w="50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3,837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3900" w:space="660"/>
            <w:col w:w="4459"/>
          </w:cols>
          <w:pgMar w:left="1440" w:top="491" w:right="1440" w:bottom="1440" w:gutter="0" w:footer="0" w:header="0"/>
          <w:type w:val="continuous"/>
        </w:sectPr>
      </w:pPr>
    </w:p>
    <w:p>
      <w:pPr>
        <w:ind w:left="660"/>
        <w:spacing w:after="0"/>
        <w:rPr>
          <w:sz w:val="20"/>
          <w:szCs w:val="20"/>
          <w:color w:val="auto"/>
        </w:rPr>
      </w:pPr>
      <w:r>
        <w:rPr>
          <w:rFonts w:ascii="Arial" w:cs="Arial" w:eastAsia="Arial" w:hAnsi="Arial"/>
          <w:sz w:val="14"/>
          <w:szCs w:val="14"/>
          <w:i w:val="1"/>
          <w:iCs w:val="1"/>
          <w:color w:val="auto"/>
        </w:rPr>
        <w:t>Three months ended June 30, 2022 compared to the three months ended June 30, 2021</w:t>
      </w:r>
    </w:p>
    <w:p>
      <w:pPr>
        <w:spacing w:after="0" w:line="184"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Non-interest income for the three months ended June 30, 2022 increased $101 thousand or 6.7%, compared to the same period in 2021. This increase was primarily driven by higher services fees.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2022 compared to the six months ended June 30, 2021</w:t>
      </w:r>
    </w:p>
    <w:p>
      <w:pPr>
        <w:spacing w:after="0" w:line="184"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Non-interest income for the six months ended June 30, 2022 decreased $275 thousand or 7.2%, compared to the same period in 2021. This decrease was primarily driven by fewer loan sales resulting in reduced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type w:val="continuous"/>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4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14"/>
                <w:szCs w:val="14"/>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15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5,913</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10,491</w:t>
            </w:r>
          </w:p>
        </w:tc>
        <w:tc>
          <w:tcPr>
            <w:tcW w:w="20" w:type="dxa"/>
            <w:vAlign w:val="bottom"/>
            <w:shd w:val="clear" w:color="auto" w:fill="CCEEFF"/>
          </w:tcPr>
          <w:p>
            <w:pPr>
              <w:spacing w:after="0"/>
              <w:rPr>
                <w:sz w:val="13"/>
                <w:szCs w:val="13"/>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7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1,251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1,411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2,521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2,798</w:t>
            </w:r>
          </w:p>
        </w:tc>
        <w:tc>
          <w:tcPr>
            <w:tcW w:w="20" w:type="dxa"/>
            <w:vAlign w:val="bottom"/>
          </w:tcPr>
          <w:p>
            <w:pPr>
              <w:spacing w:after="0"/>
              <w:rPr>
                <w:sz w:val="14"/>
                <w:szCs w:val="14"/>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7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398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558</w:t>
            </w:r>
          </w:p>
        </w:tc>
        <w:tc>
          <w:tcPr>
            <w:tcW w:w="20" w:type="dxa"/>
            <w:vAlign w:val="bottom"/>
          </w:tcPr>
          <w:p>
            <w:pPr>
              <w:spacing w:after="0"/>
              <w:rPr>
                <w:sz w:val="14"/>
                <w:szCs w:val="14"/>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1,315</w:t>
            </w: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1,150</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2,665</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2,291</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72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9,551</w:t>
            </w: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8,674</w:t>
            </w: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19,163</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17,351</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2022 compared to the three months ended June 30, 2021</w:t>
      </w:r>
    </w:p>
    <w:p>
      <w:pPr>
        <w:spacing w:after="0" w:line="18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Non-interest expense for the three months ended June 30, 2022 increased $877 thousand or 10.1%, compared to the same period in 2021. The increase was primarily driven by higher salaries and employee benefits due to new hires, salary compensation, and seasonal payroll taxes.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2022 compared to the six months ended June 30, 2021</w:t>
      </w:r>
    </w:p>
    <w:p>
      <w:pPr>
        <w:spacing w:after="0" w:line="18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Non-interest expense for the six months ended June 30, 2022 increased $1.8 million or 10.4%, compared to the same period in 2021. The increase was primarily driven by higher salaries and employee benefits due to new hires, salary compensation, and seasonal payroll taxes.</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86"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Surrender value of bank-owned life insurance policies covering key employees, purchasing municipal bonds, and overall levels of taxable income will be important elements in determining our effective tax rate.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2022 compared to the three months ended June 30, 2021</w:t>
      </w:r>
    </w:p>
    <w:p>
      <w:pPr>
        <w:spacing w:after="0" w:line="184" w:lineRule="exact"/>
        <w:rPr>
          <w:sz w:val="20"/>
          <w:szCs w:val="20"/>
          <w:color w:val="auto"/>
        </w:rPr>
      </w:pPr>
    </w:p>
    <w:p>
      <w:pPr>
        <w:jc w:val="both"/>
        <w:ind w:left="660" w:right="679" w:firstLine="299"/>
        <w:spacing w:after="0" w:line="245" w:lineRule="auto"/>
        <w:rPr>
          <w:sz w:val="20"/>
          <w:szCs w:val="20"/>
          <w:color w:val="auto"/>
        </w:rPr>
      </w:pPr>
      <w:r>
        <w:rPr>
          <w:rFonts w:ascii="Arial" w:cs="Arial" w:eastAsia="Arial" w:hAnsi="Arial"/>
          <w:sz w:val="14"/>
          <w:szCs w:val="14"/>
          <w:color w:val="auto"/>
        </w:rPr>
        <w:t>Income tax expense for the three months ended June 30, 2022 increased to $1.7 million from $1.3 million for the same period in 2021. The effective tax rate for the three months ended June 30, 2022 was 24.4% and for the three months ended 2021 was 23.8%.</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2022 compared to the six months ended June 30, 2021</w:t>
      </w:r>
    </w:p>
    <w:p>
      <w:pPr>
        <w:spacing w:after="0" w:line="184"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Income tax expense for the six months ended June 30, 2022 increased to $3.6 million from $2.8 million for the same period in 2021. The Company’s effective tax rate was 26.0% compared to 23.8% for the same period in 2021.</w:t>
      </w:r>
    </w:p>
    <w:p>
      <w:pPr>
        <w:spacing w:after="0" w:line="153"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For a further discussion on income taxes, see Note 4 “Income Taxes” to the Consolidated Financial Statements in this Form 10-Q.</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8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Total assets at June 30, 2022 were $2.0 billion, an increase of $162.1 million, or 8.7%, over total assets of $1.9 billion at December 31, 2021. Total loans increased $182.7 million, or 15.3%, to $1.4 billion at June 30, 2022 compared to $1.2 billion at December 31, 2021. Total deposits increased by $148.3 million, or 9.3%, to $1.7 billion at June 30, 2022 compared to December 31, 2021.</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8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w:t>
      </w:r>
    </w:p>
    <w:p>
      <w:pPr>
        <w:spacing w:after="0" w:line="30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52" w:lineRule="auto"/>
        <w:rPr>
          <w:sz w:val="20"/>
          <w:szCs w:val="20"/>
          <w:color w:val="auto"/>
        </w:rPr>
      </w:pPr>
      <w:r>
        <w:rPr>
          <w:rFonts w:ascii="Arial" w:cs="Arial" w:eastAsia="Arial" w:hAnsi="Arial"/>
          <w:sz w:val="14"/>
          <w:szCs w:val="14"/>
          <w:color w:val="auto"/>
        </w:rPr>
        <w:t>consideration the Company’s risk appetite and tolerance, manage the asset composition and diversification, and maintain adequate risk-based capital ratios.</w:t>
      </w:r>
    </w:p>
    <w:p>
      <w:pPr>
        <w:spacing w:after="0" w:line="153"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an investment guideline,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ALCO. The portfolio of investments can be used to modify the duration of the balance sheet. The allocation of cash into securities takes into consideration anticipated future cash flows (uses and sources) and all available sources of credit.</w:t>
      </w:r>
    </w:p>
    <w:p>
      <w:pPr>
        <w:spacing w:after="0" w:line="147"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U.S.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or the ALCO of the Company to ensure an appropriate risk and return profile as well as for adherence to the investment policy.</w:t>
      </w:r>
    </w:p>
    <w:p>
      <w:pPr>
        <w:spacing w:after="0" w:line="15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As of June 30, 2022, the investment portfolio consisted of available-for-sale (“AFS”) and held-to-maturity (“HTM”) debt securities. During the year ended December 31, 2021, there were 28 investment securities that were transferred from AFS to HTM with an amortized cost basis and fair value amount of $67.6 million and $68.7 million, respectively. On the date of transfer, these securities had a total net unrealized gain of $1.1 million. The transfer of debt securities from the AFS to HTM category was made at fair value at the date of transfer. The unrealized gain or loss at the date of transfer is retained in accumulated other comprehensive income and in the carrying value of the HTM securities. Such amounts are amortized over the remaining life of the security. There was no immediate impact to net income on the date of transfer. Two of these transferred securities totaling $2.0 million matured during the second quarter of 2022.</w:t>
      </w:r>
    </w:p>
    <w:p>
      <w:pPr>
        <w:spacing w:after="0" w:line="147"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The book value of the AFS securities is adjusted monthly for unrealized gain or loss as a valuation allowance, and any gain or loss is reported on an after-tax basis as a component of other comprehensive income in stockholders’ equity. Periodically, we may need to assess whether there have been any events or unexpected economic circumstances to indicate that a security on which there is an unrealized loss is impaired on an other-than-temporary basis (“OTTI”). If the impairment is deemed to be permanent, an analysis is then made considering many factors, including the severity and duration of the impairment, the severity of the event, our intent and ability to hold the security for a period of time sufficient for a recovery in value, recent events specific to the issuer or industry, any related credit events, and for debt securities, external credit ratings and recent downgrades related to deterioration of credit quality. Securities on which there is an unrealized loss that is deemed to be OTTI are written down to fair value, with the write-down recorded as a realized loss under line item “Gain (loss) on sale of securities available-for-sale, net” of the Consolidated Statements of Operations. As of June 30, 2022, there are no securities which management has classified as OTTI . For further discussion of our analysis on impaired investment securities for OTTI, see Note 2 “Investment Securities” to the Consolidated Financial Statements in this Form 10-Q.</w:t>
      </w:r>
    </w:p>
    <w:p>
      <w:pPr>
        <w:spacing w:after="0" w:line="157"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AFS and HTM investment securities decreased $68.1 million or 13.0% to $456.1 million at June 30, 2022 from $524.2 million at December 31, 2021. Investment securities decreased due to payments received and higher unrealized losses. Management reinvested excess cash balances into high credit quality investments to increase the Company’s profitability and modify the Company’s balance sheet duration according to the ALM policy. As of June 30, 2022, corporate bond securities with a market value of $23.6 million were pledged to secure public deposits. The investment portfolio does not have any tax-exempt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jc w:val="right"/>
              <w:ind w:right="476"/>
              <w:spacing w:after="0"/>
              <w:rPr>
                <w:sz w:val="20"/>
                <w:szCs w:val="20"/>
                <w:color w:val="auto"/>
              </w:rPr>
            </w:pPr>
            <w:r>
              <w:rPr>
                <w:rFonts w:ascii="Arial" w:cs="Arial" w:eastAsia="Arial" w:hAnsi="Arial"/>
                <w:sz w:val="13"/>
                <w:szCs w:val="13"/>
                <w:b w:val="1"/>
                <w:bCs w:val="1"/>
                <w:color w:val="auto"/>
              </w:rPr>
              <w:t>June 30, 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31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25,850</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Treasury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2,437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133,820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160,506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111,708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95,982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120,643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118,842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44,670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25,124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19,602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25,164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24,276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28,408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6,062</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5,680</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12,068</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389,691</w:t>
            </w:r>
          </w:p>
        </w:tc>
        <w:tc>
          <w:tcPr>
            <w:tcW w:w="60" w:type="dxa"/>
            <w:vAlign w:val="bottom"/>
            <w:tcBorders>
              <w:bottom w:val="single" w:sz="8" w:color="auto"/>
            </w:tcBorders>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339,464</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405,853</w:t>
            </w:r>
          </w:p>
        </w:tc>
        <w:tc>
          <w:tcPr>
            <w:tcW w:w="60" w:type="dxa"/>
            <w:vAlign w:val="bottom"/>
            <w:tcBorders>
              <w:bottom w:val="single" w:sz="8" w:color="auto"/>
            </w:tcBorders>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401,542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34,100</w:t>
            </w:r>
          </w:p>
        </w:tc>
        <w:tc>
          <w:tcPr>
            <w:tcW w:w="60" w:type="dxa"/>
            <w:vAlign w:val="bottom"/>
            <w:gridSpan w:val="2"/>
            <w:shd w:val="clear" w:color="auto" w:fill="CCEEFF"/>
          </w:tcPr>
          <w:p>
            <w:pPr>
              <w:spacing w:after="0"/>
              <w:rPr>
                <w:sz w:val="15"/>
                <w:szCs w:val="15"/>
                <w:color w:val="auto"/>
              </w:rPr>
            </w:pPr>
          </w:p>
        </w:tc>
        <w:tc>
          <w:tcPr>
            <w:tcW w:w="16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29,408</w:t>
            </w:r>
          </w:p>
        </w:tc>
        <w:tc>
          <w:tcPr>
            <w:tcW w:w="20" w:type="dxa"/>
            <w:vAlign w:val="bottom"/>
            <w:shd w:val="clear" w:color="auto" w:fill="CCEEFF"/>
          </w:tcPr>
          <w:p>
            <w:pPr>
              <w:spacing w:after="0"/>
              <w:rPr>
                <w:sz w:val="15"/>
                <w:szCs w:val="15"/>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34,505</w:t>
            </w:r>
          </w:p>
        </w:tc>
        <w:tc>
          <w:tcPr>
            <w:tcW w:w="60" w:type="dxa"/>
            <w:vAlign w:val="bottom"/>
            <w:gridSpan w:val="2"/>
            <w:shd w:val="clear" w:color="auto" w:fill="CCEEFF"/>
          </w:tcPr>
          <w:p>
            <w:pPr>
              <w:spacing w:after="0"/>
              <w:rPr>
                <w:sz w:val="15"/>
                <w:szCs w:val="15"/>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33,904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40,806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35,293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44,820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43,799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27,478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26,920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3,095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11,192</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10,150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13,310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13,089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116,671</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101,067</w:t>
            </w: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122,658</w:t>
            </w:r>
          </w:p>
        </w:tc>
        <w:tc>
          <w:tcPr>
            <w:tcW w:w="22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120,157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June 30, 2022 (in thousands, except ratios):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gridSpan w:val="14"/>
          </w:tcPr>
          <w:p>
            <w:pPr>
              <w:jc w:val="right"/>
              <w:ind w:right="86"/>
              <w:spacing w:after="0"/>
              <w:rPr>
                <w:sz w:val="20"/>
                <w:szCs w:val="20"/>
                <w:color w:val="auto"/>
              </w:rPr>
            </w:pPr>
            <w:r>
              <w:rPr>
                <w:rFonts w:ascii="Arial" w:cs="Arial" w:eastAsia="Arial" w:hAnsi="Arial"/>
                <w:sz w:val="11"/>
                <w:szCs w:val="11"/>
                <w:b w:val="1"/>
                <w:bCs w:val="1"/>
                <w:color w:val="auto"/>
              </w:rPr>
              <w:t>After 1 year through 5 After 5 years through</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6"/>
          </w:tcPr>
          <w:p>
            <w:pPr>
              <w:jc w:val="right"/>
              <w:ind w:right="280"/>
              <w:spacing w:after="0"/>
              <w:rPr>
                <w:sz w:val="20"/>
                <w:szCs w:val="20"/>
                <w:color w:val="auto"/>
              </w:rPr>
            </w:pPr>
            <w:r>
              <w:rPr>
                <w:rFonts w:ascii="Arial" w:cs="Arial" w:eastAsia="Arial" w:hAnsi="Arial"/>
                <w:sz w:val="11"/>
                <w:szCs w:val="11"/>
                <w:b w:val="1"/>
                <w:bCs w:val="1"/>
                <w:color w:val="auto"/>
              </w:rPr>
              <w:t>Within 1 year</w:t>
            </w:r>
          </w:p>
        </w:tc>
        <w:tc>
          <w:tcPr>
            <w:tcW w:w="740" w:type="dxa"/>
            <w:vAlign w:val="bottom"/>
            <w:gridSpan w:val="3"/>
          </w:tcPr>
          <w:p>
            <w:pPr>
              <w:ind w:left="400"/>
              <w:spacing w:after="0"/>
              <w:rPr>
                <w:sz w:val="20"/>
                <w:szCs w:val="20"/>
                <w:color w:val="auto"/>
              </w:rPr>
            </w:pPr>
            <w:r>
              <w:rPr>
                <w:rFonts w:ascii="Arial" w:cs="Arial" w:eastAsia="Arial" w:hAnsi="Arial"/>
                <w:sz w:val="11"/>
                <w:szCs w:val="11"/>
                <w:b w:val="1"/>
                <w:bCs w:val="1"/>
                <w:color w:val="auto"/>
              </w:rPr>
              <w:t>years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6"/>
          </w:tcPr>
          <w:p>
            <w:pPr>
              <w:jc w:val="right"/>
              <w:ind w:right="426"/>
              <w:spacing w:after="0"/>
              <w:rPr>
                <w:sz w:val="20"/>
                <w:szCs w:val="20"/>
                <w:color w:val="auto"/>
              </w:rPr>
            </w:pPr>
            <w:r>
              <w:rPr>
                <w:rFonts w:ascii="Arial" w:cs="Arial" w:eastAsia="Arial" w:hAnsi="Arial"/>
                <w:sz w:val="11"/>
                <w:szCs w:val="11"/>
                <w:b w:val="1"/>
                <w:bCs w:val="1"/>
                <w:color w:val="auto"/>
              </w:rPr>
              <w:t>10 years</w:t>
            </w:r>
          </w:p>
        </w:tc>
        <w:tc>
          <w:tcPr>
            <w:tcW w:w="1160" w:type="dxa"/>
            <w:vAlign w:val="bottom"/>
            <w:gridSpan w:val="6"/>
          </w:tcPr>
          <w:p>
            <w:pPr>
              <w:ind w:left="80"/>
              <w:spacing w:after="0"/>
              <w:rPr>
                <w:sz w:val="20"/>
                <w:szCs w:val="20"/>
                <w:color w:val="auto"/>
              </w:rPr>
            </w:pPr>
            <w:r>
              <w:rPr>
                <w:rFonts w:ascii="Arial" w:cs="Arial" w:eastAsia="Arial" w:hAnsi="Arial"/>
                <w:sz w:val="11"/>
                <w:szCs w:val="11"/>
                <w:b w:val="1"/>
                <w:bCs w:val="1"/>
                <w:color w:val="auto"/>
              </w:rPr>
              <w:t>After 10 years</w:t>
            </w:r>
          </w:p>
        </w:tc>
        <w:tc>
          <w:tcPr>
            <w:tcW w:w="620" w:type="dxa"/>
            <w:vAlign w:val="bottom"/>
            <w:gridSpan w:val="3"/>
          </w:tcPr>
          <w:p>
            <w:pPr>
              <w:ind w:left="320"/>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18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rPr>
              <w:t>Amortized</w:t>
            </w: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9"/>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rPr>
              <w:t>Yield</w:t>
            </w:r>
          </w:p>
        </w:tc>
        <w:tc>
          <w:tcPr>
            <w:tcW w:w="7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Cost</w:t>
            </w:r>
          </w:p>
        </w:tc>
        <w:tc>
          <w:tcPr>
            <w:tcW w:w="520" w:type="dxa"/>
            <w:vAlign w:val="bottom"/>
            <w:gridSpan w:val="4"/>
          </w:tcPr>
          <w:p>
            <w:pPr>
              <w:jc w:val="right"/>
              <w:ind w:right="149"/>
              <w:spacing w:after="0"/>
              <w:rPr>
                <w:sz w:val="20"/>
                <w:szCs w:val="20"/>
                <w:color w:val="auto"/>
              </w:rPr>
            </w:pPr>
            <w:r>
              <w:rPr>
                <w:rFonts w:ascii="Arial" w:cs="Arial" w:eastAsia="Arial" w:hAnsi="Arial"/>
                <w:sz w:val="11"/>
                <w:szCs w:val="11"/>
                <w:b w:val="1"/>
                <w:bCs w:val="1"/>
                <w:color w:val="auto"/>
              </w:rPr>
              <w:t>Yield</w:t>
            </w:r>
          </w:p>
        </w:tc>
        <w:tc>
          <w:tcPr>
            <w:tcW w:w="60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4"/>
          </w:tcPr>
          <w:p>
            <w:pPr>
              <w:jc w:val="right"/>
              <w:ind w:right="186"/>
              <w:spacing w:after="0"/>
              <w:rPr>
                <w:sz w:val="20"/>
                <w:szCs w:val="20"/>
                <w:color w:val="auto"/>
              </w:rPr>
            </w:pPr>
            <w:r>
              <w:rPr>
                <w:rFonts w:ascii="Arial" w:cs="Arial" w:eastAsia="Arial" w:hAnsi="Arial"/>
                <w:sz w:val="11"/>
                <w:szCs w:val="11"/>
                <w:b w:val="1"/>
                <w:bCs w:val="1"/>
                <w:color w:val="auto"/>
              </w:rPr>
              <w:t>Yield</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4"/>
          </w:tcPr>
          <w:p>
            <w:pPr>
              <w:jc w:val="right"/>
              <w:ind w:right="186"/>
              <w:spacing w:after="0"/>
              <w:rPr>
                <w:sz w:val="20"/>
                <w:szCs w:val="20"/>
                <w:color w:val="auto"/>
              </w:rPr>
            </w:pPr>
            <w:r>
              <w:rPr>
                <w:rFonts w:ascii="Arial" w:cs="Arial" w:eastAsia="Arial" w:hAnsi="Arial"/>
                <w:sz w:val="11"/>
                <w:szCs w:val="11"/>
                <w:b w:val="1"/>
                <w:bCs w:val="1"/>
                <w:color w:val="auto"/>
              </w:rPr>
              <w:t>Yield</w:t>
            </w:r>
          </w:p>
        </w:tc>
        <w:tc>
          <w:tcPr>
            <w:tcW w:w="620" w:type="dxa"/>
            <w:vAlign w:val="bottom"/>
            <w:gridSpan w:val="3"/>
          </w:tcPr>
          <w:p>
            <w:pPr>
              <w:ind w:left="80"/>
              <w:spacing w:after="0"/>
              <w:rPr>
                <w:sz w:val="20"/>
                <w:szCs w:val="20"/>
                <w:color w:val="auto"/>
              </w:rPr>
            </w:pPr>
            <w:r>
              <w:rPr>
                <w:rFonts w:ascii="Arial" w:cs="Arial" w:eastAsia="Arial" w:hAnsi="Arial"/>
                <w:sz w:val="11"/>
                <w:szCs w:val="11"/>
                <w:b w:val="1"/>
                <w:bCs w:val="1"/>
                <w:color w:val="auto"/>
              </w:rPr>
              <w:t>Cost</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Yield</w:t>
            </w:r>
          </w:p>
        </w:tc>
      </w:tr>
      <w:tr>
        <w:trPr>
          <w:trHeight w:val="14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5"/>
          </w:tcPr>
          <w:p>
            <w:pPr>
              <w:jc w:val="right"/>
              <w:spacing w:after="0"/>
              <w:rPr>
                <w:sz w:val="20"/>
                <w:szCs w:val="20"/>
                <w:color w:val="auto"/>
              </w:rPr>
            </w:pPr>
            <w:r>
              <w:rPr>
                <w:rFonts w:ascii="Arial" w:cs="Arial" w:eastAsia="Arial" w:hAnsi="Arial"/>
                <w:sz w:val="11"/>
                <w:szCs w:val="11"/>
                <w:color w:val="auto"/>
              </w:rPr>
              <w:t>0.00% $</w:t>
            </w:r>
          </w:p>
        </w:tc>
        <w:tc>
          <w:tcPr>
            <w:tcW w:w="660" w:type="dxa"/>
            <w:vAlign w:val="bottom"/>
          </w:tcPr>
          <w:p>
            <w:pPr>
              <w:jc w:val="right"/>
              <w:spacing w:after="0"/>
              <w:rPr>
                <w:sz w:val="20"/>
                <w:szCs w:val="20"/>
                <w:color w:val="auto"/>
              </w:rPr>
            </w:pPr>
            <w:r>
              <w:rPr>
                <w:rFonts w:ascii="Arial" w:cs="Arial" w:eastAsia="Arial" w:hAnsi="Arial"/>
                <w:sz w:val="11"/>
                <w:szCs w:val="11"/>
                <w:color w:val="auto"/>
              </w:rPr>
              <w:t>4,810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1"/>
                <w:szCs w:val="11"/>
                <w:color w:val="auto"/>
              </w:rPr>
              <w:t>2.76% $</w:t>
            </w:r>
          </w:p>
        </w:tc>
        <w:tc>
          <w:tcPr>
            <w:tcW w:w="600" w:type="dxa"/>
            <w:vAlign w:val="bottom"/>
          </w:tcPr>
          <w:p>
            <w:pPr>
              <w:jc w:val="right"/>
              <w:spacing w:after="0"/>
              <w:rPr>
                <w:sz w:val="20"/>
                <w:szCs w:val="20"/>
                <w:color w:val="auto"/>
              </w:rPr>
            </w:pPr>
            <w:r>
              <w:rPr>
                <w:rFonts w:ascii="Arial" w:cs="Arial" w:eastAsia="Arial" w:hAnsi="Arial"/>
                <w:sz w:val="11"/>
                <w:szCs w:val="11"/>
                <w:color w:val="auto"/>
              </w:rPr>
              <w:t>2,015</w:t>
            </w:r>
          </w:p>
        </w:tc>
        <w:tc>
          <w:tcPr>
            <w:tcW w:w="640" w:type="dxa"/>
            <w:vAlign w:val="bottom"/>
            <w:gridSpan w:val="5"/>
          </w:tcPr>
          <w:p>
            <w:pPr>
              <w:jc w:val="right"/>
              <w:spacing w:after="0"/>
              <w:rPr>
                <w:sz w:val="20"/>
                <w:szCs w:val="20"/>
                <w:color w:val="auto"/>
              </w:rPr>
            </w:pPr>
            <w:r>
              <w:rPr>
                <w:rFonts w:ascii="Arial" w:cs="Arial" w:eastAsia="Arial" w:hAnsi="Arial"/>
                <w:sz w:val="11"/>
                <w:szCs w:val="11"/>
                <w:color w:val="auto"/>
              </w:rPr>
              <w:t>2.84% $</w:t>
            </w:r>
          </w:p>
        </w:tc>
        <w:tc>
          <w:tcPr>
            <w:tcW w:w="520" w:type="dxa"/>
            <w:vAlign w:val="bottom"/>
          </w:tcPr>
          <w:p>
            <w:pPr>
              <w:jc w:val="right"/>
              <w:spacing w:after="0"/>
              <w:rPr>
                <w:sz w:val="20"/>
                <w:szCs w:val="20"/>
                <w:color w:val="auto"/>
              </w:rPr>
            </w:pPr>
            <w:r>
              <w:rPr>
                <w:rFonts w:ascii="Arial" w:cs="Arial" w:eastAsia="Arial" w:hAnsi="Arial"/>
                <w:sz w:val="11"/>
                <w:szCs w:val="11"/>
                <w:color w:val="auto"/>
              </w:rPr>
              <w:t>20,991</w:t>
            </w:r>
          </w:p>
        </w:tc>
        <w:tc>
          <w:tcPr>
            <w:tcW w:w="640" w:type="dxa"/>
            <w:vAlign w:val="bottom"/>
            <w:gridSpan w:val="5"/>
          </w:tcPr>
          <w:p>
            <w:pPr>
              <w:jc w:val="right"/>
              <w:spacing w:after="0"/>
              <w:rPr>
                <w:sz w:val="20"/>
                <w:szCs w:val="20"/>
                <w:color w:val="auto"/>
              </w:rPr>
            </w:pPr>
            <w:r>
              <w:rPr>
                <w:rFonts w:ascii="Arial" w:cs="Arial" w:eastAsia="Arial" w:hAnsi="Arial"/>
                <w:sz w:val="11"/>
                <w:szCs w:val="11"/>
                <w:color w:val="auto"/>
              </w:rPr>
              <w:t>2.82% $</w:t>
            </w:r>
          </w:p>
        </w:tc>
        <w:tc>
          <w:tcPr>
            <w:tcW w:w="520" w:type="dxa"/>
            <w:vAlign w:val="bottom"/>
          </w:tcPr>
          <w:p>
            <w:pPr>
              <w:jc w:val="right"/>
              <w:spacing w:after="0"/>
              <w:rPr>
                <w:sz w:val="20"/>
                <w:szCs w:val="20"/>
                <w:color w:val="auto"/>
              </w:rPr>
            </w:pPr>
            <w:r>
              <w:rPr>
                <w:rFonts w:ascii="Arial" w:cs="Arial" w:eastAsia="Arial" w:hAnsi="Arial"/>
                <w:sz w:val="11"/>
                <w:szCs w:val="11"/>
                <w:color w:val="auto"/>
              </w:rPr>
              <w:t>27,816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2.81%</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Treasury</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2.32%</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155,340</w:t>
            </w: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1.49%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155,340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1.49%</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residential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111,708</w:t>
            </w:r>
          </w:p>
        </w:tc>
        <w:tc>
          <w:tcPr>
            <w:tcW w:w="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111,708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1.61%</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commercial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44,670</w:t>
            </w: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1.99%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44,670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1.99%</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Municipal securities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2.05%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24,124</w:t>
            </w:r>
          </w:p>
        </w:tc>
        <w:tc>
          <w:tcPr>
            <w:tcW w:w="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1.73%</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Bank subordinated debt securities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16,503</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4.71%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16,503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4.71%</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6,062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6,062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2.59%</w:t>
            </w:r>
          </w:p>
        </w:tc>
      </w:tr>
      <w:tr>
        <w:trPr>
          <w:trHeight w:val="191"/>
        </w:trPr>
        <w:tc>
          <w:tcPr>
            <w:tcW w:w="186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5"/>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19,518</w:t>
            </w:r>
          </w:p>
        </w:tc>
        <w:tc>
          <w:tcPr>
            <w:tcW w:w="640" w:type="dxa"/>
            <w:vAlign w:val="bottom"/>
            <w:gridSpan w:val="5"/>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356,833</w:t>
            </w:r>
          </w:p>
        </w:tc>
        <w:tc>
          <w:tcPr>
            <w:tcW w:w="640" w:type="dxa"/>
            <w:vAlign w:val="bottom"/>
            <w:gridSpan w:val="5"/>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389,691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1.85%</w:t>
            </w:r>
          </w:p>
        </w:tc>
      </w:tr>
      <w:tr>
        <w:trPr>
          <w:trHeight w:val="111"/>
        </w:trPr>
        <w:tc>
          <w:tcPr>
            <w:tcW w:w="186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Held-to-maturity:</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5"/>
          </w:tcPr>
          <w:p>
            <w:pPr>
              <w:jc w:val="right"/>
              <w:spacing w:after="0"/>
              <w:rPr>
                <w:sz w:val="20"/>
                <w:szCs w:val="20"/>
                <w:color w:val="auto"/>
              </w:rPr>
            </w:pPr>
            <w:r>
              <w:rPr>
                <w:rFonts w:ascii="Arial" w:cs="Arial" w:eastAsia="Arial" w:hAnsi="Arial"/>
                <w:sz w:val="11"/>
                <w:szCs w:val="11"/>
                <w:color w:val="auto"/>
              </w:rPr>
              <w:t>0.00% $</w:t>
            </w:r>
          </w:p>
        </w:tc>
        <w:tc>
          <w:tcPr>
            <w:tcW w:w="660" w:type="dxa"/>
            <w:vAlign w:val="bottom"/>
          </w:tcPr>
          <w:p>
            <w:pPr>
              <w:jc w:val="right"/>
              <w:spacing w:after="0"/>
              <w:rPr>
                <w:sz w:val="20"/>
                <w:szCs w:val="20"/>
                <w:color w:val="auto"/>
              </w:rPr>
            </w:pPr>
            <w:r>
              <w:rPr>
                <w:rFonts w:ascii="Arial" w:cs="Arial" w:eastAsia="Arial" w:hAnsi="Arial"/>
                <w:sz w:val="11"/>
                <w:szCs w:val="11"/>
                <w:color w:val="auto"/>
              </w:rPr>
              <w:t>7,890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1"/>
                <w:szCs w:val="11"/>
                <w:color w:val="auto"/>
              </w:rPr>
              <w:t>1.03% $</w:t>
            </w:r>
          </w:p>
        </w:tc>
        <w:tc>
          <w:tcPr>
            <w:tcW w:w="600" w:type="dxa"/>
            <w:vAlign w:val="bottom"/>
          </w:tcPr>
          <w:p>
            <w:pPr>
              <w:jc w:val="right"/>
              <w:spacing w:after="0"/>
              <w:rPr>
                <w:sz w:val="20"/>
                <w:szCs w:val="20"/>
                <w:color w:val="auto"/>
              </w:rPr>
            </w:pPr>
            <w:r>
              <w:rPr>
                <w:rFonts w:ascii="Arial" w:cs="Arial" w:eastAsia="Arial" w:hAnsi="Arial"/>
                <w:sz w:val="11"/>
                <w:szCs w:val="11"/>
                <w:color w:val="auto"/>
              </w:rPr>
              <w:t>18,540</w:t>
            </w:r>
          </w:p>
        </w:tc>
        <w:tc>
          <w:tcPr>
            <w:tcW w:w="640" w:type="dxa"/>
            <w:vAlign w:val="bottom"/>
            <w:gridSpan w:val="5"/>
          </w:tcPr>
          <w:p>
            <w:pPr>
              <w:jc w:val="right"/>
              <w:spacing w:after="0"/>
              <w:rPr>
                <w:sz w:val="20"/>
                <w:szCs w:val="20"/>
                <w:color w:val="auto"/>
              </w:rPr>
            </w:pPr>
            <w:r>
              <w:rPr>
                <w:rFonts w:ascii="Arial" w:cs="Arial" w:eastAsia="Arial" w:hAnsi="Arial"/>
                <w:sz w:val="11"/>
                <w:szCs w:val="11"/>
                <w:color w:val="auto"/>
              </w:rPr>
              <w:t>1.32% $</w:t>
            </w:r>
          </w:p>
        </w:tc>
        <w:tc>
          <w:tcPr>
            <w:tcW w:w="520" w:type="dxa"/>
            <w:vAlign w:val="bottom"/>
          </w:tcPr>
          <w:p>
            <w:pPr>
              <w:jc w:val="right"/>
              <w:spacing w:after="0"/>
              <w:rPr>
                <w:sz w:val="20"/>
                <w:szCs w:val="20"/>
                <w:color w:val="auto"/>
              </w:rPr>
            </w:pPr>
            <w:r>
              <w:rPr>
                <w:rFonts w:ascii="Arial" w:cs="Arial" w:eastAsia="Arial" w:hAnsi="Arial"/>
                <w:sz w:val="11"/>
                <w:szCs w:val="11"/>
                <w:color w:val="auto"/>
              </w:rPr>
              <w:t>7,670</w:t>
            </w:r>
          </w:p>
        </w:tc>
        <w:tc>
          <w:tcPr>
            <w:tcW w:w="640" w:type="dxa"/>
            <w:vAlign w:val="bottom"/>
            <w:gridSpan w:val="5"/>
          </w:tcPr>
          <w:p>
            <w:pPr>
              <w:jc w:val="right"/>
              <w:spacing w:after="0"/>
              <w:rPr>
                <w:sz w:val="20"/>
                <w:szCs w:val="20"/>
                <w:color w:val="auto"/>
              </w:rPr>
            </w:pPr>
            <w:r>
              <w:rPr>
                <w:rFonts w:ascii="Arial" w:cs="Arial" w:eastAsia="Arial" w:hAnsi="Arial"/>
                <w:sz w:val="11"/>
                <w:szCs w:val="11"/>
                <w:color w:val="auto"/>
              </w:rPr>
              <w:t>1.58% $</w:t>
            </w:r>
          </w:p>
        </w:tc>
        <w:tc>
          <w:tcPr>
            <w:tcW w:w="520" w:type="dxa"/>
            <w:vAlign w:val="bottom"/>
          </w:tcPr>
          <w:p>
            <w:pPr>
              <w:jc w:val="right"/>
              <w:spacing w:after="0"/>
              <w:rPr>
                <w:sz w:val="20"/>
                <w:szCs w:val="20"/>
                <w:color w:val="auto"/>
              </w:rPr>
            </w:pPr>
            <w:r>
              <w:rPr>
                <w:rFonts w:ascii="Arial" w:cs="Arial" w:eastAsia="Arial" w:hAnsi="Arial"/>
                <w:sz w:val="11"/>
                <w:szCs w:val="11"/>
                <w:color w:val="auto"/>
              </w:rPr>
              <w:t>34,100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1.31%</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40,806</w:t>
            </w:r>
          </w:p>
        </w:tc>
        <w:tc>
          <w:tcPr>
            <w:tcW w:w="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1.42%</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1,354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2.63%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9,224</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16,900</w:t>
            </w: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2.05%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27,478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1.93%</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3,095</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1.62%</w:t>
            </w: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11,192</w:t>
            </w:r>
          </w:p>
        </w:tc>
        <w:tc>
          <w:tcPr>
            <w:tcW w:w="20" w:type="dxa"/>
            <w:vAlign w:val="bottom"/>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2.71%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11,192</w:t>
            </w:r>
          </w:p>
        </w:tc>
        <w:tc>
          <w:tcPr>
            <w:tcW w:w="20" w:type="dxa"/>
            <w:vAlign w:val="bottom"/>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2.71%</w:t>
            </w:r>
          </w:p>
        </w:tc>
      </w:tr>
      <w:tr>
        <w:trPr>
          <w:trHeight w:val="151"/>
        </w:trPr>
        <w:tc>
          <w:tcPr>
            <w:tcW w:w="1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4"/>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20,436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30,859</w:t>
            </w:r>
          </w:p>
        </w:tc>
        <w:tc>
          <w:tcPr>
            <w:tcW w:w="540" w:type="dxa"/>
            <w:vAlign w:val="bottom"/>
            <w:gridSpan w:val="4"/>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65,376</w:t>
            </w:r>
          </w:p>
        </w:tc>
        <w:tc>
          <w:tcPr>
            <w:tcW w:w="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116,671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1.64%</w:t>
            </w:r>
          </w:p>
        </w:tc>
      </w:tr>
      <w:tr>
        <w:trPr>
          <w:trHeight w:val="20"/>
        </w:trPr>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86"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Loans are the largest category of interest-earning assets on the Consolidated Balance Sheets, and usually provide higher yields than the rest of the interest-earning assets. Higher yields typically carry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June 30, 2022</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1870" w:type="dxa"/>
            <w:vAlign w:val="bottom"/>
            <w:tcBorders>
              <w:bottom w:val="single" w:sz="8" w:color="auto"/>
            </w:tcBorders>
            <w:gridSpan w:val="7"/>
          </w:tcPr>
          <w:p>
            <w:pPr>
              <w:jc w:val="right"/>
              <w:ind w:right="396"/>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ind w:left="20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970" w:type="dxa"/>
            <w:vAlign w:val="bottom"/>
            <w:gridSpan w:val="6"/>
          </w:tcPr>
          <w:p>
            <w:pPr>
              <w:ind w:left="21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203,662</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14.8</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5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843,445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61.5</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704,988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59.2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131,271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880" w:type="dxa"/>
            <w:vAlign w:val="bottom"/>
          </w:tcPr>
          <w:p>
            <w:pPr>
              <w:ind w:left="420"/>
              <w:spacing w:after="0"/>
              <w:rPr>
                <w:sz w:val="20"/>
                <w:szCs w:val="20"/>
                <w:color w:val="auto"/>
              </w:rPr>
            </w:pPr>
            <w:r>
              <w:rPr>
                <w:rFonts w:ascii="Arial" w:cs="Arial" w:eastAsia="Arial" w:hAnsi="Arial"/>
                <w:sz w:val="13"/>
                <w:szCs w:val="13"/>
                <w:color w:val="auto"/>
              </w:rPr>
              <w:t>84,770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6.2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70" w:type="dxa"/>
            <w:vAlign w:val="bottom"/>
            <w:gridSpan w:val="2"/>
          </w:tcPr>
          <w:p>
            <w:pPr>
              <w:jc w:val="right"/>
              <w:ind w:right="60"/>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6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109,250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8.0</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auto"/>
            </w:tcBorders>
            <w:shd w:val="clear" w:color="auto" w:fill="CCEEFF"/>
          </w:tcPr>
          <w:p>
            <w:pPr>
              <w:spacing w:after="0"/>
              <w:rPr>
                <w:sz w:val="13"/>
                <w:szCs w:val="13"/>
                <w:color w:val="auto"/>
              </w:rPr>
            </w:pP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7"/>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gross loans</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16"/>
              <w:spacing w:after="0"/>
              <w:rPr>
                <w:sz w:val="20"/>
                <w:szCs w:val="20"/>
                <w:color w:val="auto"/>
              </w:rPr>
            </w:pPr>
            <w:r>
              <w:rPr>
                <w:rFonts w:ascii="Arial" w:cs="Arial" w:eastAsia="Arial" w:hAnsi="Arial"/>
                <w:sz w:val="13"/>
                <w:szCs w:val="13"/>
                <w:color w:val="auto"/>
              </w:rPr>
              <w:t>1,372,398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8"/>
                <w:szCs w:val="18"/>
                <w:color w:val="auto"/>
              </w:rPr>
            </w:pPr>
          </w:p>
        </w:tc>
        <w:tc>
          <w:tcPr>
            <w:tcW w:w="150" w:type="dxa"/>
            <w:vAlign w:val="bottom"/>
            <w:tcBorders>
              <w:bottom w:val="single" w:sz="8" w:color="CCEEFF"/>
            </w:tcBorders>
          </w:tcPr>
          <w:p>
            <w:pPr>
              <w:spacing w:after="0"/>
              <w:rPr>
                <w:sz w:val="18"/>
                <w:szCs w:val="18"/>
                <w:color w:val="auto"/>
              </w:rPr>
            </w:pPr>
          </w:p>
        </w:tc>
        <w:tc>
          <w:tcPr>
            <w:tcW w:w="81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1,191,659</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r>
      <w:tr>
        <w:trPr>
          <w:trHeight w:val="111"/>
        </w:trPr>
        <w:tc>
          <w:tcPr>
            <w:tcW w:w="3340" w:type="dxa"/>
            <w:vAlign w:val="bottom"/>
            <w:tcBorders>
              <w:top w:val="single" w:sz="8" w:color="CCEEFF"/>
              <w:bottom w:val="single" w:sz="8" w:color="CCEEFF"/>
            </w:tcBorders>
            <w:shd w:val="clear" w:color="auto" w:fill="CCEEFF"/>
          </w:tcPr>
          <w:p>
            <w:pPr>
              <w:ind w:left="40"/>
              <w:spacing w:after="0" w:line="111" w:lineRule="exact"/>
              <w:rPr>
                <w:sz w:val="20"/>
                <w:szCs w:val="20"/>
                <w:color w:val="auto"/>
              </w:rPr>
            </w:pPr>
            <w:r>
              <w:rPr>
                <w:rFonts w:ascii="Arial" w:cs="Arial" w:eastAsia="Arial" w:hAnsi="Arial"/>
                <w:sz w:val="12"/>
                <w:szCs w:val="12"/>
                <w:color w:val="auto"/>
              </w:rPr>
              <w:t>Less: Deferred fees (cost)</w:t>
            </w:r>
          </w:p>
        </w:tc>
        <w:tc>
          <w:tcPr>
            <w:tcW w:w="160" w:type="dxa"/>
            <w:vAlign w:val="bottom"/>
            <w:tcBorders>
              <w:top w:val="single" w:sz="8" w:color="CCEEFF"/>
              <w:bottom w:val="single" w:sz="8" w:color="auto"/>
            </w:tcBorders>
            <w:shd w:val="clear" w:color="auto" w:fill="CCEEFF"/>
          </w:tcPr>
          <w:p>
            <w:pPr>
              <w:spacing w:after="0"/>
              <w:rPr>
                <w:sz w:val="9"/>
                <w:szCs w:val="9"/>
                <w:color w:val="auto"/>
              </w:rPr>
            </w:pPr>
          </w:p>
        </w:tc>
        <w:tc>
          <w:tcPr>
            <w:tcW w:w="88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(335)</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50" w:type="dxa"/>
            <w:vAlign w:val="bottom"/>
            <w:tcBorders>
              <w:top w:val="single" w:sz="8" w:color="CCEEFF"/>
              <w:bottom w:val="single" w:sz="8" w:color="auto"/>
            </w:tcBorders>
            <w:shd w:val="clear" w:color="auto" w:fill="CCEEFF"/>
          </w:tcPr>
          <w:p>
            <w:pPr>
              <w:spacing w:after="0"/>
              <w:rPr>
                <w:sz w:val="9"/>
                <w:szCs w:val="9"/>
                <w:color w:val="auto"/>
              </w:rPr>
            </w:pPr>
          </w:p>
        </w:tc>
        <w:tc>
          <w:tcPr>
            <w:tcW w:w="81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1,578</w:t>
            </w:r>
          </w:p>
        </w:tc>
        <w:tc>
          <w:tcPr>
            <w:tcW w:w="60" w:type="dxa"/>
            <w:vAlign w:val="bottom"/>
            <w:tcBorders>
              <w:top w:val="single" w:sz="8" w:color="CCEEFF"/>
              <w:bottom w:val="single" w:sz="8" w:color="auto"/>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3"/>
                <w:szCs w:val="13"/>
                <w:color w:val="auto"/>
              </w:rPr>
              <w:t>Total loans net of deferred fees (cost)</w:t>
            </w:r>
          </w:p>
        </w:tc>
        <w:tc>
          <w:tcPr>
            <w:tcW w:w="1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1,372,733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1,190,081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15,786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auto"/>
            </w:tcBorders>
            <w:shd w:val="clear" w:color="auto" w:fill="CCEEFF"/>
          </w:tcPr>
          <w:p>
            <w:pPr>
              <w:spacing w:after="0"/>
              <w:rPr>
                <w:sz w:val="13"/>
                <w:szCs w:val="13"/>
                <w:color w:val="auto"/>
              </w:rPr>
            </w:pP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7"/>
        </w:trPr>
        <w:tc>
          <w:tcPr>
            <w:tcW w:w="3340" w:type="dxa"/>
            <w:vAlign w:val="bottom"/>
          </w:tcPr>
          <w:p>
            <w:pPr>
              <w:ind w:left="140"/>
              <w:spacing w:after="0"/>
              <w:rPr>
                <w:sz w:val="20"/>
                <w:szCs w:val="20"/>
                <w:color w:val="auto"/>
              </w:rPr>
            </w:pPr>
            <w:r>
              <w:rPr>
                <w:rFonts w:ascii="Arial" w:cs="Arial" w:eastAsia="Arial" w:hAnsi="Arial"/>
                <w:sz w:val="13"/>
                <w:szCs w:val="13"/>
                <w:color w:val="auto"/>
              </w:rPr>
              <w:t>Total net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1,356,947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1,175,024</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Total gross loans increased by $180.7 million or 15.2% at June 30, 2022 compared to December 31, 2021. The commercial real estate and to a lesser extent, foreign banks and consumer and other loan segments had the most significant growth partially offset by declines in the commercial and industrial loan segment. Commercial and industrial loans declined primarily because of continuing PPP loan forgiveness.</w:t>
      </w:r>
    </w:p>
    <w:p>
      <w:pPr>
        <w:spacing w:after="0" w:line="15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loan portfolio continues to grow, with commercial real estate lending as the primary focus which represented approximately 61.5% of the total gross loan portfolio as of June 30, 2022. We do not expect any significant changes over the foreseeable future in the composition of our loan portfolio or in our emphasis on commercial real estate lending. Our loan growth strategy since inception has been reflective of the market in which we operate and of our strategic plan as approved by the Board.</w:t>
      </w:r>
    </w:p>
    <w:p>
      <w:pPr>
        <w:spacing w:after="0" w:line="16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Most of the commercial real estate exposure represents loans to commercial businesses secured by owner-occupied real estate. The growth experienced in recent years is primarily due to implementation of our relationship-based banking model and the success of our relationship managers in competing for new business in a highly competitive metropolitan area. Many of our larger loan clients have leng-term relationships with members of our senior management team or our relationship managers that date back to former institutions.</w:t>
      </w:r>
    </w:p>
    <w:p>
      <w:pPr>
        <w:spacing w:after="0" w:line="160" w:lineRule="exact"/>
        <w:rPr>
          <w:sz w:val="20"/>
          <w:szCs w:val="20"/>
          <w:color w:val="auto"/>
        </w:rPr>
      </w:pPr>
    </w:p>
    <w:p>
      <w:pPr>
        <w:jc w:val="both"/>
        <w:ind w:left="660" w:right="699" w:firstLine="256"/>
        <w:spacing w:after="0" w:line="246"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June 30,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2022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years</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10,471</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26,776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79,213</w:t>
            </w: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87,202</w:t>
            </w:r>
          </w:p>
        </w:tc>
        <w:tc>
          <w:tcPr>
            <w:tcW w:w="280" w:type="dxa"/>
            <w:vAlign w:val="bottom"/>
            <w:gridSpan w:val="3"/>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203,662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41,993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186,681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610,145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843,445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20,660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37,175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44,203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131,271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84,770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84,770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1,338</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3,732</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11,856</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92,324</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109,250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Total gross loans</w:t>
            </w:r>
          </w:p>
        </w:tc>
        <w:tc>
          <w:tcPr>
            <w:tcW w:w="260" w:type="dxa"/>
            <w:vAlign w:val="bottom"/>
            <w:gridSpan w:val="2"/>
          </w:tcPr>
          <w:p>
            <w:pPr>
              <w:jc w:val="right"/>
              <w:ind w:right="128"/>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159,232</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254,364</w:t>
            </w:r>
          </w:p>
        </w:tc>
        <w:tc>
          <w:tcPr>
            <w:tcW w:w="320" w:type="dxa"/>
            <w:vAlign w:val="bottom"/>
            <w:gridSpan w:val="5"/>
          </w:tcPr>
          <w:p>
            <w:pPr>
              <w:jc w:val="right"/>
              <w:ind w:right="10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730,447</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228,355</w:t>
            </w:r>
          </w:p>
        </w:tc>
        <w:tc>
          <w:tcPr>
            <w:tcW w:w="28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1,372,398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125,693</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179,013</w:t>
            </w:r>
          </w:p>
        </w:tc>
        <w:tc>
          <w:tcPr>
            <w:tcW w:w="60" w:type="dxa"/>
            <w:vAlign w:val="bottom"/>
            <w:gridSpan w:val="2"/>
            <w:shd w:val="clear" w:color="auto" w:fill="CCEEFF"/>
          </w:tcPr>
          <w:p>
            <w:pPr>
              <w:spacing w:after="0"/>
              <w:rPr>
                <w:sz w:val="14"/>
                <w:szCs w:val="14"/>
                <w:color w:val="auto"/>
              </w:rPr>
            </w:pPr>
          </w:p>
        </w:tc>
        <w:tc>
          <w:tcPr>
            <w:tcW w:w="26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140,784</w:t>
            </w: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115,986</w:t>
            </w:r>
          </w:p>
        </w:tc>
        <w:tc>
          <w:tcPr>
            <w:tcW w:w="280" w:type="dxa"/>
            <w:vAlign w:val="bottom"/>
            <w:gridSpan w:val="3"/>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561,476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33,539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75,351</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589,663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112,369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810,922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Total gross loans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159,232</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254,364</w:t>
            </w:r>
          </w:p>
        </w:tc>
        <w:tc>
          <w:tcPr>
            <w:tcW w:w="6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730,447</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228,355</w:t>
            </w:r>
          </w:p>
        </w:tc>
        <w:tc>
          <w:tcPr>
            <w:tcW w:w="8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1,372,398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rate modifications are discussed as well.</w:t>
      </w:r>
    </w:p>
    <w:p>
      <w:pPr>
        <w:spacing w:after="0" w:line="149"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4"/>
          <w:szCs w:val="14"/>
          <w:color w:val="auto"/>
        </w:rPr>
        <w:t>As of June 30, 2022, approximately 59.1% of the loans have adjustable/variable rates and 40.9% of the loans have fixed rates. The adjustable/variable loans re-price to different benchmarks and tenors in different periods of time. By</w:t>
      </w:r>
    </w:p>
    <w:p>
      <w:pPr>
        <w:spacing w:after="0" w:line="18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contractual characteristics, there are no material concentrations on anniversary repricing. Additionally, it is important to note that most of our loans have interest rate floors. This embedded option protects the Company from a decrease in interest rates and positions us to gain in the scenario of higher interest rates.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59" w:lineRule="exact"/>
        <w:rPr>
          <w:sz w:val="20"/>
          <w:szCs w:val="20"/>
          <w:color w:val="auto"/>
        </w:rPr>
      </w:pPr>
    </w:p>
    <w:p>
      <w:pPr>
        <w:ind w:left="1180" w:right="819"/>
        <w:spacing w:after="0" w:line="266"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26" w:lineRule="exact"/>
        <w:rPr>
          <w:sz w:val="20"/>
          <w:szCs w:val="20"/>
          <w:color w:val="auto"/>
        </w:rPr>
      </w:pPr>
    </w:p>
    <w:p>
      <w:pPr>
        <w:jc w:val="both"/>
        <w:ind w:left="1180" w:right="819"/>
        <w:spacing w:after="0" w:line="252"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66"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June 30, 2022</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203,662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203,662</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841,842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843,445</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130,809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131,271</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84,770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84,770</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109,040</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109,250</w:t>
            </w:r>
          </w:p>
        </w:tc>
        <w:tc>
          <w:tcPr>
            <w:tcW w:w="20" w:type="dxa"/>
            <w:vAlign w:val="bottom"/>
            <w:shd w:val="clear" w:color="auto" w:fill="CCEEFF"/>
          </w:tcPr>
          <w:p>
            <w:pPr>
              <w:spacing w:after="0"/>
              <w:rPr>
                <w:sz w:val="14"/>
                <w:szCs w:val="14"/>
                <w:color w:val="auto"/>
              </w:rPr>
            </w:pPr>
          </w:p>
        </w:tc>
      </w:tr>
      <w:tr>
        <w:trPr>
          <w:trHeight w:val="173"/>
        </w:trPr>
        <w:tc>
          <w:tcPr>
            <w:tcW w:w="2300" w:type="dxa"/>
            <w:vAlign w:val="bottom"/>
          </w:tcPr>
          <w:p>
            <w:pPr>
              <w:spacing w:after="0"/>
              <w:rPr>
                <w:sz w:val="15"/>
                <w:szCs w:val="15"/>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1,370,123</w:t>
            </w:r>
          </w:p>
        </w:tc>
        <w:tc>
          <w:tcPr>
            <w:tcW w:w="4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w:t>
            </w: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1,078</w:t>
            </w:r>
          </w:p>
        </w:tc>
        <w:tc>
          <w:tcPr>
            <w:tcW w:w="4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1,372,398</w:t>
            </w:r>
          </w:p>
        </w:tc>
        <w:tc>
          <w:tcPr>
            <w:tcW w:w="20" w:type="dxa"/>
            <w:vAlign w:val="bottom"/>
            <w:tcBorders>
              <w:bottom w:val="single" w:sz="8" w:color="auto"/>
            </w:tcBorders>
          </w:tcPr>
          <w:p>
            <w:pPr>
              <w:spacing w:after="0"/>
              <w:rPr>
                <w:sz w:val="15"/>
                <w:szCs w:val="15"/>
                <w:color w:val="auto"/>
              </w:rPr>
            </w:pPr>
          </w:p>
        </w:tc>
      </w:tr>
    </w:tbl>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8"/>
          </w:tcPr>
          <w:p>
            <w:pPr>
              <w:jc w:val="right"/>
              <w:ind w:right="776"/>
              <w:spacing w:after="0"/>
              <w:rPr>
                <w:sz w:val="20"/>
                <w:szCs w:val="20"/>
                <w:color w:val="auto"/>
              </w:rPr>
            </w:pPr>
            <w:r>
              <w:rPr>
                <w:rFonts w:ascii="Arial" w:cs="Arial" w:eastAsia="Arial" w:hAnsi="Arial"/>
                <w:sz w:val="13"/>
                <w:szCs w:val="13"/>
                <w:b w:val="1"/>
                <w:bCs w:val="1"/>
                <w:color w:val="auto"/>
                <w:w w:val="97"/>
              </w:rPr>
              <w:t>December 31, 2021</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196,778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703,349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73"/>
        </w:trPr>
        <w:tc>
          <w:tcPr>
            <w:tcW w:w="2300" w:type="dxa"/>
            <w:vAlign w:val="bottom"/>
          </w:tcPr>
          <w:p>
            <w:pPr>
              <w:spacing w:after="0"/>
              <w:rPr>
                <w:sz w:val="15"/>
                <w:szCs w:val="15"/>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1,184,662</w:t>
            </w:r>
          </w:p>
        </w:tc>
        <w:tc>
          <w:tcPr>
            <w:tcW w:w="4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1,222</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5,775</w:t>
            </w:r>
          </w:p>
        </w:tc>
        <w:tc>
          <w:tcPr>
            <w:tcW w:w="4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1,191,659</w:t>
            </w:r>
          </w:p>
        </w:tc>
        <w:tc>
          <w:tcPr>
            <w:tcW w:w="2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90" w:type="dxa"/>
            <w:vAlign w:val="bottom"/>
            <w:gridSpan w:val="4"/>
          </w:tcPr>
          <w:p>
            <w:pPr>
              <w:ind w:left="110"/>
              <w:spacing w:after="0"/>
              <w:rPr>
                <w:sz w:val="20"/>
                <w:szCs w:val="20"/>
                <w:color w:val="auto"/>
              </w:rPr>
            </w:pPr>
            <w:r>
              <w:rPr>
                <w:rFonts w:ascii="Arial" w:cs="Arial" w:eastAsia="Arial" w:hAnsi="Arial"/>
                <w:sz w:val="13"/>
                <w:szCs w:val="13"/>
                <w:b w:val="1"/>
                <w:bCs w:val="1"/>
                <w:color w:val="auto"/>
              </w:rPr>
              <w:t>June 30, 2022</w:t>
            </w:r>
          </w:p>
        </w:tc>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r>
      <w:tr>
        <w:trPr>
          <w:trHeight w:val="151"/>
        </w:trPr>
        <w:tc>
          <w:tcPr>
            <w:tcW w:w="4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Non-accrual loans, less non-accrual TDR loans</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21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20" w:type="dxa"/>
            <w:vAlign w:val="bottom"/>
            <w:shd w:val="clear" w:color="auto" w:fill="CCEEFF"/>
          </w:tcPr>
          <w:p>
            <w:pPr>
              <w:spacing w:after="0"/>
              <w:rPr>
                <w:sz w:val="13"/>
                <w:szCs w:val="13"/>
                <w:color w:val="auto"/>
              </w:rPr>
            </w:pPr>
          </w:p>
        </w:tc>
      </w:tr>
      <w:tr>
        <w:trPr>
          <w:trHeight w:val="171"/>
        </w:trPr>
        <w:tc>
          <w:tcPr>
            <w:tcW w:w="4900" w:type="dxa"/>
            <w:vAlign w:val="bottom"/>
            <w:gridSpan w:val="2"/>
          </w:tcPr>
          <w:p>
            <w:pPr>
              <w:ind w:left="40"/>
              <w:spacing w:after="0"/>
              <w:rPr>
                <w:sz w:val="20"/>
                <w:szCs w:val="20"/>
                <w:color w:val="auto"/>
              </w:rPr>
            </w:pPr>
            <w:r>
              <w:rPr>
                <w:rFonts w:ascii="Arial" w:cs="Arial" w:eastAsia="Arial" w:hAnsi="Arial"/>
                <w:sz w:val="13"/>
                <w:szCs w:val="13"/>
                <w:color w:val="auto"/>
              </w:rPr>
              <w:t>Non-accrual TDRs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Loans past due over 90 days and still accruing</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21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120" w:type="dxa"/>
            <w:vAlign w:val="bottom"/>
          </w:tcPr>
          <w:p>
            <w:pPr>
              <w:spacing w:after="0"/>
              <w:rPr>
                <w:sz w:val="13"/>
                <w:szCs w:val="13"/>
                <w:color w:val="auto"/>
              </w:rPr>
            </w:pPr>
          </w:p>
        </w:tc>
        <w:tc>
          <w:tcPr>
            <w:tcW w:w="4780" w:type="dxa"/>
            <w:vAlign w:val="bottom"/>
          </w:tcPr>
          <w:p>
            <w:pPr>
              <w:ind w:left="100"/>
              <w:spacing w:after="0"/>
              <w:rPr>
                <w:sz w:val="20"/>
                <w:szCs w:val="20"/>
                <w:color w:val="auto"/>
              </w:rPr>
            </w:pPr>
            <w:r>
              <w:rPr>
                <w:rFonts w:ascii="Arial" w:cs="Arial" w:eastAsia="Arial" w:hAnsi="Arial"/>
                <w:sz w:val="13"/>
                <w:szCs w:val="13"/>
                <w:color w:val="auto"/>
              </w:rPr>
              <w:t>Total non-performing loans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121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1,190</w:t>
            </w:r>
          </w:p>
        </w:tc>
        <w:tc>
          <w:tcPr>
            <w:tcW w:w="20" w:type="dxa"/>
            <w:vAlign w:val="bottom"/>
          </w:tcPr>
          <w:p>
            <w:pPr>
              <w:spacing w:after="0"/>
              <w:rPr>
                <w:sz w:val="13"/>
                <w:szCs w:val="13"/>
                <w:color w:val="auto"/>
              </w:rPr>
            </w:pPr>
          </w:p>
        </w:tc>
      </w:tr>
      <w:tr>
        <w:trPr>
          <w:trHeight w:val="171"/>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real estate owned</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21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4780" w:type="dxa"/>
            <w:vAlign w:val="bottom"/>
          </w:tcPr>
          <w:p>
            <w:pPr>
              <w:ind w:left="100"/>
              <w:spacing w:after="0"/>
              <w:rPr>
                <w:sz w:val="20"/>
                <w:szCs w:val="20"/>
                <w:color w:val="auto"/>
              </w:rPr>
            </w:pPr>
            <w:r>
              <w:rPr>
                <w:rFonts w:ascii="Arial" w:cs="Arial" w:eastAsia="Arial" w:hAnsi="Arial"/>
                <w:sz w:val="13"/>
                <w:szCs w:val="13"/>
                <w:color w:val="auto"/>
              </w:rPr>
              <w:t>Total non-performing assets</w:t>
            </w:r>
          </w:p>
        </w:tc>
        <w:tc>
          <w:tcPr>
            <w:tcW w:w="17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1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1,190</w:t>
            </w:r>
          </w:p>
        </w:tc>
        <w:tc>
          <w:tcPr>
            <w:tcW w:w="20" w:type="dxa"/>
            <w:vAlign w:val="bottom"/>
          </w:tcPr>
          <w:p>
            <w:pPr>
              <w:spacing w:after="0"/>
              <w:rPr>
                <w:sz w:val="17"/>
                <w:szCs w:val="17"/>
                <w:color w:val="auto"/>
              </w:rPr>
            </w:pPr>
          </w:p>
        </w:tc>
      </w:tr>
      <w:tr>
        <w:trPr>
          <w:trHeight w:val="121"/>
        </w:trPr>
        <w:tc>
          <w:tcPr>
            <w:tcW w:w="4900" w:type="dxa"/>
            <w:vAlign w:val="bottom"/>
            <w:tcBorders>
              <w:top w:val="single" w:sz="8" w:color="CCEEFF"/>
            </w:tcBorders>
            <w:gridSpan w:val="2"/>
            <w:shd w:val="clear" w:color="auto" w:fill="CCEEFF"/>
          </w:tcPr>
          <w:p>
            <w:pPr>
              <w:ind w:left="40"/>
              <w:spacing w:after="0" w:line="121" w:lineRule="exact"/>
              <w:rPr>
                <w:sz w:val="20"/>
                <w:szCs w:val="20"/>
                <w:color w:val="auto"/>
              </w:rPr>
            </w:pPr>
            <w:r>
              <w:rPr>
                <w:rFonts w:ascii="Arial" w:cs="Arial" w:eastAsia="Arial" w:hAnsi="Arial"/>
                <w:sz w:val="13"/>
                <w:szCs w:val="13"/>
                <w:b w:val="1"/>
                <w:bCs w:val="1"/>
                <w:color w:val="auto"/>
              </w:rPr>
              <w:t>Asset quality ratios:</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121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120" w:type="dxa"/>
            <w:vAlign w:val="bottom"/>
          </w:tcPr>
          <w:p>
            <w:pPr>
              <w:spacing w:after="0"/>
              <w:rPr>
                <w:sz w:val="14"/>
                <w:szCs w:val="14"/>
                <w:color w:val="auto"/>
              </w:rPr>
            </w:pPr>
          </w:p>
        </w:tc>
        <w:tc>
          <w:tcPr>
            <w:tcW w:w="4780" w:type="dxa"/>
            <w:vAlign w:val="bottom"/>
          </w:tcPr>
          <w:p>
            <w:pPr>
              <w:ind w:left="20"/>
              <w:spacing w:after="0"/>
              <w:rPr>
                <w:sz w:val="20"/>
                <w:szCs w:val="20"/>
                <w:color w:val="auto"/>
              </w:rPr>
            </w:pPr>
            <w:r>
              <w:rPr>
                <w:rFonts w:ascii="Arial" w:cs="Arial" w:eastAsia="Arial" w:hAnsi="Arial"/>
                <w:sz w:val="13"/>
                <w:szCs w:val="13"/>
                <w:color w:val="auto"/>
              </w:rPr>
              <w:t>Allowance for credit losses to total loans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1.15%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1.27%</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credit losses to non-performing loans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12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20" w:type="dxa"/>
            <w:vAlign w:val="bottom"/>
            <w:shd w:val="clear" w:color="auto" w:fill="CCEEFF"/>
          </w:tcPr>
          <w:p>
            <w:pPr>
              <w:spacing w:after="0"/>
              <w:rPr>
                <w:sz w:val="14"/>
                <w:szCs w:val="14"/>
                <w:color w:val="auto"/>
              </w:rPr>
            </w:pPr>
          </w:p>
        </w:tc>
      </w:tr>
      <w:tr>
        <w:trPr>
          <w:trHeight w:val="177"/>
        </w:trPr>
        <w:tc>
          <w:tcPr>
            <w:tcW w:w="120" w:type="dxa"/>
            <w:vAlign w:val="bottom"/>
          </w:tcPr>
          <w:p>
            <w:pPr>
              <w:spacing w:after="0"/>
              <w:rPr>
                <w:sz w:val="15"/>
                <w:szCs w:val="15"/>
                <w:color w:val="auto"/>
              </w:rPr>
            </w:pPr>
          </w:p>
        </w:tc>
        <w:tc>
          <w:tcPr>
            <w:tcW w:w="4780" w:type="dxa"/>
            <w:vAlign w:val="bottom"/>
          </w:tcPr>
          <w:p>
            <w:pPr>
              <w:ind w:left="20"/>
              <w:spacing w:after="0"/>
              <w:rPr>
                <w:sz w:val="20"/>
                <w:szCs w:val="20"/>
                <w:color w:val="auto"/>
              </w:rPr>
            </w:pPr>
            <w:r>
              <w:rPr>
                <w:rFonts w:ascii="Arial" w:cs="Arial" w:eastAsia="Arial" w:hAnsi="Arial"/>
                <w:sz w:val="13"/>
                <w:szCs w:val="13"/>
                <w:color w:val="auto"/>
              </w:rPr>
              <w:t>Non-performing loans to total loans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0.10%</w:t>
            </w:r>
          </w:p>
        </w:tc>
        <w:tc>
          <w:tcPr>
            <w:tcW w:w="20" w:type="dxa"/>
            <w:vAlign w:val="bottom"/>
          </w:tcPr>
          <w:p>
            <w:pPr>
              <w:spacing w:after="0"/>
              <w:rPr>
                <w:sz w:val="15"/>
                <w:szCs w:val="15"/>
                <w:color w:val="auto"/>
              </w:rPr>
            </w:pPr>
          </w:p>
        </w:tc>
      </w:tr>
    </w:tbl>
    <w:p>
      <w:pPr>
        <w:spacing w:after="0" w:line="165"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non-accrual troubled debt restructuring (“TDRs”),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60"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47"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A TDR is a debtor that is experiencing financial difficulties and to whom the Company grants a loan concession. This determination is performed during the annual review process or whenever problems are surfacing regarding the client’s ability to repay in accordance with the original terms of the loan or line of credit. In general, a borrower that can obtain funds from sources other than the Company at market interest rates at or near those for non-troubled debt is not involved in a troubled debt restructuring. The concessions are given to the debtor in various forms, including interest rate reductions, principal forgiveness, extension of maturity date, waiver, or deferral of payments and other concessions intended to minimize potential losses.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tables present performing and non-performing TDRs at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June 30, 2022</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center"/>
              <w:ind w:left="436"/>
              <w:spacing w:after="0"/>
              <w:rPr>
                <w:sz w:val="20"/>
                <w:szCs w:val="20"/>
                <w:color w:val="auto"/>
              </w:rPr>
            </w:pPr>
            <w:r>
              <w:rPr>
                <w:rFonts w:ascii="Arial" w:cs="Arial" w:eastAsia="Arial" w:hAnsi="Arial"/>
                <w:sz w:val="13"/>
                <w:szCs w:val="13"/>
                <w:b w:val="1"/>
                <w:bCs w:val="1"/>
                <w:color w:val="auto"/>
                <w:w w:val="99"/>
              </w:rPr>
              <w:t>December 31, 2021</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Non-Accrual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8"/>
              </w:rPr>
              <w:t>Accrual Status</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Status</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Total TDRs</w:t>
            </w: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8"/>
              </w:rPr>
              <w:t>Accrual Status</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rPr>
              <w:t>Status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9"/>
              </w:rPr>
              <w:t>Total TDRs</w:t>
            </w:r>
          </w:p>
        </w:tc>
        <w:tc>
          <w:tcPr>
            <w:tcW w:w="20" w:type="dxa"/>
            <w:vAlign w:val="bottom"/>
          </w:tcPr>
          <w:p>
            <w:pPr>
              <w:spacing w:after="0"/>
              <w:rPr>
                <w:sz w:val="13"/>
                <w:szCs w:val="13"/>
                <w:color w:val="auto"/>
              </w:rPr>
            </w:pPr>
          </w:p>
        </w:tc>
      </w:tr>
      <w:tr>
        <w:trPr>
          <w:trHeight w:val="151"/>
        </w:trPr>
        <w:tc>
          <w:tcPr>
            <w:tcW w:w="1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7,307</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3"/>
                <w:szCs w:val="13"/>
                <w:color w:val="auto"/>
              </w:rPr>
            </w:pPr>
          </w:p>
        </w:tc>
      </w:tr>
      <w:tr>
        <w:trPr>
          <w:trHeight w:val="171"/>
        </w:trPr>
        <w:tc>
          <w:tcPr>
            <w:tcW w:w="184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r>
      <w:tr>
        <w:trPr>
          <w:trHeight w:val="171"/>
        </w:trPr>
        <w:tc>
          <w:tcPr>
            <w:tcW w:w="1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Consumer and other</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8,210</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20" w:type="dxa"/>
            <w:vAlign w:val="bottom"/>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Company allocated $319 thousand and $360 thousand of specific allowance for TDR loans at June 30, 2022 and December 31, 2021, respectively. There was no commitment to lend additional funds to these TDR customers at either date.</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During the quarter ended June 30, 2022 and 2021, there were no defaults on TDR loans within the prior 12 months.</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Additionally, the Company did not have any new TDR loans during the three months ended June 30, 2022 and 2021.</w:t>
      </w:r>
    </w:p>
    <w:p>
      <w:pPr>
        <w:spacing w:after="0" w:line="159"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Company provided financial relief to borrowers impacted by COVID-19 and provided modifications to include interest only deferral or principal and interest deferral. These modifications are excluded from TDR, classification under Section 4013 of the CARES Act or under applicable interagency guidance of the federal banking regulators.</w:t>
      </w:r>
    </w:p>
    <w:p>
      <w:pPr>
        <w:spacing w:after="0" w:line="20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For further discussion on non-performing loans, see Note 3 “Loans” to the Consolidated Financial Statements on this Form 10-Q.</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In determining the balance of the allowance account, loans are pooled by product segments with similar risk characteristics and management evaluates the ACL on each segment and on a regular basis to maintain the allowance at an adequate level based on factors which, in management’s judgment, deserve current recognition in estimating credit losses. Such factors include changes in prevailing economic conditions, historical loss experience, delinquency trends, changes in the composition and size of the loan portfolio and the overall credit worthiness of the borrowers.</w:t>
      </w:r>
    </w:p>
    <w:p>
      <w:pPr>
        <w:spacing w:after="0" w:line="160"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Additionally, qualitative adjustments are made to the ACL when, based on management’s judgment, there are factors impacting the allowance estimate not considered by the quantitative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51" w:lineRule="exact"/>
        <w:rPr>
          <w:sz w:val="20"/>
          <w:szCs w:val="20"/>
          <w:color w:val="auto"/>
        </w:rPr>
      </w:pPr>
    </w:p>
    <w:tbl>
      <w:tblPr>
        <w:tblLayout w:type="fixed"/>
        <w:tblInd w:w="2820" w:type="dxa"/>
        <w:tblCellMar>
          <w:top w:w="0" w:type="dxa"/>
          <w:left w:w="0" w:type="dxa"/>
          <w:bottom w:w="0" w:type="dxa"/>
          <w:right w:w="0" w:type="dxa"/>
        </w:tblCellMar>
      </w:tblPr>
      <w:tr>
        <w:trPr>
          <w:trHeight w:val="149"/>
        </w:trPr>
        <w:tc>
          <w:tcPr>
            <w:tcW w:w="880" w:type="dxa"/>
            <w:vAlign w:val="bottom"/>
          </w:tcPr>
          <w:p>
            <w:pPr>
              <w:ind w:left="100"/>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Commercial</w:t>
            </w:r>
          </w:p>
        </w:tc>
        <w:tc>
          <w:tcPr>
            <w:tcW w:w="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Foreign</w:t>
            </w:r>
          </w:p>
        </w:tc>
        <w:tc>
          <w:tcPr>
            <w:tcW w:w="60" w:type="dxa"/>
            <w:vAlign w:val="bottom"/>
          </w:tcPr>
          <w:p>
            <w:pPr>
              <w:spacing w:after="0"/>
              <w:rPr>
                <w:sz w:val="13"/>
                <w:szCs w:val="13"/>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b w:val="1"/>
                <w:bCs w:val="1"/>
                <w:color w:val="auto"/>
              </w:rPr>
              <w:t>Consumer</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Real Estate</w:t>
            </w:r>
          </w:p>
        </w:tc>
        <w:tc>
          <w:tcPr>
            <w:tcW w:w="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and Industrial</w:t>
            </w:r>
          </w:p>
        </w:tc>
        <w:tc>
          <w:tcPr>
            <w:tcW w:w="6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Banks</w:t>
            </w:r>
          </w:p>
        </w:tc>
        <w:tc>
          <w:tcPr>
            <w:tcW w:w="60" w:type="dxa"/>
            <w:vAlign w:val="bottom"/>
          </w:tcPr>
          <w:p>
            <w:pPr>
              <w:spacing w:after="0"/>
              <w:rPr>
                <w:sz w:val="13"/>
                <w:szCs w:val="13"/>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and Other</w:t>
            </w:r>
          </w:p>
        </w:tc>
        <w:tc>
          <w:tcPr>
            <w:tcW w:w="40" w:type="dxa"/>
            <w:vAlign w:val="bottom"/>
          </w:tcPr>
          <w:p>
            <w:pPr>
              <w:spacing w:after="0"/>
              <w:rPr>
                <w:sz w:val="13"/>
                <w:szCs w:val="13"/>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Total</w:t>
            </w:r>
          </w:p>
        </w:tc>
      </w:tr>
    </w:tbl>
    <w:p>
      <w:pPr>
        <w:spacing w:after="0" w:line="1" w:lineRule="exact"/>
        <w:rPr>
          <w:sz w:val="20"/>
          <w:szCs w:val="20"/>
          <w:color w:val="auto"/>
        </w:rPr>
      </w:pPr>
    </w:p>
    <w:p>
      <w:pPr>
        <w:sectPr>
          <w:pgSz w:w="11900" w:h="16838" w:orient="portrait"/>
          <w:cols w:equalWidth="0" w:num="1">
            <w:col w:w="9019"/>
          </w:cols>
          <w:pgMar w:left="1440" w:top="491" w:right="1440" w:bottom="1440" w:gutter="0" w:footer="0" w:header="0"/>
        </w:sectPr>
      </w:pPr>
    </w:p>
    <w:tbl>
      <w:tblPr>
        <w:tblLayout w:type="fixed"/>
        <w:tblInd w:w="660"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Arial" w:cs="Arial" w:eastAsia="Arial" w:hAnsi="Arial"/>
                <w:sz w:val="13"/>
                <w:szCs w:val="13"/>
                <w:b w:val="1"/>
                <w:bCs w:val="1"/>
                <w:color w:val="auto"/>
                <w:w w:val="98"/>
              </w:rPr>
              <w:t>Three Months Ended June 30, 2022</w:t>
            </w:r>
          </w:p>
        </w:tc>
        <w:tc>
          <w:tcPr>
            <w:tcW w:w="60" w:type="dxa"/>
            <w:vAlign w:val="bottom"/>
          </w:tcPr>
          <w:p>
            <w:pPr>
              <w:spacing w:after="0"/>
              <w:rPr>
                <w:sz w:val="14"/>
                <w:szCs w:val="14"/>
                <w:color w:val="auto"/>
              </w:rPr>
            </w:pPr>
          </w:p>
        </w:tc>
      </w:tr>
      <w:tr>
        <w:trPr>
          <w:trHeight w:val="173"/>
        </w:trPr>
        <w:tc>
          <w:tcPr>
            <w:tcW w:w="2180" w:type="dxa"/>
            <w:vAlign w:val="bottom"/>
          </w:tcPr>
          <w:p>
            <w:pPr>
              <w:spacing w:after="0"/>
              <w:rPr>
                <w:sz w:val="20"/>
                <w:szCs w:val="20"/>
                <w:color w:val="auto"/>
              </w:rPr>
            </w:pPr>
            <w:r>
              <w:rPr>
                <w:rFonts w:ascii="Arial" w:cs="Arial" w:eastAsia="Arial" w:hAnsi="Arial"/>
                <w:sz w:val="13"/>
                <w:szCs w:val="13"/>
                <w:color w:val="auto"/>
              </w:rPr>
              <w:t>Beginning balance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r>
      <w:tr>
        <w:trPr>
          <w:trHeight w:val="154"/>
        </w:trPr>
        <w:tc>
          <w:tcPr>
            <w:tcW w:w="2180" w:type="dxa"/>
            <w:vAlign w:val="bottom"/>
          </w:tcPr>
          <w:p>
            <w:pPr>
              <w:spacing w:after="0"/>
              <w:rPr>
                <w:sz w:val="20"/>
                <w:szCs w:val="20"/>
                <w:color w:val="auto"/>
              </w:rPr>
            </w:pPr>
            <w:r>
              <w:rPr>
                <w:rFonts w:ascii="Arial" w:cs="Arial" w:eastAsia="Arial" w:hAnsi="Arial"/>
                <w:sz w:val="13"/>
                <w:szCs w:val="13"/>
                <w:color w:val="auto"/>
              </w:rPr>
              <w:t>Provision for credit losses</w:t>
            </w:r>
          </w:p>
        </w:tc>
        <w:tc>
          <w:tcPr>
            <w:tcW w:w="60" w:type="dxa"/>
            <w:vAlign w:val="bottom"/>
          </w:tcPr>
          <w:p>
            <w:pPr>
              <w:spacing w:after="0"/>
              <w:rPr>
                <w:sz w:val="13"/>
                <w:szCs w:val="13"/>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Recoveries</w:t>
            </w:r>
          </w:p>
        </w:tc>
        <w:tc>
          <w:tcPr>
            <w:tcW w:w="60" w:type="dxa"/>
            <w:vAlign w:val="bottom"/>
          </w:tcPr>
          <w:p>
            <w:pPr>
              <w:spacing w:after="0"/>
              <w:rPr>
                <w:sz w:val="14"/>
                <w:szCs w:val="14"/>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Charge-offs</w:t>
            </w:r>
          </w:p>
        </w:tc>
        <w:tc>
          <w:tcPr>
            <w:tcW w:w="60" w:type="dxa"/>
            <w:vAlign w:val="bottom"/>
          </w:tcPr>
          <w:p>
            <w:pPr>
              <w:spacing w:after="0"/>
              <w:rPr>
                <w:sz w:val="14"/>
                <w:szCs w:val="14"/>
                <w:color w:val="auto"/>
              </w:rPr>
            </w:pPr>
          </w:p>
        </w:tc>
      </w:tr>
      <w:tr>
        <w:trPr>
          <w:trHeight w:val="186"/>
        </w:trPr>
        <w:tc>
          <w:tcPr>
            <w:tcW w:w="2180" w:type="dxa"/>
            <w:vAlign w:val="bottom"/>
          </w:tcPr>
          <w:p>
            <w:pPr>
              <w:spacing w:after="0"/>
              <w:rPr>
                <w:sz w:val="20"/>
                <w:szCs w:val="20"/>
                <w:color w:val="auto"/>
              </w:rPr>
            </w:pPr>
            <w:r>
              <w:rPr>
                <w:rFonts w:ascii="Arial" w:cs="Arial" w:eastAsia="Arial" w:hAnsi="Arial"/>
                <w:sz w:val="13"/>
                <w:szCs w:val="13"/>
                <w:color w:val="auto"/>
              </w:rPr>
              <w:t>Ending Balance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r>
      <w:tr>
        <w:trPr>
          <w:trHeight w:val="181"/>
        </w:trPr>
        <w:tc>
          <w:tcPr>
            <w:tcW w:w="218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440" w:type="dxa"/>
            <w:vAlign w:val="bottom"/>
          </w:tcPr>
          <w:p>
            <w:pPr>
              <w:jc w:val="right"/>
              <w:ind w:right="56"/>
              <w:spacing w:after="0"/>
              <w:rPr>
                <w:sz w:val="20"/>
                <w:szCs w:val="20"/>
                <w:color w:val="auto"/>
              </w:rPr>
            </w:pPr>
            <w:r>
              <w:rPr>
                <w:rFonts w:ascii="Arial" w:cs="Arial" w:eastAsia="Arial" w:hAnsi="Arial"/>
                <w:sz w:val="13"/>
                <w:szCs w:val="13"/>
                <w:color w:val="auto"/>
                <w:w w:val="92"/>
              </w:rPr>
              <w:t>2,357</w:t>
            </w:r>
          </w:p>
        </w:tc>
        <w:tc>
          <w:tcPr>
            <w:tcW w:w="300" w:type="dxa"/>
            <w:vAlign w:val="bottom"/>
          </w:tcPr>
          <w:p>
            <w:pPr>
              <w:jc w:val="right"/>
              <w:ind w:right="2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9,183</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2,355</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491</w:t>
            </w: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688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15,074</w:t>
            </w:r>
          </w:p>
        </w:tc>
        <w:tc>
          <w:tcPr>
            <w:tcW w:w="20" w:type="dxa"/>
            <w:vAlign w:val="bottom"/>
          </w:tcPr>
          <w:p>
            <w:pPr>
              <w:spacing w:after="0"/>
              <w:rPr>
                <w:sz w:val="13"/>
                <w:szCs w:val="13"/>
                <w:color w:val="auto"/>
              </w:rPr>
            </w:pPr>
          </w:p>
        </w:tc>
      </w:tr>
      <w:tr>
        <w:trPr>
          <w:trHeight w:val="154"/>
        </w:trPr>
        <w:tc>
          <w:tcPr>
            <w:tcW w:w="44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9</w:t>
            </w: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right w:val="single" w:sz="8" w:color="CCEEFF"/>
            </w:tcBorders>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20" w:type="dxa"/>
            <w:vAlign w:val="bottom"/>
            <w:tcBorders>
              <w:right w:val="single" w:sz="8" w:color="CCEEFF"/>
            </w:tcBorders>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Borders>
              <w:right w:val="single" w:sz="8" w:color="CCEEFF"/>
            </w:tcBorders>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4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6"/>
                <w:szCs w:val="16"/>
                <w:color w:val="auto"/>
              </w:rPr>
            </w:pPr>
          </w:p>
        </w:tc>
      </w:tr>
      <w:tr>
        <w:trPr>
          <w:trHeight w:val="154"/>
        </w:trPr>
        <w:tc>
          <w:tcPr>
            <w:tcW w:w="44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440" w:type="dxa"/>
            <w:vAlign w:val="bottom"/>
          </w:tcPr>
          <w:p>
            <w:pPr>
              <w:jc w:val="right"/>
              <w:ind w:right="56"/>
              <w:spacing w:after="0"/>
              <w:rPr>
                <w:sz w:val="20"/>
                <w:szCs w:val="20"/>
                <w:color w:val="auto"/>
              </w:rPr>
            </w:pPr>
            <w:r>
              <w:rPr>
                <w:rFonts w:ascii="Arial" w:cs="Arial" w:eastAsia="Arial" w:hAnsi="Arial"/>
                <w:sz w:val="13"/>
                <w:szCs w:val="13"/>
                <w:color w:val="auto"/>
                <w:w w:val="92"/>
              </w:rPr>
              <w:t>2,366</w:t>
            </w:r>
          </w:p>
        </w:tc>
        <w:tc>
          <w:tcPr>
            <w:tcW w:w="300" w:type="dxa"/>
            <w:vAlign w:val="bottom"/>
          </w:tcPr>
          <w:p>
            <w:pPr>
              <w:jc w:val="right"/>
              <w:ind w:right="2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9,290</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2,671</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651</w:t>
            </w: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808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15,786</w:t>
            </w:r>
          </w:p>
        </w:tc>
        <w:tc>
          <w:tcPr>
            <w:tcW w:w="20" w:type="dxa"/>
            <w:vAlign w:val="bottom"/>
          </w:tcPr>
          <w:p>
            <w:pPr>
              <w:spacing w:after="0"/>
              <w:rPr>
                <w:sz w:val="17"/>
                <w:szCs w:val="17"/>
                <w:color w:val="auto"/>
              </w:rPr>
            </w:pPr>
          </w:p>
        </w:tc>
      </w:tr>
      <w:tr>
        <w:trPr>
          <w:trHeight w:val="121"/>
        </w:trPr>
        <w:tc>
          <w:tcPr>
            <w:tcW w:w="440" w:type="dxa"/>
            <w:vAlign w:val="bottom"/>
            <w:tcBorders>
              <w:right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right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right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bl>
    <w:p>
      <w:pPr>
        <w:spacing w:after="0" w:line="21" w:lineRule="exact"/>
        <w:rPr>
          <w:sz w:val="20"/>
          <w:szCs w:val="20"/>
          <w:color w:val="auto"/>
        </w:rPr>
      </w:pPr>
    </w:p>
    <w:p>
      <w:pPr>
        <w:sectPr>
          <w:pgSz w:w="11900" w:h="16838" w:orient="portrait"/>
          <w:cols w:equalWidth="0" w:num="2">
            <w:col w:w="2900" w:space="440"/>
            <w:col w:w="5679"/>
          </w:cols>
          <w:pgMar w:left="1440" w:top="49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49"/>
        </w:trPr>
        <w:tc>
          <w:tcPr>
            <w:tcW w:w="2160" w:type="dxa"/>
            <w:vAlign w:val="bottom"/>
          </w:tcPr>
          <w:p>
            <w:pPr>
              <w:spacing w:after="0"/>
              <w:rPr>
                <w:sz w:val="20"/>
                <w:szCs w:val="20"/>
                <w:color w:val="auto"/>
              </w:rPr>
            </w:pPr>
            <w:r>
              <w:rPr>
                <w:rFonts w:ascii="Arial" w:cs="Arial" w:eastAsia="Arial" w:hAnsi="Arial"/>
                <w:sz w:val="13"/>
                <w:szCs w:val="13"/>
                <w:color w:val="auto"/>
              </w:rPr>
              <w:t>Average loans</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198,812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799,846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126,434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76,968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94,416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1,296,476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-0.02%</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Six Months Ended June 30, 2022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Beginning balance</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2,498</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8,758</w:t>
            </w:r>
          </w:p>
        </w:tc>
        <w:tc>
          <w:tcPr>
            <w:tcW w:w="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2,775</w:t>
            </w:r>
          </w:p>
        </w:tc>
        <w:tc>
          <w:tcPr>
            <w:tcW w:w="2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457</w:t>
            </w:r>
          </w:p>
        </w:tc>
        <w:tc>
          <w:tcPr>
            <w:tcW w:w="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569</w:t>
            </w:r>
          </w:p>
        </w:tc>
        <w:tc>
          <w:tcPr>
            <w:tcW w:w="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(115)</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10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160" w:type="dxa"/>
            <w:vAlign w:val="bottom"/>
            <w:vMerge w:val="continue"/>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2,366</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9,290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2,671</w:t>
            </w:r>
          </w:p>
        </w:tc>
        <w:tc>
          <w:tcPr>
            <w:tcW w:w="2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651</w:t>
            </w:r>
          </w:p>
        </w:tc>
        <w:tc>
          <w:tcPr>
            <w:tcW w:w="2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808</w:t>
            </w:r>
          </w:p>
        </w:tc>
        <w:tc>
          <w:tcPr>
            <w:tcW w:w="60" w:type="dxa"/>
            <w:vAlign w:val="bottom"/>
          </w:tcPr>
          <w:p>
            <w:pPr>
              <w:spacing w:after="0"/>
              <w:rPr>
                <w:sz w:val="17"/>
                <w:szCs w:val="17"/>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Average loans</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198,453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769,978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133,009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68,400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84,349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1,254,189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-0.02%</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412"/>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6"/>
              </w:rPr>
              <w:t>Commercial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6"/>
              </w:rPr>
              <w:t>Commercial</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Foreign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Consumer</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9"/>
              </w:rPr>
              <w:t>Real Estate</w:t>
            </w:r>
          </w:p>
        </w:tc>
        <w:tc>
          <w:tcPr>
            <w:tcW w:w="60" w:type="dxa"/>
            <w:vAlign w:val="bottom"/>
          </w:tcPr>
          <w:p>
            <w:pPr>
              <w:spacing w:after="0"/>
              <w:rPr>
                <w:sz w:val="13"/>
                <w:szCs w:val="13"/>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and Industrial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Banks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and Other</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8"/>
                <w:shd w:val="clear" w:color="auto" w:fill="CCEEFF"/>
              </w:rPr>
              <w:t>Three Months Ended June 30, 2021</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Beginning balance</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3,087</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9,320</w:t>
            </w:r>
          </w:p>
        </w:tc>
        <w:tc>
          <w:tcPr>
            <w:tcW w:w="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2,005</w:t>
            </w:r>
          </w:p>
        </w:tc>
        <w:tc>
          <w:tcPr>
            <w:tcW w:w="2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407</w:t>
            </w:r>
          </w:p>
        </w:tc>
        <w:tc>
          <w:tcPr>
            <w:tcW w:w="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190</w:t>
            </w:r>
          </w:p>
        </w:tc>
        <w:tc>
          <w:tcPr>
            <w:tcW w:w="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64.00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10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160" w:type="dxa"/>
            <w:vAlign w:val="bottom"/>
            <w:vMerge w:val="continue"/>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2,540</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8,752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2,467</w:t>
            </w:r>
          </w:p>
        </w:tc>
        <w:tc>
          <w:tcPr>
            <w:tcW w:w="2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554</w:t>
            </w:r>
          </w:p>
        </w:tc>
        <w:tc>
          <w:tcPr>
            <w:tcW w:w="2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535</w:t>
            </w:r>
          </w:p>
        </w:tc>
        <w:tc>
          <w:tcPr>
            <w:tcW w:w="60" w:type="dxa"/>
            <w:vAlign w:val="bottom"/>
          </w:tcPr>
          <w:p>
            <w:pPr>
              <w:spacing w:after="0"/>
              <w:rPr>
                <w:sz w:val="17"/>
                <w:szCs w:val="17"/>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Average loans</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216,190</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650,871</w:t>
            </w:r>
          </w:p>
        </w:tc>
        <w:tc>
          <w:tcPr>
            <w:tcW w:w="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160,968</w:t>
            </w:r>
          </w:p>
        </w:tc>
        <w:tc>
          <w:tcPr>
            <w:tcW w:w="2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48,551</w:t>
            </w:r>
          </w:p>
        </w:tc>
        <w:tc>
          <w:tcPr>
            <w:tcW w:w="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11,912</w:t>
            </w:r>
          </w:p>
        </w:tc>
        <w:tc>
          <w:tcPr>
            <w:tcW w:w="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1,088,492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0.42%</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-0.16%</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Six Months Ended June 30, 2021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Beginning balance</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3,408</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9,453</w:t>
            </w:r>
          </w:p>
        </w:tc>
        <w:tc>
          <w:tcPr>
            <w:tcW w:w="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1,689</w:t>
            </w:r>
          </w:p>
        </w:tc>
        <w:tc>
          <w:tcPr>
            <w:tcW w:w="2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348</w:t>
            </w:r>
          </w:p>
        </w:tc>
        <w:tc>
          <w:tcPr>
            <w:tcW w:w="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188</w:t>
            </w:r>
          </w:p>
        </w:tc>
        <w:tc>
          <w:tcPr>
            <w:tcW w:w="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10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160" w:type="dxa"/>
            <w:vAlign w:val="bottom"/>
            <w:vMerge w:val="continue"/>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2,540</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8,752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2,467</w:t>
            </w:r>
          </w:p>
        </w:tc>
        <w:tc>
          <w:tcPr>
            <w:tcW w:w="2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554</w:t>
            </w:r>
          </w:p>
        </w:tc>
        <w:tc>
          <w:tcPr>
            <w:tcW w:w="2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535</w:t>
            </w:r>
          </w:p>
        </w:tc>
        <w:tc>
          <w:tcPr>
            <w:tcW w:w="60" w:type="dxa"/>
            <w:vAlign w:val="bottom"/>
          </w:tcPr>
          <w:p>
            <w:pPr>
              <w:spacing w:after="0"/>
              <w:rPr>
                <w:sz w:val="17"/>
                <w:szCs w:val="17"/>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3"/>
                <w:szCs w:val="13"/>
                <w:color w:val="auto"/>
              </w:rPr>
              <w:t>Average loans</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223,628</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638,444</w:t>
            </w:r>
          </w:p>
        </w:tc>
        <w:tc>
          <w:tcPr>
            <w:tcW w:w="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163,922</w:t>
            </w:r>
          </w:p>
        </w:tc>
        <w:tc>
          <w:tcPr>
            <w:tcW w:w="2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45,432</w:t>
            </w:r>
          </w:p>
        </w:tc>
        <w:tc>
          <w:tcPr>
            <w:tcW w:w="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8,757</w:t>
            </w:r>
          </w:p>
        </w:tc>
        <w:tc>
          <w:tcPr>
            <w:tcW w:w="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1,080,183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-0.19%</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0.18%</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of June 30, 2022, the combined cash surrender value of all bank-owned life insurance (“BOLI”) policies was $42.2 million. Changes in cash surrender value are recorded to non-interest income in the Consolidated Statements of Operations. The Company had BOLI policies with five insurance carriers. The Company is the beneficiary of these policies.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8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owners and operators of these SMBs, as well as the retail/consumer relationships of the employees of these businesses.</w:t>
      </w:r>
    </w:p>
    <w:p>
      <w:pPr>
        <w:spacing w:after="0" w:line="24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type w:val="continuous"/>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3"/>
                <w:szCs w:val="13"/>
                <w:b w:val="1"/>
                <w:bCs w:val="1"/>
                <w:color w:val="auto"/>
              </w:rPr>
              <w:t>Three Months Ended June 30,</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r>
      <w:tr>
        <w:trPr>
          <w:trHeight w:val="173"/>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5"/>
                <w:szCs w:val="15"/>
                <w:color w:val="auto"/>
              </w:rPr>
            </w:pPr>
          </w:p>
        </w:tc>
        <w:tc>
          <w:tcPr>
            <w:tcW w:w="124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9"/>
              </w:rPr>
              <w:t>Average Balance</w:t>
            </w: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5"/>
                <w:szCs w:val="15"/>
                <w:color w:val="auto"/>
              </w:rPr>
            </w:pPr>
          </w:p>
        </w:tc>
      </w:tr>
      <w:tr>
        <w:trPr>
          <w:trHeight w:val="141"/>
        </w:trPr>
        <w:tc>
          <w:tcPr>
            <w:tcW w:w="32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Non-interest-bearing demand deposits</w:t>
            </w: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644,975</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535,894</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2"/>
                <w:szCs w:val="12"/>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demand deposits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66,349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52,620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0.11%</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Saving and money market deposits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781,076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607,752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0.35%</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224,284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0.48%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235,899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0.65%</w:t>
            </w:r>
          </w:p>
        </w:tc>
        <w:tc>
          <w:tcPr>
            <w:tcW w:w="20" w:type="dxa"/>
            <w:vAlign w:val="bottom"/>
            <w:tcBorders>
              <w:bottom w:val="single" w:sz="8" w:color="CCEEFF"/>
            </w:tcBorders>
          </w:tcPr>
          <w:p>
            <w:pPr>
              <w:spacing w:after="0"/>
              <w:rPr>
                <w:sz w:val="14"/>
                <w:szCs w:val="14"/>
                <w:color w:val="auto"/>
              </w:rPr>
            </w:pPr>
          </w:p>
        </w:tc>
      </w:tr>
      <w:tr>
        <w:trPr>
          <w:trHeight w:val="161"/>
        </w:trPr>
        <w:tc>
          <w:tcPr>
            <w:tcW w:w="32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1,716,684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1,432,165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20" w:type="dxa"/>
            <w:vAlign w:val="bottom"/>
            <w:shd w:val="clear" w:color="auto" w:fill="CCEEFF"/>
          </w:tcPr>
          <w:p>
            <w:pPr>
              <w:spacing w:after="0"/>
              <w:rPr>
                <w:sz w:val="14"/>
                <w:szCs w:val="14"/>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Bank per account holder. Total estimated uninsured deposits were $1.0 billion and $897.8 million at June 30, 2022 and December 31, 2021, respectively.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June 30, 2022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ind w:left="200"/>
              <w:spacing w:after="0"/>
              <w:rPr>
                <w:sz w:val="20"/>
                <w:szCs w:val="20"/>
                <w:color w:val="auto"/>
              </w:rPr>
            </w:pPr>
            <w:r>
              <w:rPr>
                <w:rFonts w:ascii="Arial" w:cs="Arial" w:eastAsia="Arial" w:hAnsi="Arial"/>
                <w:sz w:val="13"/>
                <w:szCs w:val="13"/>
                <w:b w:val="1"/>
                <w:bCs w:val="1"/>
                <w:color w:val="auto"/>
              </w:rPr>
              <w:t>June 30, 2022</w:t>
            </w:r>
          </w:p>
        </w:tc>
      </w:tr>
      <w:tr>
        <w:trPr>
          <w:trHeight w:val="141"/>
        </w:trPr>
        <w:tc>
          <w:tcPr>
            <w:tcW w:w="59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Three months or less</w:t>
            </w: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27,087</w:t>
            </w:r>
          </w:p>
        </w:tc>
        <w:tc>
          <w:tcPr>
            <w:tcW w:w="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22,393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23,301</w:t>
            </w: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61"/>
        </w:trPr>
        <w:tc>
          <w:tcPr>
            <w:tcW w:w="59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104,403</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77" w:lineRule="exact"/>
        <w:rPr>
          <w:sz w:val="20"/>
          <w:szCs w:val="20"/>
          <w:color w:val="auto"/>
        </w:rPr>
      </w:pPr>
    </w:p>
    <w:p>
      <w:pPr>
        <w:ind w:left="660" w:right="799" w:firstLine="256"/>
        <w:spacing w:after="0" w:line="253" w:lineRule="auto"/>
        <w:rPr>
          <w:sz w:val="20"/>
          <w:szCs w:val="20"/>
          <w:color w:val="auto"/>
        </w:rPr>
      </w:pPr>
      <w:r>
        <w:rPr>
          <w:rFonts w:ascii="Arial" w:cs="Arial" w:eastAsia="Arial" w:hAnsi="Arial"/>
          <w:sz w:val="14"/>
          <w:szCs w:val="14"/>
          <w:color w:val="auto"/>
        </w:rPr>
        <w:t>The Company collects from commercial loan customers funds which are held in escrow for future payment of real estate taxes and insurance. These escrow funds are disbursed by the Company directly to the insurance companies and taxing authority of the borrower. Escrow funds are recognized as other liabilities.</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June 30, 2022 escrow balances totaled $10.2 million compared to $4.0 million at December 31, 2021.</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8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As a member of the FHLB, we are eligible for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42"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4"/>
          <w:szCs w:val="14"/>
          <w:color w:val="auto"/>
        </w:rPr>
        <w:t>As of June 30, 2022 we had $66.0 million of fixed-rate advances outstanding from the FHLB with a weighted average rate of 1.55%. Most of the advances are due in the first two calendar quarters of 2025.</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 rate advances as of June 30, 2022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2"/>
          </w:tcPr>
          <w:p>
            <w:pPr>
              <w:ind w:left="440"/>
              <w:spacing w:after="0"/>
              <w:rPr>
                <w:sz w:val="20"/>
                <w:szCs w:val="20"/>
                <w:color w:val="auto"/>
              </w:rPr>
            </w:pPr>
            <w:r>
              <w:rPr>
                <w:rFonts w:ascii="Arial" w:cs="Arial" w:eastAsia="Arial" w:hAnsi="Arial"/>
                <w:sz w:val="13"/>
                <w:szCs w:val="13"/>
                <w:b w:val="1"/>
                <w:bCs w:val="1"/>
                <w:color w:val="auto"/>
              </w:rPr>
              <w:t>Amount</w:t>
            </w:r>
          </w:p>
        </w:tc>
      </w:tr>
      <w:tr>
        <w:trPr>
          <w:trHeight w:val="16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0.81%</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August 17, 2023</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1.04%</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July 30, 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March 27, 2025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1.91%</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7"/>
              </w:rPr>
              <w:t>March 28, 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1.81%</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17, 2025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July 18, 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60"/>
        </w:trPr>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1.58%</w:t>
            </w:r>
          </w:p>
        </w:tc>
        <w:tc>
          <w:tcPr>
            <w:tcW w:w="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bottom w:val="single" w:sz="8" w:color="CCEEFF"/>
            </w:tcBorders>
            <w:shd w:val="clear" w:color="auto" w:fill="CCEEFF"/>
          </w:tcPr>
          <w:p>
            <w:pPr>
              <w:spacing w:after="0"/>
              <w:rPr>
                <w:sz w:val="13"/>
                <w:szCs w:val="13"/>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July 14, 2022</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80" w:type="dxa"/>
            <w:vAlign w:val="bottom"/>
            <w:gridSpan w:val="3"/>
          </w:tcPr>
          <w:p>
            <w:pPr>
              <w:jc w:val="right"/>
              <w:ind w:right="376"/>
              <w:spacing w:after="0"/>
              <w:rPr>
                <w:sz w:val="20"/>
                <w:szCs w:val="20"/>
                <w:color w:val="auto"/>
              </w:rPr>
            </w:pPr>
            <w:r>
              <w:rPr>
                <w:rFonts w:ascii="Arial" w:cs="Arial" w:eastAsia="Arial" w:hAnsi="Arial"/>
                <w:sz w:val="13"/>
                <w:szCs w:val="13"/>
                <w:color w:val="auto"/>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66,000</w:t>
            </w:r>
          </w:p>
        </w:tc>
        <w:tc>
          <w:tcPr>
            <w:tcW w:w="20" w:type="dxa"/>
            <w:vAlign w:val="bottom"/>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We have also established Fed Funds lines of credit with our upstream correspondent banks to manage temporary fluctuations in our daily cash balances. As of June 30, 2022, there were no outstanding balances with the Fed Funds lines of credit.</w:t>
      </w:r>
    </w:p>
    <w:p>
      <w:pPr>
        <w:spacing w:after="0" w:line="2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8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than we do for on-balance sheet items. We are not aware of any accounting loss to be incurred by funding these commitments; however, we maintain an allowance for off-balance sheet credit risk which is recorded under other liabilities on the Consolidated Balance Sheets.</w:t>
      </w:r>
    </w:p>
    <w:p>
      <w:pPr>
        <w:spacing w:after="0" w:line="147"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16"/>
              <w:spacing w:after="0"/>
              <w:rPr>
                <w:sz w:val="20"/>
                <w:szCs w:val="20"/>
                <w:color w:val="auto"/>
              </w:rPr>
            </w:pPr>
            <w:r>
              <w:rPr>
                <w:rFonts w:ascii="Arial" w:cs="Arial" w:eastAsia="Arial" w:hAnsi="Arial"/>
                <w:sz w:val="13"/>
                <w:szCs w:val="13"/>
                <w:b w:val="1"/>
                <w:bCs w:val="1"/>
                <w:color w:val="auto"/>
              </w:rPr>
              <w:t>June 30, 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r>
      <w:tr>
        <w:trPr>
          <w:trHeight w:val="141"/>
        </w:trPr>
        <w:tc>
          <w:tcPr>
            <w:tcW w:w="480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142,498</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13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134,877</w:t>
            </w:r>
          </w:p>
        </w:tc>
        <w:tc>
          <w:tcPr>
            <w:tcW w:w="20" w:type="dxa"/>
            <w:vAlign w:val="bottom"/>
            <w:shd w:val="clear" w:color="auto" w:fill="CCEEFF"/>
          </w:tcPr>
          <w:p>
            <w:pPr>
              <w:spacing w:after="0"/>
              <w:rPr>
                <w:sz w:val="12"/>
                <w:szCs w:val="12"/>
                <w:color w:val="auto"/>
              </w:rPr>
            </w:pPr>
          </w:p>
        </w:tc>
      </w:tr>
      <w:tr>
        <w:trPr>
          <w:trHeight w:val="180"/>
        </w:trPr>
        <w:tc>
          <w:tcPr>
            <w:tcW w:w="4800" w:type="dxa"/>
            <w:vAlign w:val="bottom"/>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3,843</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6,420</w:t>
            </w:r>
          </w:p>
        </w:tc>
        <w:tc>
          <w:tcPr>
            <w:tcW w:w="20" w:type="dxa"/>
            <w:vAlign w:val="bottom"/>
          </w:tcPr>
          <w:p>
            <w:pPr>
              <w:spacing w:after="0"/>
              <w:rPr>
                <w:sz w:val="15"/>
                <w:szCs w:val="15"/>
                <w:color w:val="auto"/>
              </w:rPr>
            </w:pPr>
          </w:p>
        </w:tc>
      </w:tr>
      <w:tr>
        <w:trPr>
          <w:trHeight w:val="152"/>
        </w:trPr>
        <w:tc>
          <w:tcPr>
            <w:tcW w:w="48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146,341</w:t>
            </w: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141,297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4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56"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7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policies, and procedures for managing and mitigating risks are appropriately executed within the designated lines of authority and responsibility in a timely manner.</w:t>
      </w:r>
    </w:p>
    <w:p>
      <w:pPr>
        <w:spacing w:after="0" w:line="152"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53"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While some degree of IRR (“Interest Rate Risk”) is inherent to the banking business, we believe our ALCO has put in place sound risk management practices to identify, quantify, monitor, and limit IRR exposures.</w:t>
      </w:r>
    </w:p>
    <w:p>
      <w:pPr>
        <w:spacing w:after="0" w:line="15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deposits volatility and reduced earnings or outright losses could adversely affect the Company’s liquidity, performance, and capital adequacy.</w:t>
      </w:r>
    </w:p>
    <w:p>
      <w:pPr>
        <w:spacing w:after="0" w:line="142"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34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firstLine="256"/>
        <w:spacing w:after="0" w:line="244"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According to our last ALCO model run as of June 30, 2022, we are an asset-sensitive company for years one and two. This indicates that our assets generally reprice faster than our liabilities, which results in a favorable impact to net interest income when market interest rates increase. Many assumptions are used to calculate the impact of interest rate variations on our net interest income, such as asset prepayment speeds, non-maturity deposit price sensitivity, pricing correlations, deposit truncations and decay rates, and key rate drivers.</w:t>
      </w:r>
    </w:p>
    <w:p>
      <w:pPr>
        <w:spacing w:after="0" w:line="16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EVEs do not include actions that management may undertake to manage the risks in response to anticipated changes in interest rates or client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4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According to our model, as of June 30, 2022, NIM should increase for static rate scenarios (-400 basis points or +400 basis points). For the static forecast in year one, the estimated NIM will remain stable from the base case scenario to a +400 basis points scenario.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rates will have a negative impact on the EVE. Results and analysis are presented quarterly to the Board, and strategies are defined.</w:t>
      </w:r>
    </w:p>
    <w:p>
      <w:pPr>
        <w:spacing w:after="0" w:line="157"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We have also been reducing asset sensitivity by extending asset duration, which has lowered our net interest income volatility and allowed us to keep the net interest income consistent with ALCO objectives.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77" w:lineRule="exact"/>
        <w:rPr>
          <w:sz w:val="20"/>
          <w:szCs w:val="20"/>
          <w:color w:val="auto"/>
        </w:rPr>
      </w:pPr>
    </w:p>
    <w:p>
      <w:pPr>
        <w:jc w:val="both"/>
        <w:ind w:left="660" w:right="679" w:firstLine="256"/>
        <w:spacing w:after="0" w:line="282"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35"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5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w:t>
      </w:r>
    </w:p>
    <w:p>
      <w:pPr>
        <w:spacing w:after="0" w:line="15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Changes in macroeconomic conditions, as well as exposure to credit, market, operational, legal and reputational risks, such as cybersecurity risk, could have an unexpected impact on the Company’s liquidity risk profile and are factored into the assessment of liquidity and the ALM framework.</w:t>
      </w:r>
    </w:p>
    <w:p>
      <w:pPr>
        <w:spacing w:after="0" w:line="142"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and ALM policy.</w:t>
      </w:r>
    </w:p>
    <w:p>
      <w:pPr>
        <w:spacing w:after="0" w:line="152"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w:t>
      </w:r>
    </w:p>
    <w:p>
      <w:pPr>
        <w:spacing w:after="0" w:line="25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spacing w:after="0" w:line="246" w:lineRule="auto"/>
        <w:rPr>
          <w:sz w:val="20"/>
          <w:szCs w:val="20"/>
          <w:color w:val="auto"/>
        </w:rPr>
      </w:pPr>
      <w:r>
        <w:rPr>
          <w:rFonts w:ascii="Arial" w:cs="Arial" w:eastAsia="Arial" w:hAnsi="Arial"/>
          <w:sz w:val="14"/>
          <w:szCs w:val="14"/>
          <w:color w:val="auto"/>
        </w:rPr>
        <w:t>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321"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and borrowings from the FHLB. Accordingly, our liquidity resources were adequate to fund loans and meet other cash needs as necessary. We do not expect liquidity resources to be compromised at this time.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88"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As of June 30, 2022, the Bank was well capitalized under the FDIC’s prompt corrective action framework. We also follow the capital conservation buffer framework, and as of June 30, 2022, we exceeded the capital conversation buffer in all capital ratios, according to our actual ratios. The following table presents the capital ratios for both the Company and the Bank at the dates indicated (in thousands, except ratios):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To be Well Capitalized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330" w:type="dxa"/>
            <w:vAlign w:val="bottom"/>
            <w:gridSpan w:val="5"/>
          </w:tcPr>
          <w:p>
            <w:pPr>
              <w:jc w:val="right"/>
              <w:ind w:right="56"/>
              <w:spacing w:after="0"/>
              <w:rPr>
                <w:sz w:val="20"/>
                <w:szCs w:val="20"/>
                <w:color w:val="auto"/>
              </w:rPr>
            </w:pPr>
            <w:r>
              <w:rPr>
                <w:rFonts w:ascii="Arial" w:cs="Arial" w:eastAsia="Arial" w:hAnsi="Arial"/>
                <w:sz w:val="13"/>
                <w:szCs w:val="13"/>
                <w:b w:val="1"/>
                <w:bCs w:val="1"/>
                <w:color w:val="auto"/>
              </w:rPr>
              <w:t>Minimum Capital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8"/>
              </w:rPr>
              <w:t>Under Prompt Corrective</w:t>
            </w:r>
          </w:p>
        </w:tc>
      </w:tr>
      <w:tr>
        <w:trPr>
          <w:trHeight w:val="164"/>
        </w:trPr>
        <w:tc>
          <w:tcPr>
            <w:tcW w:w="2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Actual</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1330" w:type="dxa"/>
            <w:vAlign w:val="bottom"/>
            <w:tcBorders>
              <w:bottom w:val="single" w:sz="8" w:color="auto"/>
            </w:tcBorders>
            <w:gridSpan w:val="5"/>
          </w:tcPr>
          <w:p>
            <w:pPr>
              <w:jc w:val="right"/>
              <w:ind w:right="136"/>
              <w:spacing w:after="0"/>
              <w:rPr>
                <w:sz w:val="20"/>
                <w:szCs w:val="20"/>
                <w:color w:val="auto"/>
              </w:rPr>
            </w:pPr>
            <w:r>
              <w:rPr>
                <w:rFonts w:ascii="Arial" w:cs="Arial" w:eastAsia="Arial" w:hAnsi="Arial"/>
                <w:sz w:val="13"/>
                <w:szCs w:val="13"/>
                <w:b w:val="1"/>
                <w:bCs w:val="1"/>
                <w:color w:val="auto"/>
              </w:rPr>
              <w:t>Requirements</w:t>
            </w: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Action Provisions</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3"/>
                <w:szCs w:val="13"/>
                <w:b w:val="1"/>
                <w:bCs w:val="1"/>
                <w:color w:val="auto"/>
              </w:rPr>
              <w:t>Amount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b w:val="1"/>
                <w:bCs w:val="1"/>
                <w:color w:val="auto"/>
              </w:rPr>
              <w:t>Ratio</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1"/>
        </w:trPr>
        <w:tc>
          <w:tcPr>
            <w:tcW w:w="246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June 30, 2022:</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30" w:type="dxa"/>
            <w:vAlign w:val="bottom"/>
            <w:tcBorders>
              <w:top w:val="single" w:sz="8" w:color="auto"/>
            </w:tcBorders>
            <w:shd w:val="clear" w:color="auto" w:fill="CCEEFF"/>
          </w:tcPr>
          <w:p>
            <w:pPr>
              <w:spacing w:after="0"/>
              <w:rPr>
                <w:sz w:val="12"/>
                <w:szCs w:val="12"/>
                <w:color w:val="auto"/>
              </w:rPr>
            </w:pPr>
          </w:p>
        </w:tc>
        <w:tc>
          <w:tcPr>
            <w:tcW w:w="67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8"/>
        </w:trPr>
        <w:tc>
          <w:tcPr>
            <w:tcW w:w="2460" w:type="dxa"/>
            <w:vAlign w:val="bottom"/>
          </w:tcPr>
          <w:p>
            <w:pPr>
              <w:ind w:left="40"/>
              <w:spacing w:after="0"/>
              <w:rPr>
                <w:sz w:val="20"/>
                <w:szCs w:val="20"/>
                <w:color w:val="auto"/>
              </w:rPr>
            </w:pPr>
            <w:r>
              <w:rPr>
                <w:rFonts w:ascii="Arial" w:cs="Arial" w:eastAsia="Arial" w:hAnsi="Arial"/>
                <w:sz w:val="13"/>
                <w:szCs w:val="13"/>
                <w:color w:val="auto"/>
              </w:rPr>
              <w:t>Total risk-based 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2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USCB Financial Holdings, Inc.</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202,417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13.74</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117,842</w:t>
            </w:r>
          </w:p>
        </w:tc>
        <w:tc>
          <w:tcPr>
            <w:tcW w:w="80" w:type="dxa"/>
            <w:vAlign w:val="bottom"/>
            <w:tcBorders>
              <w:bottom w:val="single" w:sz="8" w:color="CCEEFF"/>
            </w:tcBorders>
            <w:gridSpan w:val="3"/>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147,302</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2460" w:type="dxa"/>
            <w:vAlign w:val="bottom"/>
          </w:tcPr>
          <w:p>
            <w:pPr>
              <w:ind w:left="140"/>
              <w:spacing w:after="0"/>
              <w:rPr>
                <w:sz w:val="20"/>
                <w:szCs w:val="20"/>
                <w:color w:val="auto"/>
              </w:rPr>
            </w:pPr>
            <w:r>
              <w:rPr>
                <w:rFonts w:ascii="Arial" w:cs="Arial" w:eastAsia="Arial" w:hAnsi="Arial"/>
                <w:sz w:val="13"/>
                <w:szCs w:val="13"/>
                <w:color w:val="auto"/>
              </w:rPr>
              <w:t>U.S. Century Bank</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201,314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13.67</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w w:val="86"/>
              </w:rPr>
              <w:t>%</w:t>
            </w:r>
          </w:p>
        </w:tc>
        <w:tc>
          <w:tcPr>
            <w:tcW w:w="40" w:type="dxa"/>
            <w:vAlign w:val="bottom"/>
          </w:tcPr>
          <w:p>
            <w:pPr>
              <w:spacing w:after="0"/>
              <w:rPr>
                <w:sz w:val="14"/>
                <w:szCs w:val="14"/>
                <w:color w:val="auto"/>
              </w:rPr>
            </w:pPr>
          </w:p>
        </w:tc>
        <w:tc>
          <w:tcPr>
            <w:tcW w:w="15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117,842</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8.00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147,302</w:t>
            </w:r>
          </w:p>
        </w:tc>
        <w:tc>
          <w:tcPr>
            <w:tcW w:w="760" w:type="dxa"/>
            <w:vAlign w:val="bottom"/>
            <w:gridSpan w:val="3"/>
          </w:tcPr>
          <w:p>
            <w:pPr>
              <w:jc w:val="right"/>
              <w:ind w:right="56"/>
              <w:spacing w:after="0"/>
              <w:rPr>
                <w:sz w:val="20"/>
                <w:szCs w:val="20"/>
                <w:color w:val="auto"/>
              </w:rPr>
            </w:pPr>
            <w:r>
              <w:rPr>
                <w:rFonts w:ascii="Arial" w:cs="Arial" w:eastAsia="Arial" w:hAnsi="Arial"/>
                <w:sz w:val="13"/>
                <w:szCs w:val="13"/>
                <w:color w:val="auto"/>
              </w:rPr>
              <w:t>10.00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51"/>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Tier 1 risk-based capital:</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67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2460" w:type="dxa"/>
            <w:vAlign w:val="bottom"/>
          </w:tcPr>
          <w:p>
            <w:pPr>
              <w:ind w:left="140"/>
              <w:spacing w:after="0"/>
              <w:rPr>
                <w:sz w:val="20"/>
                <w:szCs w:val="20"/>
                <w:color w:val="auto"/>
              </w:rPr>
            </w:pPr>
            <w:r>
              <w:rPr>
                <w:rFonts w:ascii="Arial" w:cs="Arial" w:eastAsia="Arial" w:hAnsi="Arial"/>
                <w:sz w:val="13"/>
                <w:szCs w:val="13"/>
                <w:color w:val="auto"/>
              </w:rPr>
              <w:t>USCB Financial Holdings, Inc.</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186,384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12.65</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w w:val="86"/>
              </w:rPr>
              <w:t>%</w:t>
            </w:r>
          </w:p>
        </w:tc>
        <w:tc>
          <w:tcPr>
            <w:tcW w:w="40" w:type="dxa"/>
            <w:vAlign w:val="bottom"/>
          </w:tcPr>
          <w:p>
            <w:pPr>
              <w:spacing w:after="0"/>
              <w:rPr>
                <w:sz w:val="14"/>
                <w:szCs w:val="14"/>
                <w:color w:val="auto"/>
              </w:rPr>
            </w:pPr>
          </w:p>
        </w:tc>
        <w:tc>
          <w:tcPr>
            <w:tcW w:w="15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88,381</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6.00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117,842</w:t>
            </w:r>
          </w:p>
        </w:tc>
        <w:tc>
          <w:tcPr>
            <w:tcW w:w="760" w:type="dxa"/>
            <w:vAlign w:val="bottom"/>
            <w:gridSpan w:val="3"/>
          </w:tcPr>
          <w:p>
            <w:pPr>
              <w:jc w:val="right"/>
              <w:ind w:right="36"/>
              <w:spacing w:after="0"/>
              <w:rPr>
                <w:sz w:val="20"/>
                <w:szCs w:val="20"/>
                <w:color w:val="auto"/>
              </w:rPr>
            </w:pPr>
            <w:r>
              <w:rPr>
                <w:rFonts w:ascii="Arial" w:cs="Arial" w:eastAsia="Arial" w:hAnsi="Arial"/>
                <w:sz w:val="13"/>
                <w:szCs w:val="13"/>
                <w:color w:val="auto"/>
              </w:rPr>
              <w:t>8.00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51"/>
        </w:trPr>
        <w:tc>
          <w:tcPr>
            <w:tcW w:w="2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U.S. Century Bank</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185,281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88,381</w:t>
            </w:r>
          </w:p>
        </w:tc>
        <w:tc>
          <w:tcPr>
            <w:tcW w:w="80" w:type="dxa"/>
            <w:vAlign w:val="bottom"/>
            <w:tcBorders>
              <w:bottom w:val="single" w:sz="8" w:color="CCEEFF"/>
            </w:tcBorders>
            <w:gridSpan w:val="3"/>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117,842</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8.00</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8"/>
        </w:trPr>
        <w:tc>
          <w:tcPr>
            <w:tcW w:w="2460" w:type="dxa"/>
            <w:vAlign w:val="bottom"/>
          </w:tcPr>
          <w:p>
            <w:pPr>
              <w:ind w:left="40"/>
              <w:spacing w:after="0"/>
              <w:rPr>
                <w:sz w:val="20"/>
                <w:szCs w:val="20"/>
                <w:color w:val="auto"/>
              </w:rPr>
            </w:pPr>
            <w:r>
              <w:rPr>
                <w:rFonts w:ascii="Arial" w:cs="Arial" w:eastAsia="Arial" w:hAnsi="Arial"/>
                <w:sz w:val="13"/>
                <w:szCs w:val="13"/>
                <w:color w:val="auto"/>
              </w:rPr>
              <w:t>Common equity tier 1 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2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USCB Financial Holdings, Inc.</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186,384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66,286</w:t>
            </w:r>
          </w:p>
        </w:tc>
        <w:tc>
          <w:tcPr>
            <w:tcW w:w="80" w:type="dxa"/>
            <w:vAlign w:val="bottom"/>
            <w:tcBorders>
              <w:bottom w:val="single" w:sz="8" w:color="CCEEFF"/>
            </w:tcBorders>
            <w:gridSpan w:val="3"/>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95,746</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6.50</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2460" w:type="dxa"/>
            <w:vAlign w:val="bottom"/>
          </w:tcPr>
          <w:p>
            <w:pPr>
              <w:ind w:left="140"/>
              <w:spacing w:after="0"/>
              <w:rPr>
                <w:sz w:val="20"/>
                <w:szCs w:val="20"/>
                <w:color w:val="auto"/>
              </w:rPr>
            </w:pPr>
            <w:r>
              <w:rPr>
                <w:rFonts w:ascii="Arial" w:cs="Arial" w:eastAsia="Arial" w:hAnsi="Arial"/>
                <w:sz w:val="13"/>
                <w:szCs w:val="13"/>
                <w:color w:val="auto"/>
              </w:rPr>
              <w:t>U.S. Century Bank</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185,281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12.58</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w w:val="86"/>
              </w:rPr>
              <w:t>%</w:t>
            </w:r>
          </w:p>
        </w:tc>
        <w:tc>
          <w:tcPr>
            <w:tcW w:w="40" w:type="dxa"/>
            <w:vAlign w:val="bottom"/>
          </w:tcPr>
          <w:p>
            <w:pPr>
              <w:spacing w:after="0"/>
              <w:rPr>
                <w:sz w:val="14"/>
                <w:szCs w:val="14"/>
                <w:color w:val="auto"/>
              </w:rPr>
            </w:pPr>
          </w:p>
        </w:tc>
        <w:tc>
          <w:tcPr>
            <w:tcW w:w="15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66,286</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4.50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95,746</w:t>
            </w:r>
          </w:p>
        </w:tc>
        <w:tc>
          <w:tcPr>
            <w:tcW w:w="760" w:type="dxa"/>
            <w:vAlign w:val="bottom"/>
            <w:gridSpan w:val="3"/>
          </w:tcPr>
          <w:p>
            <w:pPr>
              <w:jc w:val="right"/>
              <w:ind w:right="36"/>
              <w:spacing w:after="0"/>
              <w:rPr>
                <w:sz w:val="20"/>
                <w:szCs w:val="20"/>
                <w:color w:val="auto"/>
              </w:rPr>
            </w:pPr>
            <w:r>
              <w:rPr>
                <w:rFonts w:ascii="Arial" w:cs="Arial" w:eastAsia="Arial" w:hAnsi="Arial"/>
                <w:sz w:val="13"/>
                <w:szCs w:val="13"/>
                <w:color w:val="auto"/>
              </w:rPr>
              <w:t>6.50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51"/>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Leverage ratio:</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67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2460" w:type="dxa"/>
            <w:vAlign w:val="bottom"/>
          </w:tcPr>
          <w:p>
            <w:pPr>
              <w:ind w:left="140"/>
              <w:spacing w:after="0"/>
              <w:rPr>
                <w:sz w:val="20"/>
                <w:szCs w:val="20"/>
                <w:color w:val="auto"/>
              </w:rPr>
            </w:pPr>
            <w:r>
              <w:rPr>
                <w:rFonts w:ascii="Arial" w:cs="Arial" w:eastAsia="Arial" w:hAnsi="Arial"/>
                <w:sz w:val="13"/>
                <w:szCs w:val="13"/>
                <w:color w:val="auto"/>
              </w:rPr>
              <w:t>USCB Financial Holdings, Inc.</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186,384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9.43</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w w:val="86"/>
              </w:rPr>
              <w:t>%</w:t>
            </w:r>
          </w:p>
        </w:tc>
        <w:tc>
          <w:tcPr>
            <w:tcW w:w="40" w:type="dxa"/>
            <w:vAlign w:val="bottom"/>
          </w:tcPr>
          <w:p>
            <w:pPr>
              <w:spacing w:after="0"/>
              <w:rPr>
                <w:sz w:val="14"/>
                <w:szCs w:val="14"/>
                <w:color w:val="auto"/>
              </w:rPr>
            </w:pPr>
          </w:p>
        </w:tc>
        <w:tc>
          <w:tcPr>
            <w:tcW w:w="15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79,040</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4.00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98,800</w:t>
            </w:r>
          </w:p>
        </w:tc>
        <w:tc>
          <w:tcPr>
            <w:tcW w:w="760" w:type="dxa"/>
            <w:vAlign w:val="bottom"/>
            <w:gridSpan w:val="3"/>
          </w:tcPr>
          <w:p>
            <w:pPr>
              <w:jc w:val="right"/>
              <w:ind w:right="36"/>
              <w:spacing w:after="0"/>
              <w:rPr>
                <w:sz w:val="20"/>
                <w:szCs w:val="20"/>
                <w:color w:val="auto"/>
              </w:rPr>
            </w:pPr>
            <w:r>
              <w:rPr>
                <w:rFonts w:ascii="Arial" w:cs="Arial" w:eastAsia="Arial" w:hAnsi="Arial"/>
                <w:sz w:val="13"/>
                <w:szCs w:val="13"/>
                <w:color w:val="auto"/>
              </w:rPr>
              <w:t>5.00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71"/>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Century Bank</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185,281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79,040</w:t>
            </w:r>
          </w:p>
        </w:tc>
        <w:tc>
          <w:tcPr>
            <w:tcW w:w="80" w:type="dxa"/>
            <w:vAlign w:val="bottom"/>
            <w:gridSpan w:val="3"/>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98,800</w:t>
            </w:r>
          </w:p>
        </w:tc>
        <w:tc>
          <w:tcPr>
            <w:tcW w:w="60" w:type="dxa"/>
            <w:vAlign w:val="bottom"/>
            <w:gridSpan w:val="2"/>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170"/>
        </w:trPr>
        <w:tc>
          <w:tcPr>
            <w:tcW w:w="2460" w:type="dxa"/>
            <w:vAlign w:val="bottom"/>
          </w:tcPr>
          <w:p>
            <w:pPr>
              <w:ind w:left="40"/>
              <w:spacing w:after="0"/>
              <w:rPr>
                <w:sz w:val="20"/>
                <w:szCs w:val="20"/>
                <w:color w:val="auto"/>
              </w:rPr>
            </w:pPr>
            <w:r>
              <w:rPr>
                <w:rFonts w:ascii="Arial" w:cs="Arial" w:eastAsia="Arial" w:hAnsi="Arial"/>
                <w:sz w:val="13"/>
                <w:szCs w:val="13"/>
                <w:b w:val="1"/>
                <w:bCs w:val="1"/>
                <w:color w:val="auto"/>
              </w:rPr>
              <w:t>December 31, 2021:</w:t>
            </w:r>
            <w:r>
              <w:rPr>
                <w:rFonts w:ascii="Arial" w:cs="Arial" w:eastAsia="Arial" w:hAnsi="Arial"/>
                <w:sz w:val="7"/>
                <w:szCs w:val="7"/>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risk-based capital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186,735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100,125</w:t>
            </w:r>
          </w:p>
        </w:tc>
        <w:tc>
          <w:tcPr>
            <w:tcW w:w="80" w:type="dxa"/>
            <w:vAlign w:val="bottom"/>
            <w:gridSpan w:val="3"/>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125,157</w:t>
            </w:r>
          </w:p>
        </w:tc>
        <w:tc>
          <w:tcPr>
            <w:tcW w:w="60" w:type="dxa"/>
            <w:vAlign w:val="bottom"/>
            <w:gridSpan w:val="2"/>
            <w:shd w:val="clear" w:color="auto" w:fill="CCEEFF"/>
          </w:tcPr>
          <w:p>
            <w:pPr>
              <w:spacing w:after="0"/>
              <w:rPr>
                <w:sz w:val="14"/>
                <w:szCs w:val="14"/>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2460" w:type="dxa"/>
            <w:vAlign w:val="bottom"/>
          </w:tcPr>
          <w:p>
            <w:pPr>
              <w:ind w:left="40"/>
              <w:spacing w:after="0"/>
              <w:rPr>
                <w:sz w:val="20"/>
                <w:szCs w:val="20"/>
                <w:color w:val="auto"/>
              </w:rPr>
            </w:pPr>
            <w:r>
              <w:rPr>
                <w:rFonts w:ascii="Arial" w:cs="Arial" w:eastAsia="Arial" w:hAnsi="Arial"/>
                <w:sz w:val="13"/>
                <w:szCs w:val="13"/>
                <w:color w:val="auto"/>
              </w:rPr>
              <w:t>Tier 1 risk-based capital</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171,484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13.70</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w w:val="86"/>
              </w:rPr>
              <w:t>%</w:t>
            </w:r>
          </w:p>
        </w:tc>
        <w:tc>
          <w:tcPr>
            <w:tcW w:w="40" w:type="dxa"/>
            <w:vAlign w:val="bottom"/>
          </w:tcPr>
          <w:p>
            <w:pPr>
              <w:spacing w:after="0"/>
              <w:rPr>
                <w:sz w:val="14"/>
                <w:szCs w:val="14"/>
                <w:color w:val="auto"/>
              </w:rPr>
            </w:pPr>
          </w:p>
        </w:tc>
        <w:tc>
          <w:tcPr>
            <w:tcW w:w="15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75,094</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6.00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100,125</w:t>
            </w:r>
          </w:p>
        </w:tc>
        <w:tc>
          <w:tcPr>
            <w:tcW w:w="760" w:type="dxa"/>
            <w:vAlign w:val="bottom"/>
            <w:gridSpan w:val="3"/>
          </w:tcPr>
          <w:p>
            <w:pPr>
              <w:jc w:val="right"/>
              <w:ind w:right="36"/>
              <w:spacing w:after="0"/>
              <w:rPr>
                <w:sz w:val="20"/>
                <w:szCs w:val="20"/>
                <w:color w:val="auto"/>
              </w:rPr>
            </w:pPr>
            <w:r>
              <w:rPr>
                <w:rFonts w:ascii="Arial" w:cs="Arial" w:eastAsia="Arial" w:hAnsi="Arial"/>
                <w:sz w:val="13"/>
                <w:szCs w:val="13"/>
                <w:color w:val="auto"/>
              </w:rPr>
              <w:t>8.00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equity tier 1 capital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171,484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56,321</w:t>
            </w:r>
          </w:p>
        </w:tc>
        <w:tc>
          <w:tcPr>
            <w:tcW w:w="80" w:type="dxa"/>
            <w:vAlign w:val="bottom"/>
            <w:gridSpan w:val="3"/>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81,352</w:t>
            </w:r>
          </w:p>
        </w:tc>
        <w:tc>
          <w:tcPr>
            <w:tcW w:w="60" w:type="dxa"/>
            <w:vAlign w:val="bottom"/>
            <w:gridSpan w:val="2"/>
            <w:shd w:val="clear" w:color="auto" w:fill="CCEEFF"/>
          </w:tcPr>
          <w:p>
            <w:pPr>
              <w:spacing w:after="0"/>
              <w:rPr>
                <w:sz w:val="14"/>
                <w:szCs w:val="14"/>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177"/>
        </w:trPr>
        <w:tc>
          <w:tcPr>
            <w:tcW w:w="2460" w:type="dxa"/>
            <w:vAlign w:val="bottom"/>
          </w:tcPr>
          <w:p>
            <w:pPr>
              <w:ind w:left="40"/>
              <w:spacing w:after="0"/>
              <w:rPr>
                <w:sz w:val="20"/>
                <w:szCs w:val="20"/>
                <w:color w:val="auto"/>
              </w:rPr>
            </w:pPr>
            <w:r>
              <w:rPr>
                <w:rFonts w:ascii="Arial" w:cs="Arial" w:eastAsia="Arial" w:hAnsi="Arial"/>
                <w:sz w:val="13"/>
                <w:szCs w:val="13"/>
                <w:color w:val="auto"/>
              </w:rPr>
              <w:t>Leverage ratio</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171,484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9.55</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w w:val="86"/>
              </w:rPr>
              <w:t>%</w:t>
            </w:r>
          </w:p>
        </w:tc>
        <w:tc>
          <w:tcPr>
            <w:tcW w:w="40" w:type="dxa"/>
            <w:vAlign w:val="bottom"/>
          </w:tcPr>
          <w:p>
            <w:pPr>
              <w:spacing w:after="0"/>
              <w:rPr>
                <w:sz w:val="15"/>
                <w:szCs w:val="15"/>
                <w:color w:val="auto"/>
              </w:rPr>
            </w:pPr>
          </w:p>
        </w:tc>
        <w:tc>
          <w:tcPr>
            <w:tcW w:w="15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71,825</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4.00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89,781</w:t>
            </w:r>
          </w:p>
        </w:tc>
        <w:tc>
          <w:tcPr>
            <w:tcW w:w="760" w:type="dxa"/>
            <w:vAlign w:val="bottom"/>
            <w:gridSpan w:val="3"/>
          </w:tcPr>
          <w:p>
            <w:pPr>
              <w:jc w:val="right"/>
              <w:ind w:right="36"/>
              <w:spacing w:after="0"/>
              <w:rPr>
                <w:sz w:val="20"/>
                <w:szCs w:val="20"/>
                <w:color w:val="auto"/>
              </w:rPr>
            </w:pPr>
            <w:r>
              <w:rPr>
                <w:rFonts w:ascii="Arial" w:cs="Arial" w:eastAsia="Arial" w:hAnsi="Arial"/>
                <w:sz w:val="13"/>
                <w:szCs w:val="13"/>
                <w:color w:val="auto"/>
              </w:rPr>
              <w:t>5.00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bl>
    <w:p>
      <w:pPr>
        <w:spacing w:after="0" w:line="168" w:lineRule="exact"/>
        <w:rPr>
          <w:sz w:val="20"/>
          <w:szCs w:val="20"/>
          <w:color w:val="auto"/>
        </w:rPr>
      </w:pPr>
    </w:p>
    <w:p>
      <w:pPr>
        <w:ind w:left="700" w:right="859" w:hanging="5"/>
        <w:spacing w:after="0" w:line="284" w:lineRule="auto"/>
        <w:tabs>
          <w:tab w:leader="none" w:pos="904" w:val="left"/>
        </w:tabs>
        <w:numPr>
          <w:ilvl w:val="0"/>
          <w:numId w:val="22"/>
        </w:numPr>
        <w:rPr>
          <w:rFonts w:ascii="Arial" w:cs="Arial" w:eastAsia="Arial" w:hAnsi="Arial"/>
          <w:sz w:val="11"/>
          <w:szCs w:val="11"/>
          <w:color w:val="auto"/>
        </w:rPr>
      </w:pPr>
      <w:r>
        <w:rPr>
          <w:rFonts w:ascii="Arial" w:cs="Arial" w:eastAsia="Arial" w:hAnsi="Arial"/>
          <w:sz w:val="11"/>
          <w:szCs w:val="11"/>
          <w:color w:val="auto"/>
        </w:rPr>
        <w:t>As of December 31, 2021, the regulatory capital ratios for both USCB Financial Holdings, Inc. andU.S. Century Bank were the same since there was no activity between both of these entities.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88" w:lineRule="exact"/>
        <w:rPr>
          <w:sz w:val="20"/>
          <w:szCs w:val="20"/>
          <w:color w:val="auto"/>
        </w:rPr>
      </w:pPr>
    </w:p>
    <w:p>
      <w:pPr>
        <w:jc w:val="both"/>
        <w:ind w:left="660" w:right="639" w:firstLine="512"/>
        <w:spacing w:after="0" w:line="246"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 Inflation can also impact core non-interest expenses associated with delivering the Company’s services.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Consolidated Financial Statements on this Form 10-Q.</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77"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stockholders for the periods presented (in thousands, except per share data):</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3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33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3/31/2022</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12/31/2021</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9/30/2021</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6/30/2021</w:t>
            </w:r>
          </w:p>
        </w:tc>
        <w:tc>
          <w:tcPr>
            <w:tcW w:w="20" w:type="dxa"/>
            <w:vAlign w:val="bottom"/>
          </w:tcPr>
          <w:p>
            <w:pPr>
              <w:spacing w:after="0"/>
              <w:rPr>
                <w:sz w:val="13"/>
                <w:szCs w:val="13"/>
                <w:color w:val="auto"/>
              </w:rPr>
            </w:pPr>
          </w:p>
        </w:tc>
      </w:tr>
      <w:tr>
        <w:trPr>
          <w:trHeight w:val="151"/>
        </w:trPr>
        <w:tc>
          <w:tcPr>
            <w:tcW w:w="3320" w:type="dxa"/>
            <w:vAlign w:val="bottom"/>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Pre-Tax Pre-Provision ("PTPP") Income:</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6,593</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4,053</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2,088</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1,263</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(recovery of) credit losses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r>
      <w:tr>
        <w:trPr>
          <w:trHeight w:val="15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7,708</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43"/>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3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7,708</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6,712</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7,401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5,316</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PTPP return on average assets</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9"/>
              <w:spacing w:after="0"/>
              <w:rPr>
                <w:sz w:val="20"/>
                <w:szCs w:val="20"/>
                <w:color w:val="auto"/>
              </w:rPr>
            </w:pPr>
            <w:r>
              <w:rPr>
                <w:rFonts w:ascii="Arial" w:cs="Arial" w:eastAsia="Arial" w:hAnsi="Arial"/>
                <w:sz w:val="11"/>
                <w:szCs w:val="11"/>
                <w:color w:val="auto"/>
              </w:rPr>
              <w:t>1.57% $</w:t>
            </w:r>
          </w:p>
        </w:tc>
        <w:tc>
          <w:tcPr>
            <w:tcW w:w="880" w:type="dxa"/>
            <w:vAlign w:val="bottom"/>
            <w:gridSpan w:val="3"/>
          </w:tcPr>
          <w:p>
            <w:pPr>
              <w:jc w:val="right"/>
              <w:ind w:right="29"/>
              <w:spacing w:after="0"/>
              <w:rPr>
                <w:sz w:val="20"/>
                <w:szCs w:val="20"/>
                <w:color w:val="auto"/>
              </w:rPr>
            </w:pPr>
            <w:r>
              <w:rPr>
                <w:rFonts w:ascii="Arial" w:cs="Arial" w:eastAsia="Arial" w:hAnsi="Arial"/>
                <w:sz w:val="11"/>
                <w:szCs w:val="11"/>
                <w:color w:val="auto"/>
              </w:rPr>
              <w:t>1.42% $</w:t>
            </w:r>
          </w:p>
        </w:tc>
        <w:tc>
          <w:tcPr>
            <w:tcW w:w="860" w:type="dxa"/>
            <w:vAlign w:val="bottom"/>
            <w:gridSpan w:val="4"/>
          </w:tcPr>
          <w:p>
            <w:pPr>
              <w:jc w:val="right"/>
              <w:ind w:right="9"/>
              <w:spacing w:after="0"/>
              <w:rPr>
                <w:sz w:val="20"/>
                <w:szCs w:val="20"/>
                <w:color w:val="auto"/>
              </w:rPr>
            </w:pPr>
            <w:r>
              <w:rPr>
                <w:rFonts w:ascii="Arial" w:cs="Arial" w:eastAsia="Arial" w:hAnsi="Arial"/>
                <w:sz w:val="11"/>
                <w:szCs w:val="11"/>
                <w:color w:val="auto"/>
              </w:rPr>
              <w:t>1.61% $</w:t>
            </w:r>
          </w:p>
        </w:tc>
        <w:tc>
          <w:tcPr>
            <w:tcW w:w="880" w:type="dxa"/>
            <w:vAlign w:val="bottom"/>
            <w:gridSpan w:val="4"/>
          </w:tcPr>
          <w:p>
            <w:pPr>
              <w:jc w:val="right"/>
              <w:ind w:right="9"/>
              <w:spacing w:after="0"/>
              <w:rPr>
                <w:sz w:val="20"/>
                <w:szCs w:val="20"/>
                <w:color w:val="auto"/>
              </w:rPr>
            </w:pPr>
            <w:r>
              <w:rPr>
                <w:rFonts w:ascii="Arial" w:cs="Arial" w:eastAsia="Arial" w:hAnsi="Arial"/>
                <w:sz w:val="11"/>
                <w:szCs w:val="11"/>
                <w:color w:val="auto"/>
              </w:rPr>
              <w:t>1.98% $</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1.28%</w:t>
            </w:r>
          </w:p>
        </w:tc>
      </w:tr>
      <w:tr>
        <w:trPr>
          <w:trHeight w:val="171"/>
        </w:trPr>
        <w:tc>
          <w:tcPr>
            <w:tcW w:w="3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1"/>
                <w:szCs w:val="11"/>
                <w:b w:val="1"/>
                <w:bCs w:val="1"/>
                <w:color w:val="auto"/>
              </w:rPr>
              <w:t>Operating Net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21</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(46)</w:t>
            </w:r>
          </w:p>
        </w:tc>
      </w:tr>
      <w:tr>
        <w:trPr>
          <w:trHeight w:val="191"/>
        </w:trPr>
        <w:tc>
          <w:tcPr>
            <w:tcW w:w="3320" w:type="dxa"/>
            <w:vAlign w:val="bottom"/>
          </w:tcPr>
          <w:p>
            <w:pPr>
              <w:ind w:left="100"/>
              <w:spacing w:after="0"/>
              <w:rPr>
                <w:sz w:val="20"/>
                <w:szCs w:val="20"/>
                <w:color w:val="auto"/>
              </w:rPr>
            </w:pPr>
            <w:r>
              <w:rPr>
                <w:rFonts w:ascii="Arial" w:cs="Arial" w:eastAsia="Arial" w:hAnsi="Arial"/>
                <w:sz w:val="11"/>
                <w:szCs w:val="11"/>
                <w:color w:val="auto"/>
              </w:rPr>
              <w:t>Operating net income</w:t>
            </w: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5,297</w:t>
            </w:r>
          </w:p>
        </w:tc>
        <w:tc>
          <w:tcPr>
            <w:tcW w:w="20" w:type="dxa"/>
            <w:vAlign w:val="bottom"/>
          </w:tcPr>
          <w:p>
            <w:pPr>
              <w:spacing w:after="0"/>
              <w:rPr>
                <w:sz w:val="16"/>
                <w:szCs w:val="16"/>
                <w:color w:val="auto"/>
              </w:rPr>
            </w:pP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4,838</w:t>
            </w:r>
          </w:p>
        </w:tc>
        <w:tc>
          <w:tcPr>
            <w:tcW w:w="160" w:type="dxa"/>
            <w:vAlign w:val="bottom"/>
            <w:tcBorders>
              <w:top w:val="single" w:sz="8" w:color="auto"/>
            </w:tcBorders>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5,624</w:t>
            </w:r>
          </w:p>
        </w:tc>
        <w:tc>
          <w:tcPr>
            <w:tcW w:w="20" w:type="dxa"/>
            <w:vAlign w:val="bottom"/>
          </w:tcPr>
          <w:p>
            <w:pPr>
              <w:spacing w:after="0"/>
              <w:rPr>
                <w:sz w:val="16"/>
                <w:szCs w:val="16"/>
                <w:color w:val="auto"/>
              </w:rPr>
            </w:pP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6,646</w:t>
            </w:r>
          </w:p>
        </w:tc>
        <w:tc>
          <w:tcPr>
            <w:tcW w:w="20" w:type="dxa"/>
            <w:vAlign w:val="bottom"/>
          </w:tcPr>
          <w:p>
            <w:pPr>
              <w:spacing w:after="0"/>
              <w:rPr>
                <w:sz w:val="16"/>
                <w:szCs w:val="16"/>
                <w:color w:val="auto"/>
              </w:rPr>
            </w:pP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3,912</w:t>
            </w:r>
          </w:p>
        </w:tc>
        <w:tc>
          <w:tcPr>
            <w:tcW w:w="20" w:type="dxa"/>
            <w:vAlign w:val="bottom"/>
          </w:tcPr>
          <w:p>
            <w:pPr>
              <w:spacing w:after="0"/>
              <w:rPr>
                <w:sz w:val="16"/>
                <w:szCs w:val="16"/>
                <w:color w:val="auto"/>
              </w:rPr>
            </w:pPr>
          </w:p>
        </w:tc>
      </w:tr>
      <w:tr>
        <w:trPr>
          <w:trHeight w:val="111"/>
        </w:trPr>
        <w:tc>
          <w:tcPr>
            <w:tcW w:w="33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1"/>
                <w:szCs w:val="11"/>
                <w:b w:val="1"/>
                <w:bCs w:val="1"/>
                <w:color w:val="auto"/>
              </w:rPr>
              <w:t>Operating PTPP Income:</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7,708</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21</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4"/>
                <w:szCs w:val="14"/>
                <w:color w:val="auto"/>
              </w:rPr>
            </w:pPr>
          </w:p>
        </w:tc>
      </w:tr>
      <w:tr>
        <w:trPr>
          <w:trHeight w:val="151"/>
        </w:trPr>
        <w:tc>
          <w:tcPr>
            <w:tcW w:w="3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Operating PTPP Income</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7,711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6,691</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7,366</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8,751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5,129</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3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7,711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6,691</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7,366</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8,751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5,129</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Operating PTPP Return on average assets</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9"/>
              <w:spacing w:after="0"/>
              <w:rPr>
                <w:sz w:val="20"/>
                <w:szCs w:val="20"/>
                <w:color w:val="auto"/>
              </w:rPr>
            </w:pPr>
            <w:r>
              <w:rPr>
                <w:rFonts w:ascii="Arial" w:cs="Arial" w:eastAsia="Arial" w:hAnsi="Arial"/>
                <w:sz w:val="11"/>
                <w:szCs w:val="11"/>
                <w:color w:val="auto"/>
              </w:rPr>
              <w:t>1.57% $</w:t>
            </w:r>
          </w:p>
        </w:tc>
        <w:tc>
          <w:tcPr>
            <w:tcW w:w="880" w:type="dxa"/>
            <w:vAlign w:val="bottom"/>
            <w:gridSpan w:val="3"/>
          </w:tcPr>
          <w:p>
            <w:pPr>
              <w:jc w:val="right"/>
              <w:ind w:right="29"/>
              <w:spacing w:after="0"/>
              <w:rPr>
                <w:sz w:val="20"/>
                <w:szCs w:val="20"/>
                <w:color w:val="auto"/>
              </w:rPr>
            </w:pPr>
            <w:r>
              <w:rPr>
                <w:rFonts w:ascii="Arial" w:cs="Arial" w:eastAsia="Arial" w:hAnsi="Arial"/>
                <w:sz w:val="11"/>
                <w:szCs w:val="11"/>
                <w:color w:val="auto"/>
              </w:rPr>
              <w:t>1.42% $</w:t>
            </w:r>
          </w:p>
        </w:tc>
        <w:tc>
          <w:tcPr>
            <w:tcW w:w="860" w:type="dxa"/>
            <w:vAlign w:val="bottom"/>
            <w:gridSpan w:val="4"/>
          </w:tcPr>
          <w:p>
            <w:pPr>
              <w:jc w:val="right"/>
              <w:ind w:right="9"/>
              <w:spacing w:after="0"/>
              <w:rPr>
                <w:sz w:val="20"/>
                <w:szCs w:val="20"/>
                <w:color w:val="auto"/>
              </w:rPr>
            </w:pPr>
            <w:r>
              <w:rPr>
                <w:rFonts w:ascii="Arial" w:cs="Arial" w:eastAsia="Arial" w:hAnsi="Arial"/>
                <w:sz w:val="11"/>
                <w:szCs w:val="11"/>
                <w:color w:val="auto"/>
              </w:rPr>
              <w:t>1.60% $</w:t>
            </w:r>
          </w:p>
        </w:tc>
        <w:tc>
          <w:tcPr>
            <w:tcW w:w="880" w:type="dxa"/>
            <w:vAlign w:val="bottom"/>
            <w:gridSpan w:val="4"/>
          </w:tcPr>
          <w:p>
            <w:pPr>
              <w:jc w:val="right"/>
              <w:ind w:right="9"/>
              <w:spacing w:after="0"/>
              <w:rPr>
                <w:sz w:val="20"/>
                <w:szCs w:val="20"/>
                <w:color w:val="auto"/>
              </w:rPr>
            </w:pPr>
            <w:r>
              <w:rPr>
                <w:rFonts w:ascii="Arial" w:cs="Arial" w:eastAsia="Arial" w:hAnsi="Arial"/>
                <w:sz w:val="11"/>
                <w:szCs w:val="11"/>
                <w:color w:val="auto"/>
              </w:rPr>
              <w:t>1.99% $</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1.24%</w:t>
            </w:r>
          </w:p>
        </w:tc>
      </w:tr>
      <w:tr>
        <w:trPr>
          <w:trHeight w:val="171"/>
        </w:trPr>
        <w:tc>
          <w:tcPr>
            <w:tcW w:w="3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4,838</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5,624</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6,646</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3,912</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1,913,484</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return on average assets</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9"/>
              <w:spacing w:after="0"/>
              <w:rPr>
                <w:sz w:val="20"/>
                <w:szCs w:val="20"/>
                <w:color w:val="auto"/>
              </w:rPr>
            </w:pPr>
            <w:r>
              <w:rPr>
                <w:rFonts w:ascii="Arial" w:cs="Arial" w:eastAsia="Arial" w:hAnsi="Arial"/>
                <w:sz w:val="11"/>
                <w:szCs w:val="11"/>
                <w:color w:val="auto"/>
              </w:rPr>
              <w:t>1.08% $</w:t>
            </w:r>
          </w:p>
        </w:tc>
        <w:tc>
          <w:tcPr>
            <w:tcW w:w="880" w:type="dxa"/>
            <w:vAlign w:val="bottom"/>
            <w:gridSpan w:val="3"/>
            <w:shd w:val="clear" w:color="auto" w:fill="CCEEFF"/>
          </w:tcPr>
          <w:p>
            <w:pPr>
              <w:jc w:val="right"/>
              <w:ind w:right="29"/>
              <w:spacing w:after="0"/>
              <w:rPr>
                <w:sz w:val="20"/>
                <w:szCs w:val="20"/>
                <w:color w:val="auto"/>
              </w:rPr>
            </w:pPr>
            <w:r>
              <w:rPr>
                <w:rFonts w:ascii="Arial" w:cs="Arial" w:eastAsia="Arial" w:hAnsi="Arial"/>
                <w:sz w:val="11"/>
                <w:szCs w:val="11"/>
                <w:color w:val="auto"/>
              </w:rPr>
              <w:t>1.03% $</w:t>
            </w:r>
          </w:p>
        </w:tc>
        <w:tc>
          <w:tcPr>
            <w:tcW w:w="860" w:type="dxa"/>
            <w:vAlign w:val="bottom"/>
            <w:gridSpan w:val="4"/>
            <w:shd w:val="clear" w:color="auto" w:fill="CCEEFF"/>
          </w:tcPr>
          <w:p>
            <w:pPr>
              <w:jc w:val="right"/>
              <w:ind w:right="9"/>
              <w:spacing w:after="0"/>
              <w:rPr>
                <w:sz w:val="20"/>
                <w:szCs w:val="20"/>
                <w:color w:val="auto"/>
              </w:rPr>
            </w:pPr>
            <w:r>
              <w:rPr>
                <w:rFonts w:ascii="Arial" w:cs="Arial" w:eastAsia="Arial" w:hAnsi="Arial"/>
                <w:sz w:val="11"/>
                <w:szCs w:val="11"/>
                <w:color w:val="auto"/>
              </w:rPr>
              <w:t>1.22% $</w:t>
            </w:r>
          </w:p>
        </w:tc>
        <w:tc>
          <w:tcPr>
            <w:tcW w:w="880" w:type="dxa"/>
            <w:vAlign w:val="bottom"/>
            <w:gridSpan w:val="4"/>
            <w:shd w:val="clear" w:color="auto" w:fill="CCEEFF"/>
          </w:tcPr>
          <w:p>
            <w:pPr>
              <w:jc w:val="right"/>
              <w:ind w:right="9"/>
              <w:spacing w:after="0"/>
              <w:rPr>
                <w:sz w:val="20"/>
                <w:szCs w:val="20"/>
                <w:color w:val="auto"/>
              </w:rPr>
            </w:pPr>
            <w:r>
              <w:rPr>
                <w:rFonts w:ascii="Arial" w:cs="Arial" w:eastAsia="Arial" w:hAnsi="Arial"/>
                <w:sz w:val="11"/>
                <w:szCs w:val="11"/>
                <w:color w:val="auto"/>
              </w:rPr>
              <w:t>1.51% $</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0.95%</w:t>
            </w:r>
          </w:p>
        </w:tc>
      </w:tr>
    </w:tbl>
    <w:p>
      <w:pPr>
        <w:spacing w:after="0" w:line="217" w:lineRule="exact"/>
        <w:rPr>
          <w:sz w:val="20"/>
          <w:szCs w:val="20"/>
          <w:color w:val="auto"/>
        </w:rPr>
      </w:pPr>
    </w:p>
    <w:p>
      <w:pPr>
        <w:ind w:left="860" w:hanging="197"/>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a key indicator of the ongoing earnings power of the Company.</w:t>
      </w:r>
    </w:p>
    <w:p>
      <w:pPr>
        <w:spacing w:after="0" w:line="86" w:lineRule="exact"/>
        <w:rPr>
          <w:rFonts w:ascii="Arial" w:cs="Arial" w:eastAsia="Arial" w:hAnsi="Arial"/>
          <w:sz w:val="11"/>
          <w:szCs w:val="11"/>
          <w:color w:val="auto"/>
        </w:rPr>
      </w:pPr>
    </w:p>
    <w:p>
      <w:pPr>
        <w:ind w:left="840" w:hanging="177"/>
        <w:spacing w:after="0"/>
        <w:tabs>
          <w:tab w:leader="none" w:pos="84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91" w:lineRule="exact"/>
        <w:rPr>
          <w:sz w:val="20"/>
          <w:szCs w:val="20"/>
          <w:color w:val="auto"/>
        </w:rPr>
      </w:pPr>
    </w:p>
    <w:p>
      <w:pPr>
        <w:ind w:left="5160"/>
        <w:spacing w:after="0"/>
        <w:rPr>
          <w:sz w:val="20"/>
          <w:szCs w:val="20"/>
          <w:color w:val="auto"/>
        </w:rPr>
      </w:pPr>
      <w:r>
        <w:rPr>
          <w:rFonts w:ascii="Arial" w:cs="Arial" w:eastAsia="Arial" w:hAnsi="Arial"/>
          <w:sz w:val="11"/>
          <w:szCs w:val="11"/>
          <w:b w:val="1"/>
          <w:bCs w:val="1"/>
          <w:color w:val="auto"/>
        </w:rPr>
        <w:t>As of or For the Three Months Ended</w:t>
      </w:r>
    </w:p>
    <w:p>
      <w:pPr>
        <w:spacing w:after="0" w:line="44" w:lineRule="exact"/>
        <w:rPr>
          <w:sz w:val="20"/>
          <w:szCs w:val="20"/>
          <w:color w:val="auto"/>
        </w:rPr>
      </w:pPr>
    </w:p>
    <w:tbl>
      <w:tblPr>
        <w:tblLayout w:type="fixed"/>
        <w:tblInd w:w="660" w:type="dxa"/>
        <w:tblCellMar>
          <w:top w:w="0" w:type="dxa"/>
          <w:left w:w="0" w:type="dxa"/>
          <w:bottom w:w="0" w:type="dxa"/>
          <w:right w:w="0" w:type="dxa"/>
        </w:tblCellMar>
      </w:tblPr>
      <w:tr>
        <w:trPr>
          <w:trHeight w:val="140"/>
        </w:trPr>
        <w:tc>
          <w:tcPr>
            <w:tcW w:w="33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6/30/2022</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3/31/2022</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12/31/2021</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9/30/2021</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6/30/2021</w:t>
            </w:r>
          </w:p>
        </w:tc>
        <w:tc>
          <w:tcPr>
            <w:tcW w:w="20" w:type="dxa"/>
            <w:vAlign w:val="bottom"/>
          </w:tcPr>
          <w:p>
            <w:pPr>
              <w:spacing w:after="0"/>
              <w:rPr>
                <w:sz w:val="12"/>
                <w:szCs w:val="12"/>
                <w:color w:val="auto"/>
              </w:rPr>
            </w:pPr>
          </w:p>
        </w:tc>
      </w:tr>
      <w:tr>
        <w:trPr>
          <w:trHeight w:val="160"/>
        </w:trPr>
        <w:tc>
          <w:tcPr>
            <w:tcW w:w="3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320" w:type="dxa"/>
            <w:vAlign w:val="bottom"/>
          </w:tcPr>
          <w:p>
            <w:pPr>
              <w:ind w:left="200"/>
              <w:spacing w:after="0"/>
              <w:rPr>
                <w:sz w:val="20"/>
                <w:szCs w:val="20"/>
                <w:color w:val="auto"/>
              </w:rPr>
            </w:pPr>
            <w:r>
              <w:rPr>
                <w:rFonts w:ascii="Arial" w:cs="Arial" w:eastAsia="Arial" w:hAnsi="Arial"/>
                <w:sz w:val="11"/>
                <w:szCs w:val="11"/>
                <w:color w:val="auto"/>
              </w:rPr>
              <w:t>Total stockholders' equity (GAAP)</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180,068</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192,039</w:t>
            </w: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203,897</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201,918</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166,302</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Less: Intangible 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r>
      <w:tr>
        <w:trPr>
          <w:trHeight w:val="160"/>
        </w:trPr>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Less: Preferred stock</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24,616</w:t>
            </w:r>
          </w:p>
        </w:tc>
        <w:tc>
          <w:tcPr>
            <w:tcW w:w="20" w:type="dxa"/>
            <w:vAlign w:val="bottom"/>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33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Tangible stockholders' equity (non-GAAP)</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180,068</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192,039</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141,686</w:t>
            </w:r>
          </w:p>
        </w:tc>
        <w:tc>
          <w:tcPr>
            <w:tcW w:w="20" w:type="dxa"/>
            <w:vAlign w:val="bottom"/>
            <w:shd w:val="clear" w:color="auto" w:fill="CCEEFF"/>
          </w:tcPr>
          <w:p>
            <w:pPr>
              <w:spacing w:after="0"/>
              <w:rPr>
                <w:sz w:val="12"/>
                <w:szCs w:val="12"/>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b w:val="1"/>
                <w:bCs w:val="1"/>
                <w:color w:val="auto"/>
              </w:rPr>
              <w:t>Total shares issued and outstanding (at period-end):</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Class A common shares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18,767,541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shd w:val="clear" w:color="auto" w:fill="CCEEFF"/>
          </w:tcPr>
          <w:p>
            <w:pPr>
              <w:spacing w:after="0"/>
              <w:rPr>
                <w:sz w:val="14"/>
                <w:szCs w:val="14"/>
                <w:color w:val="auto"/>
              </w:rPr>
            </w:pPr>
          </w:p>
        </w:tc>
      </w:tr>
      <w:tr>
        <w:trPr>
          <w:trHeight w:val="160"/>
        </w:trPr>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Class B common 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1,224,212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1,224,212</w:t>
            </w:r>
          </w:p>
        </w:tc>
        <w:tc>
          <w:tcPr>
            <w:tcW w:w="20" w:type="dxa"/>
            <w:vAlign w:val="bottom"/>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3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5,113,681</w:t>
            </w:r>
          </w:p>
        </w:tc>
        <w:tc>
          <w:tcPr>
            <w:tcW w:w="20" w:type="dxa"/>
            <w:vAlign w:val="bottom"/>
            <w:tcBorders>
              <w:bottom w:val="single" w:sz="8" w:color="CCEEFF"/>
            </w:tcBorders>
            <w:shd w:val="clear" w:color="auto" w:fill="CCEEFF"/>
          </w:tcPr>
          <w:p>
            <w:pPr>
              <w:spacing w:after="0"/>
              <w:rPr>
                <w:sz w:val="11"/>
                <w:szCs w:val="11"/>
                <w:color w:val="auto"/>
              </w:rPr>
            </w:pPr>
          </w:p>
        </w:tc>
      </w:tr>
      <w:tr>
        <w:trPr>
          <w:trHeight w:val="201"/>
        </w:trPr>
        <w:tc>
          <w:tcPr>
            <w:tcW w:w="3320" w:type="dxa"/>
            <w:vAlign w:val="bottom"/>
          </w:tcPr>
          <w:p>
            <w:pPr>
              <w:ind w:left="200"/>
              <w:spacing w:after="0"/>
              <w:rPr>
                <w:sz w:val="20"/>
                <w:szCs w:val="20"/>
                <w:color w:val="auto"/>
              </w:rPr>
            </w:pPr>
            <w:r>
              <w:rPr>
                <w:rFonts w:ascii="Arial" w:cs="Arial" w:eastAsia="Arial" w:hAnsi="Arial"/>
                <w:sz w:val="11"/>
                <w:szCs w:val="11"/>
                <w:color w:val="auto"/>
              </w:rPr>
              <w:t>Tangible book value per common share (non-GAAP)</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9.00</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9.60</w:t>
            </w: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10.20</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10.10</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27.71</w:t>
            </w:r>
          </w:p>
        </w:tc>
        <w:tc>
          <w:tcPr>
            <w:tcW w:w="20" w:type="dxa"/>
            <w:vAlign w:val="bottom"/>
          </w:tcPr>
          <w:p>
            <w:pPr>
              <w:spacing w:after="0"/>
              <w:rPr>
                <w:sz w:val="17"/>
                <w:szCs w:val="17"/>
                <w:color w:val="auto"/>
              </w:rPr>
            </w:pPr>
          </w:p>
        </w:tc>
      </w:tr>
      <w:tr>
        <w:trPr>
          <w:trHeight w:val="111"/>
        </w:trPr>
        <w:tc>
          <w:tcPr>
            <w:tcW w:w="33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bl>
    <w:p>
      <w:pPr>
        <w:spacing w:after="0" w:line="10" w:lineRule="exact"/>
        <w:rPr>
          <w:sz w:val="20"/>
          <w:szCs w:val="20"/>
          <w:color w:val="auto"/>
        </w:rPr>
      </w:pPr>
    </w:p>
    <w:p>
      <w:pPr>
        <w:ind w:left="660"/>
        <w:spacing w:after="0"/>
        <w:rPr>
          <w:sz w:val="20"/>
          <w:szCs w:val="20"/>
          <w:color w:val="auto"/>
        </w:rPr>
      </w:pPr>
      <w:r>
        <w:rPr>
          <w:rFonts w:ascii="Arial" w:cs="Arial" w:eastAsia="Arial" w:hAnsi="Arial"/>
          <w:sz w:val="11"/>
          <w:szCs w:val="11"/>
          <w:b w:val="1"/>
          <w:bCs w:val="1"/>
          <w:color w:val="auto"/>
        </w:rPr>
        <w:t>Operating net income available to common stockholders:</w:t>
      </w:r>
      <w:r>
        <w:rPr>
          <w:rFonts w:ascii="Arial" w:cs="Arial" w:eastAsia="Arial" w:hAnsi="Arial"/>
          <w:sz w:val="14"/>
          <w:szCs w:val="14"/>
          <w:color w:val="auto"/>
          <w:vertAlign w:val="superscript"/>
        </w:rPr>
        <w:t>(1)</w:t>
      </w:r>
    </w:p>
    <w:p>
      <w:pPr>
        <w:spacing w:after="0" w:line="20"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(GAAP)</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Less: Preferred dividends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Less: Exchange and redemption of preferred shares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3360" w:type="dxa"/>
            <w:vAlign w:val="bottom"/>
            <w:gridSpan w:val="3"/>
          </w:tcPr>
          <w:p>
            <w:pPr>
              <w:ind w:left="180"/>
              <w:spacing w:after="0"/>
              <w:rPr>
                <w:sz w:val="20"/>
                <w:szCs w:val="20"/>
                <w:color w:val="auto"/>
              </w:rPr>
            </w:pPr>
            <w:r>
              <w:rPr>
                <w:rFonts w:ascii="Arial" w:cs="Arial" w:eastAsia="Arial" w:hAnsi="Arial"/>
                <w:sz w:val="11"/>
                <w:szCs w:val="11"/>
                <w:color w:val="auto"/>
              </w:rPr>
              <w:t>Net income (loss) available to common stockholders (GAAP)</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(83,534)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Add back: Exchange and redemption of preferredshares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Operating net income avail. to common stock (non-GAAP)</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6,051</w:t>
            </w:r>
          </w:p>
        </w:tc>
        <w:tc>
          <w:tcPr>
            <w:tcW w:w="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332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Allocation of operating net income per common stock class:</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4"/>
                <w:szCs w:val="1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4"/>
                <w:szCs w:val="1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5,598</w:t>
            </w:r>
          </w:p>
        </w:tc>
        <w:tc>
          <w:tcPr>
            <w:tcW w:w="20" w:type="dxa"/>
            <w:vAlign w:val="bottom"/>
          </w:tcPr>
          <w:p>
            <w:pPr>
              <w:spacing w:after="0"/>
              <w:rPr>
                <w:sz w:val="14"/>
                <w:szCs w:val="1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2,509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 common stock</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gridSpan w:val="2"/>
          </w:tcPr>
          <w:p>
            <w:pPr>
              <w:ind w:left="100"/>
              <w:spacing w:after="0"/>
              <w:rPr>
                <w:sz w:val="20"/>
                <w:szCs w:val="20"/>
                <w:color w:val="auto"/>
              </w:rPr>
            </w:pPr>
            <w:r>
              <w:rPr>
                <w:rFonts w:ascii="Arial" w:cs="Arial" w:eastAsia="Arial" w:hAnsi="Arial"/>
                <w:sz w:val="11"/>
                <w:szCs w:val="11"/>
                <w:b w:val="1"/>
                <w:bCs w:val="1"/>
                <w:color w:val="auto"/>
              </w:rPr>
              <w:t>Weighted average shares 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Basic</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19,994,953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18,913,914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15,121,460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20,171,261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20,109,783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19,023,686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15,187,729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3,933,636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 xml:space="preserve">Diluted EPS: </w:t>
            </w:r>
            <w:r>
              <w:rPr>
                <w:rFonts w:ascii="Arial" w:cs="Arial" w:eastAsia="Arial" w:hAnsi="Arial"/>
                <w:sz w:val="14"/>
                <w:szCs w:val="14"/>
                <w:color w:val="auto"/>
                <w:vertAlign w:val="superscript"/>
              </w:rPr>
              <w:t>(3) (4)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diluted share (GAAP)</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(5.11)</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Add back: Exchange and redemption of preferredshares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5.48</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Operating net income per diluted share (non-GAAP)</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0.37</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vMerge w:val="restart"/>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0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diluted share (GAAP)</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Add back: Exchange and redemption of preferredshares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Operating net income per diluted share (non-GAAP)</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0.07</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60" w:hanging="197"/>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a key indicator of the ongoing earnings power of the Company.</w:t>
      </w:r>
    </w:p>
    <w:p>
      <w:pPr>
        <w:spacing w:after="0" w:line="44" w:lineRule="exact"/>
        <w:rPr>
          <w:rFonts w:ascii="Arial" w:cs="Arial" w:eastAsia="Arial" w:hAnsi="Arial"/>
          <w:sz w:val="11"/>
          <w:szCs w:val="11"/>
          <w:color w:val="auto"/>
        </w:rPr>
      </w:pPr>
    </w:p>
    <w:p>
      <w:pPr>
        <w:jc w:val="both"/>
        <w:ind w:left="660" w:right="859" w:firstLine="3"/>
        <w:spacing w:after="0" w:line="247" w:lineRule="auto"/>
        <w:tabs>
          <w:tab w:leader="none" w:pos="864" w:val="left"/>
        </w:tabs>
        <w:numPr>
          <w:ilvl w:val="0"/>
          <w:numId w:val="24"/>
        </w:numPr>
        <w:rPr>
          <w:rFonts w:ascii="Arial" w:cs="Arial" w:eastAsia="Arial" w:hAnsi="Arial"/>
          <w:sz w:val="11"/>
          <w:szCs w:val="11"/>
          <w:color w:val="auto"/>
        </w:rPr>
      </w:pPr>
      <w:r>
        <w:rPr>
          <w:rFonts w:ascii="Arial" w:cs="Arial" w:eastAsia="Arial" w:hAnsi="Arial"/>
          <w:sz w:val="11"/>
          <w:szCs w:val="11"/>
          <w:color w:val="auto"/>
        </w:rPr>
        <w:t>During the quarter ended September 30, 2021, 47,473 shares of Class C preferred stock and 11,061,552 shares of Class D preferred stock were exchanged for an aggregate of 10,278,072 shares of Class A common stock. Additionally, the Bank completed the initial public offering of its Class A common stock on July 27, 2021, in which it issued 4,600,000 shares of Class A common stock. As such, the total shares issued and outstanding of Class A common stock was 18,767,541 shares at September 30, 2021.</w:t>
      </w:r>
    </w:p>
    <w:p>
      <w:pPr>
        <w:spacing w:after="0" w:line="2" w:lineRule="exact"/>
        <w:rPr>
          <w:rFonts w:ascii="Arial" w:cs="Arial" w:eastAsia="Arial" w:hAnsi="Arial"/>
          <w:sz w:val="11"/>
          <w:szCs w:val="11"/>
          <w:color w:val="auto"/>
        </w:rPr>
      </w:pPr>
    </w:p>
    <w:p>
      <w:pPr>
        <w:ind w:left="660" w:right="939" w:firstLine="3"/>
        <w:spacing w:after="0" w:line="263" w:lineRule="auto"/>
        <w:tabs>
          <w:tab w:leader="none" w:pos="864" w:val="left"/>
        </w:tabs>
        <w:numPr>
          <w:ilvl w:val="0"/>
          <w:numId w:val="24"/>
        </w:numPr>
        <w:rPr>
          <w:rFonts w:ascii="Arial" w:cs="Arial" w:eastAsia="Arial" w:hAnsi="Arial"/>
          <w:sz w:val="11"/>
          <w:szCs w:val="11"/>
          <w:color w:val="auto"/>
        </w:rPr>
      </w:pPr>
      <w:r>
        <w:rPr>
          <w:rFonts w:ascii="Arial" w:cs="Arial" w:eastAsia="Arial" w:hAnsi="Arial"/>
          <w:sz w:val="11"/>
          <w:szCs w:val="11"/>
          <w:color w:val="auto"/>
        </w:rPr>
        <w:t>During the quarter ended September 30, 2021, basic net loss per share is the same as diluted net loss per share as the inclusion of all potential common shares outstanding would have been antidilutive.</w:t>
      </w:r>
    </w:p>
    <w:p>
      <w:pPr>
        <w:spacing w:after="0" w:line="21" w:lineRule="exact"/>
        <w:rPr>
          <w:rFonts w:ascii="Arial" w:cs="Arial" w:eastAsia="Arial" w:hAnsi="Arial"/>
          <w:sz w:val="11"/>
          <w:szCs w:val="11"/>
          <w:color w:val="auto"/>
        </w:rPr>
      </w:pPr>
    </w:p>
    <w:p>
      <w:pPr>
        <w:ind w:left="660" w:right="699" w:firstLine="3"/>
        <w:spacing w:after="0" w:line="253" w:lineRule="auto"/>
        <w:tabs>
          <w:tab w:leader="none" w:pos="864" w:val="left"/>
        </w:tabs>
        <w:numPr>
          <w:ilvl w:val="0"/>
          <w:numId w:val="24"/>
        </w:numPr>
        <w:rPr>
          <w:rFonts w:ascii="Arial" w:cs="Arial" w:eastAsia="Arial" w:hAnsi="Arial"/>
          <w:sz w:val="11"/>
          <w:szCs w:val="11"/>
          <w:color w:val="auto"/>
        </w:rPr>
      </w:pPr>
      <w:r>
        <w:rPr>
          <w:rFonts w:ascii="Arial" w:cs="Arial" w:eastAsia="Arial" w:hAnsi="Arial"/>
          <w:sz w:val="11"/>
          <w:szCs w:val="11"/>
          <w:color w:val="auto"/>
        </w:rPr>
        <w:t>During the quarter ended December 31, 2021, the Company entered into agreements with the Class B shareholders to exchange all outstanding shares of Class B non-voting stock for Class A voting common stock at a ratio of 5 to 1. In calculating net income (loss) per diluted share for the prior quarters presented, the allocation of operating net incomeavailable to common stockholders was based on the weighted average shares outstanding per common share class to the total weighted averageshares outstanding during each period. The operating net income allocation was calculated using the weighted average shares outstanding of Class B common stock on a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88"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Exchange Act) as of June 30, 2022.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Form 10-Q.</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7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Legal Proceedings</w:t>
      </w:r>
    </w:p>
    <w:p>
      <w:pPr>
        <w:spacing w:after="0" w:line="188" w:lineRule="exact"/>
        <w:rPr>
          <w:sz w:val="20"/>
          <w:szCs w:val="20"/>
          <w:color w:val="auto"/>
        </w:rPr>
      </w:pPr>
    </w:p>
    <w:p>
      <w:pPr>
        <w:jc w:val="both"/>
        <w:ind w:left="660" w:right="619" w:firstLine="256"/>
        <w:spacing w:after="0" w:line="249"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88"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2021 Form 10-K. There have been no material changes from the risk factors previously disclosed in the 2021 Form 10-K.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88" w:lineRule="exact"/>
        <w:rPr>
          <w:sz w:val="20"/>
          <w:szCs w:val="20"/>
          <w:color w:val="auto"/>
        </w:rPr>
      </w:pPr>
    </w:p>
    <w:p>
      <w:pPr>
        <w:jc w:val="both"/>
        <w:ind w:left="660" w:right="679" w:firstLine="259"/>
        <w:spacing w:after="0" w:line="244" w:lineRule="auto"/>
        <w:tabs>
          <w:tab w:leader="none" w:pos="1128"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February 28, 2022, stock options previously granted to a former Board member of the Company, pursuant to the Amended and Restated 2015 Equity Incentive Plan covering 9,000 shares of Class A common stock at an exercise price per share of $11.35 of the Company were exercised for an aggregate amount of $102 thousand. The options were issued while the former Board member was still serving as a director and prior to the issuer becoming a reporting company under the Exchange Act. The shares of Class A common stock subject to the exercised options were issued pursuant to the exemption provided by Rule 701 of the Securities Act of 1933.</w:t>
      </w:r>
    </w:p>
    <w:p>
      <w:pPr>
        <w:spacing w:after="0" w:line="159" w:lineRule="exact"/>
        <w:rPr>
          <w:rFonts w:ascii="Arial" w:cs="Arial" w:eastAsia="Arial" w:hAnsi="Arial"/>
          <w:sz w:val="14"/>
          <w:szCs w:val="14"/>
          <w:color w:val="auto"/>
        </w:rPr>
      </w:pPr>
    </w:p>
    <w:p>
      <w:pPr>
        <w:ind w:left="1140" w:hanging="221"/>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69" w:lineRule="exact"/>
        <w:rPr>
          <w:rFonts w:ascii="Arial" w:cs="Arial" w:eastAsia="Arial" w:hAnsi="Arial"/>
          <w:sz w:val="14"/>
          <w:szCs w:val="14"/>
          <w:color w:val="auto"/>
        </w:rPr>
      </w:pPr>
    </w:p>
    <w:p>
      <w:pPr>
        <w:jc w:val="both"/>
        <w:ind w:left="660" w:right="679" w:firstLine="259"/>
        <w:spacing w:after="0" w:line="245" w:lineRule="auto"/>
        <w:tabs>
          <w:tab w:leader="none" w:pos="1145"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previously described The Board adopted a stock repurchase program covering 750,000 shares of Class A common stock. No shares were purchased pursuant to such program by the Company during the three and six month ended June 30, 2022.</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980" w:type="dxa"/>
            <w:vAlign w:val="bottom"/>
            <w:tcBorders>
              <w:bottom w:val="single" w:sz="8" w:color="auto"/>
            </w:tcBorders>
            <w:gridSpan w:val="107"/>
          </w:tcPr>
          <w:p>
            <w:pPr>
              <w:spacing w:after="0"/>
              <w:rPr>
                <w:sz w:val="20"/>
                <w:szCs w:val="20"/>
                <w:color w:val="auto"/>
              </w:rPr>
            </w:pPr>
            <w:r>
              <w:rPr>
                <w:rFonts w:ascii="Arial" w:cs="Arial" w:eastAsia="Arial" w:hAnsi="Arial"/>
                <w:sz w:val="13"/>
                <w:szCs w:val="13"/>
                <w:b w:val="1"/>
                <w:bCs w:val="1"/>
                <w:color w:val="auto"/>
              </w:rPr>
              <w:t>Description of Exhibit</w:t>
            </w:r>
          </w:p>
        </w:tc>
      </w:tr>
      <w:tr>
        <w:trPr>
          <w:trHeight w:val="119"/>
        </w:trPr>
        <w:tc>
          <w:tcPr>
            <w:tcW w:w="340" w:type="dxa"/>
            <w:vAlign w:val="bottom"/>
            <w:gridSpan w:val="2"/>
          </w:tcPr>
          <w:p>
            <w:pPr>
              <w:spacing w:after="0"/>
              <w:rPr>
                <w:sz w:val="10"/>
                <w:szCs w:val="10"/>
                <w:color w:val="auto"/>
              </w:rPr>
            </w:pPr>
          </w:p>
        </w:tc>
        <w:tc>
          <w:tcPr>
            <w:tcW w:w="220" w:type="dxa"/>
            <w:vAlign w:val="bottom"/>
            <w:gridSpan w:val="2"/>
          </w:tcPr>
          <w:p>
            <w:pPr>
              <w:jc w:val="center"/>
              <w:ind w:right="40"/>
              <w:spacing w:after="0" w:line="119" w:lineRule="exact"/>
              <w:rPr>
                <w:rFonts w:ascii="Arial" w:cs="Arial" w:eastAsia="Arial" w:hAnsi="Arial"/>
                <w:sz w:val="13"/>
                <w:szCs w:val="13"/>
                <w:color w:val="0000FF"/>
                <w:w w:val="99"/>
              </w:rPr>
            </w:pPr>
            <w:hyperlink r:id="rId64">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07"/>
          </w:tcPr>
          <w:p>
            <w:pPr>
              <w:spacing w:after="0" w:line="119" w:lineRule="exact"/>
              <w:rPr>
                <w:rFonts w:ascii="Arial" w:cs="Arial" w:eastAsia="Arial" w:hAnsi="Arial"/>
                <w:sz w:val="13"/>
                <w:szCs w:val="13"/>
                <w:color w:val="0000FF"/>
              </w:rPr>
            </w:pPr>
            <w:hyperlink r:id="rId64">
              <w:r>
                <w:rPr>
                  <w:rFonts w:ascii="Arial" w:cs="Arial" w:eastAsia="Arial" w:hAnsi="Arial"/>
                  <w:sz w:val="13"/>
                  <w:szCs w:val="13"/>
                  <w:color w:val="0000FF"/>
                </w:rPr>
                <w:t>Agreement and Plan of Share Exchange, dated December 27, 2021, by and between U.S. Century Bank and USCB</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Financial Holdings, Inc. (incorporated by reference to Exhibit 2.1 to the Registrant’s Current Report on Form 8-K (File No.</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bottom w:val="single" w:sz="8" w:color="0000FF"/>
            </w:tcBorders>
            <w:gridSpan w:val="72"/>
          </w:tcPr>
          <w:p>
            <w:pPr>
              <w:spacing w:after="0" w:line="119" w:lineRule="exact"/>
              <w:rPr>
                <w:rFonts w:ascii="Arial" w:cs="Arial" w:eastAsia="Arial" w:hAnsi="Arial"/>
                <w:sz w:val="13"/>
                <w:szCs w:val="13"/>
                <w:color w:val="0000FF"/>
                <w:w w:val="98"/>
              </w:rPr>
            </w:pPr>
            <w:hyperlink r:id="rId64">
              <w:r>
                <w:rPr>
                  <w:rFonts w:ascii="Arial" w:cs="Arial" w:eastAsia="Arial" w:hAnsi="Arial"/>
                  <w:sz w:val="13"/>
                  <w:szCs w:val="13"/>
                  <w:color w:val="0000FF"/>
                  <w:w w:val="98"/>
                </w:rPr>
                <w:t>001-41196) filed with the Securities and Exchange Commission on December 30, 2021).</w:t>
              </w:r>
            </w:hyperlink>
          </w:p>
        </w:tc>
        <w:tc>
          <w:tcPr>
            <w:tcW w:w="1920" w:type="dxa"/>
            <w:vAlign w:val="bottom"/>
            <w:gridSpan w:val="35"/>
          </w:tcPr>
          <w:p>
            <w:pPr>
              <w:spacing w:after="0"/>
              <w:rPr>
                <w:sz w:val="10"/>
                <w:szCs w:val="10"/>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5">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5">
              <w:r>
                <w:rPr>
                  <w:rFonts w:ascii="Arial" w:cs="Arial" w:eastAsia="Arial" w:hAnsi="Arial"/>
                  <w:sz w:val="13"/>
                  <w:szCs w:val="13"/>
                  <w:color w:val="0000FF"/>
                </w:rPr>
                <w:t>Articles of Incorporation of USCB Financial Holdings, Inc. (incorporated by reference to Exhibit 3.1 to the Registrant’s</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5">
              <w:r>
                <w:rPr>
                  <w:rFonts w:ascii="Arial" w:cs="Arial" w:eastAsia="Arial" w:hAnsi="Arial"/>
                  <w:sz w:val="13"/>
                  <w:szCs w:val="13"/>
                  <w:color w:val="0000FF"/>
                </w:rPr>
                <w:t>Current Report on Form 8-K (File No. 001-41196) filed with the Securities and Exchange Commission on December 30,</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8100" w:type="dxa"/>
            <w:vAlign w:val="bottom"/>
            <w:gridSpan w:val="114"/>
          </w:tcPr>
          <w:p>
            <w:pPr>
              <w:spacing w:after="0"/>
              <w:rPr>
                <w:rFonts w:ascii="Arial" w:cs="Arial" w:eastAsia="Arial" w:hAnsi="Arial"/>
                <w:sz w:val="13"/>
                <w:szCs w:val="13"/>
                <w:color w:val="0000FF"/>
              </w:rPr>
            </w:pPr>
            <w:hyperlink r:id="rId65">
              <w:r>
                <w:rPr>
                  <w:rFonts w:ascii="Arial" w:cs="Arial" w:eastAsia="Arial" w:hAnsi="Arial"/>
                  <w:sz w:val="13"/>
                  <w:szCs w:val="13"/>
                  <w:color w:val="0000FF"/>
                </w:rPr>
                <w:t>2021).</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6620" w:type="dxa"/>
            <w:vAlign w:val="bottom"/>
            <w:gridSpan w:val="105"/>
          </w:tcPr>
          <w:p>
            <w:pPr>
              <w:spacing w:after="0" w:line="20" w:lineRule="exact"/>
              <w:rPr>
                <w:sz w:val="1"/>
                <w:szCs w:val="1"/>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6">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w w:val="97"/>
              </w:rPr>
            </w:pPr>
            <w:hyperlink r:id="rId66">
              <w:r>
                <w:rPr>
                  <w:rFonts w:ascii="Arial" w:cs="Arial" w:eastAsia="Arial" w:hAnsi="Arial"/>
                  <w:sz w:val="13"/>
                  <w:szCs w:val="13"/>
                  <w:color w:val="0000FF"/>
                  <w:w w:val="97"/>
                </w:rPr>
                <w:t>Amended and Restated Bylaws of USCB Financial Holdings, Inc. (incorporated by reference to Exhibit 3.2 to the Registrant’s</w:t>
              </w:r>
            </w:hyperlink>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00" w:type="dxa"/>
            <w:vAlign w:val="bottom"/>
            <w:tcBorders>
              <w:top w:val="single" w:sz="8" w:color="0000FF"/>
            </w:tcBorders>
            <w:gridSpan w:val="106"/>
          </w:tcPr>
          <w:p>
            <w:pPr>
              <w:spacing w:after="0" w:line="119" w:lineRule="exact"/>
              <w:rPr>
                <w:rFonts w:ascii="Arial" w:cs="Arial" w:eastAsia="Arial" w:hAnsi="Arial"/>
                <w:sz w:val="13"/>
                <w:szCs w:val="13"/>
                <w:color w:val="0000FF"/>
                <w:w w:val="99"/>
              </w:rPr>
            </w:pPr>
            <w:hyperlink r:id="rId66">
              <w:r>
                <w:rPr>
                  <w:rFonts w:ascii="Arial" w:cs="Arial" w:eastAsia="Arial" w:hAnsi="Arial"/>
                  <w:sz w:val="13"/>
                  <w:szCs w:val="13"/>
                  <w:color w:val="0000FF"/>
                  <w:w w:val="99"/>
                </w:rPr>
                <w:t>Current Report on Form 8-K (File No. 001-41196) filed with the Securities and Exchange Commission on December 30,</w:t>
              </w:r>
            </w:hyperlink>
          </w:p>
        </w:tc>
        <w:tc>
          <w:tcPr>
            <w:tcW w:w="80" w:type="dxa"/>
            <w:vAlign w:val="bottom"/>
          </w:tcPr>
          <w:p>
            <w:pPr>
              <w:spacing w:after="0"/>
              <w:rPr>
                <w:sz w:val="10"/>
                <w:szCs w:val="10"/>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8100" w:type="dxa"/>
            <w:vAlign w:val="bottom"/>
            <w:gridSpan w:val="114"/>
          </w:tcPr>
          <w:p>
            <w:pPr>
              <w:spacing w:after="0"/>
              <w:rPr>
                <w:rFonts w:ascii="Arial" w:cs="Arial" w:eastAsia="Arial" w:hAnsi="Arial"/>
                <w:sz w:val="13"/>
                <w:szCs w:val="13"/>
                <w:color w:val="0000FF"/>
              </w:rPr>
            </w:pPr>
            <w:hyperlink r:id="rId66">
              <w:r>
                <w:rPr>
                  <w:rFonts w:ascii="Arial" w:cs="Arial" w:eastAsia="Arial" w:hAnsi="Arial"/>
                  <w:sz w:val="13"/>
                  <w:szCs w:val="13"/>
                  <w:color w:val="0000FF"/>
                </w:rPr>
                <w:t>2021).</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6620" w:type="dxa"/>
            <w:vAlign w:val="bottom"/>
            <w:gridSpan w:val="105"/>
          </w:tcPr>
          <w:p>
            <w:pPr>
              <w:spacing w:after="0" w:line="20" w:lineRule="exact"/>
              <w:rPr>
                <w:sz w:val="1"/>
                <w:szCs w:val="1"/>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7">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Side Letter Agreement, dated December 30, 2021, between USCB Financial Holdings, Inc., U.S. Century Bank, Priam</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Capital Fund II, LP, Patriot Financial Partners II, L.P. and Patriot Financial Partners Parallel II, L.P. (incorporated by</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60" w:type="dxa"/>
            <w:vAlign w:val="bottom"/>
            <w:tcBorders>
              <w:left w:val="single" w:sz="8" w:color="0000FF"/>
              <w:right w:val="single" w:sz="8" w:color="0000FF"/>
            </w:tcBorders>
            <w:gridSpan w:val="5"/>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4"/>
          </w:tcPr>
          <w:p>
            <w:pPr>
              <w:spacing w:after="0" w:line="20" w:lineRule="exact"/>
              <w:rPr>
                <w:sz w:val="1"/>
                <w:szCs w:val="1"/>
                <w:color w:val="auto"/>
              </w:rPr>
            </w:pPr>
          </w:p>
        </w:tc>
        <w:tc>
          <w:tcPr>
            <w:tcW w:w="380" w:type="dxa"/>
            <w:vAlign w:val="bottom"/>
            <w:tcBorders>
              <w:right w:val="single" w:sz="8" w:color="0000FF"/>
            </w:tcBorders>
            <w:gridSpan w:val="5"/>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300" w:type="dxa"/>
            <w:vAlign w:val="bottom"/>
            <w:tcBorders>
              <w:right w:val="single" w:sz="8" w:color="0000FF"/>
            </w:tcBorders>
            <w:gridSpan w:val="4"/>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reference to Exhibit 4.1 to the Registrant’s Current Report on Form 8-K (File No. 001-41196) filed with the Securities and</w:t>
              </w:r>
            </w:hyperlink>
          </w:p>
        </w:tc>
      </w:tr>
      <w:tr>
        <w:trPr>
          <w:trHeight w:val="20"/>
        </w:trPr>
        <w:tc>
          <w:tcPr>
            <w:tcW w:w="1840" w:type="dxa"/>
            <w:vAlign w:val="bottom"/>
            <w:tcBorders>
              <w:right w:val="single" w:sz="8" w:color="0000FF"/>
            </w:tcBorders>
            <w:gridSpan w:val="14"/>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10"/>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tcBorders>
              <w:bottom w:val="single" w:sz="8" w:color="0000FF"/>
            </w:tcBorders>
            <w:gridSpan w:val="39"/>
          </w:tcPr>
          <w:p>
            <w:pPr>
              <w:spacing w:after="0" w:line="119" w:lineRule="exact"/>
              <w:rPr>
                <w:rFonts w:ascii="Arial" w:cs="Arial" w:eastAsia="Arial" w:hAnsi="Arial"/>
                <w:sz w:val="13"/>
                <w:szCs w:val="13"/>
                <w:color w:val="0000FF"/>
                <w:w w:val="97"/>
              </w:rPr>
            </w:pPr>
            <w:hyperlink r:id="rId67">
              <w:r>
                <w:rPr>
                  <w:rFonts w:ascii="Arial" w:cs="Arial" w:eastAsia="Arial" w:hAnsi="Arial"/>
                  <w:sz w:val="13"/>
                  <w:szCs w:val="13"/>
                  <w:color w:val="0000FF"/>
                  <w:w w:val="97"/>
                </w:rPr>
                <w:t>Exchange Commission on December 30, 2021).</w:t>
              </w:r>
            </w:hyperlink>
          </w:p>
        </w:tc>
        <w:tc>
          <w:tcPr>
            <w:tcW w:w="4240" w:type="dxa"/>
            <w:vAlign w:val="bottom"/>
            <w:gridSpan w:val="68"/>
          </w:tcPr>
          <w:p>
            <w:pPr>
              <w:spacing w:after="0"/>
              <w:rPr>
                <w:sz w:val="10"/>
                <w:szCs w:val="10"/>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8">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8">
              <w:r>
                <w:rPr>
                  <w:rFonts w:ascii="Arial" w:cs="Arial" w:eastAsia="Arial" w:hAnsi="Arial"/>
                  <w:sz w:val="13"/>
                  <w:szCs w:val="13"/>
                  <w:color w:val="0000FF"/>
                </w:rPr>
                <w:t>Registration Rights Agreement, dated March 17, 2015, between U.S. Century Bank, Priam Capital Fund II, LP, Patriot</w:t>
              </w:r>
            </w:hyperlink>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w w:val="99"/>
              </w:rPr>
            </w:pPr>
            <w:hyperlink r:id="rId68">
              <w:r>
                <w:rPr>
                  <w:rFonts w:ascii="Arial" w:cs="Arial" w:eastAsia="Arial" w:hAnsi="Arial"/>
                  <w:sz w:val="13"/>
                  <w:szCs w:val="13"/>
                  <w:color w:val="0000FF"/>
                  <w:w w:val="99"/>
                </w:rPr>
                <w:t>Financial Partners II, L.P., Patriot Financial Partners Parallel II, L.P., and certain other shareholders of U.S. Century Bank</w:t>
              </w:r>
            </w:hyperlink>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1"/>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40" w:type="dxa"/>
            <w:vAlign w:val="bottom"/>
            <w:tcBorders>
              <w:right w:val="single" w:sz="8" w:color="0000FF"/>
            </w:tcBorders>
            <w:gridSpan w:val="1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16"/>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1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10"/>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00" w:type="dxa"/>
            <w:vAlign w:val="bottom"/>
            <w:tcBorders>
              <w:bottom w:val="single" w:sz="8" w:color="0000FF"/>
            </w:tcBorders>
            <w:gridSpan w:val="106"/>
          </w:tcPr>
          <w:p>
            <w:pPr>
              <w:spacing w:after="0" w:line="129" w:lineRule="exact"/>
              <w:rPr>
                <w:rFonts w:ascii="Arial" w:cs="Arial" w:eastAsia="Arial" w:hAnsi="Arial"/>
                <w:sz w:val="13"/>
                <w:szCs w:val="13"/>
                <w:color w:val="0000FF"/>
                <w:w w:val="97"/>
              </w:rPr>
            </w:pPr>
            <w:hyperlink r:id="rId68">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80" w:type="dxa"/>
            <w:vAlign w:val="bottom"/>
          </w:tcPr>
          <w:p>
            <w:pPr>
              <w:spacing w:after="0"/>
              <w:rPr>
                <w:sz w:val="11"/>
                <w:szCs w:val="1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8">
              <w:r>
                <w:rPr>
                  <w:rFonts w:ascii="Arial" w:cs="Arial" w:eastAsia="Arial" w:hAnsi="Arial"/>
                  <w:sz w:val="13"/>
                  <w:szCs w:val="13"/>
                  <w:color w:val="0000FF"/>
                </w:rPr>
                <w:t>Securities and Exchange Commission on December 30, 2021).</w:t>
              </w:r>
            </w:hyperlink>
          </w:p>
        </w:tc>
      </w:tr>
      <w:tr>
        <w:trPr>
          <w:trHeight w:val="20"/>
        </w:trPr>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1"/>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1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1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9">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Assignment and Assumption of Agreement, dated December 30, 2021, between U.S. Century Bank and USCB Financial</w:t>
              </w:r>
            </w:hyperlink>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1"/>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20" w:type="dxa"/>
            <w:vAlign w:val="bottom"/>
            <w:tcBorders>
              <w:right w:val="single" w:sz="8" w:color="0000FF"/>
            </w:tcBorders>
            <w:gridSpan w:val="19"/>
            <w:shd w:val="clear" w:color="auto" w:fill="0000FF"/>
          </w:tcPr>
          <w:p>
            <w:pPr>
              <w:spacing w:after="0" w:line="20" w:lineRule="exact"/>
              <w:rPr>
                <w:sz w:val="1"/>
                <w:szCs w:val="1"/>
                <w:color w:val="auto"/>
              </w:rPr>
            </w:pPr>
          </w:p>
        </w:tc>
        <w:tc>
          <w:tcPr>
            <w:tcW w:w="44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960" w:type="dxa"/>
            <w:vAlign w:val="bottom"/>
            <w:tcBorders>
              <w:right w:val="single" w:sz="8" w:color="0000FF"/>
            </w:tcBorders>
            <w:gridSpan w:val="18"/>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10"/>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00" w:type="dxa"/>
            <w:vAlign w:val="bottom"/>
            <w:tcBorders>
              <w:bottom w:val="single" w:sz="8" w:color="0000FF"/>
            </w:tcBorders>
            <w:gridSpan w:val="106"/>
          </w:tcPr>
          <w:p>
            <w:pPr>
              <w:spacing w:after="0" w:line="119" w:lineRule="exact"/>
              <w:rPr>
                <w:rFonts w:ascii="Arial" w:cs="Arial" w:eastAsia="Arial" w:hAnsi="Arial"/>
                <w:sz w:val="13"/>
                <w:szCs w:val="13"/>
                <w:color w:val="0000FF"/>
                <w:w w:val="96"/>
              </w:rPr>
            </w:pPr>
            <w:hyperlink r:id="rId69">
              <w:r>
                <w:rPr>
                  <w:rFonts w:ascii="Arial" w:cs="Arial" w:eastAsia="Arial" w:hAnsi="Arial"/>
                  <w:sz w:val="13"/>
                  <w:szCs w:val="13"/>
                  <w:color w:val="0000FF"/>
                  <w:w w:val="96"/>
                </w:rPr>
                <w:t>Holdings, Inc. (incorporated by reference to Exhibit 4.3 to the Registrant’s Current Report on Form 8-K (File No. 001-41196)</w:t>
              </w:r>
            </w:hyperlink>
          </w:p>
        </w:tc>
        <w:tc>
          <w:tcPr>
            <w:tcW w:w="80" w:type="dxa"/>
            <w:vAlign w:val="bottom"/>
          </w:tcPr>
          <w:p>
            <w:pPr>
              <w:spacing w:after="0"/>
              <w:rPr>
                <w:sz w:val="10"/>
                <w:szCs w:val="10"/>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80" w:type="dxa"/>
            <w:vAlign w:val="bottom"/>
            <w:tcBorders>
              <w:bottom w:val="single" w:sz="8" w:color="0000FF"/>
            </w:tcBorders>
            <w:gridSpan w:val="64"/>
          </w:tcPr>
          <w:p>
            <w:pPr>
              <w:spacing w:after="0" w:line="129" w:lineRule="exact"/>
              <w:rPr>
                <w:rFonts w:ascii="Arial" w:cs="Arial" w:eastAsia="Arial" w:hAnsi="Arial"/>
                <w:sz w:val="13"/>
                <w:szCs w:val="13"/>
                <w:color w:val="0000FF"/>
                <w:w w:val="98"/>
              </w:rPr>
            </w:pPr>
            <w:hyperlink r:id="rId69">
              <w:r>
                <w:rPr>
                  <w:rFonts w:ascii="Arial" w:cs="Arial" w:eastAsia="Arial" w:hAnsi="Arial"/>
                  <w:sz w:val="13"/>
                  <w:szCs w:val="13"/>
                  <w:color w:val="0000FF"/>
                  <w:w w:val="98"/>
                </w:rPr>
                <w:t>filed with the Securities and Exchange Commission on December 30, 2021).</w:t>
              </w:r>
            </w:hyperlink>
          </w:p>
        </w:tc>
        <w:tc>
          <w:tcPr>
            <w:tcW w:w="2600" w:type="dxa"/>
            <w:vAlign w:val="bottom"/>
            <w:gridSpan w:val="43"/>
          </w:tcPr>
          <w:p>
            <w:pPr>
              <w:spacing w:after="0"/>
              <w:rPr>
                <w:sz w:val="11"/>
                <w:szCs w:val="11"/>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70">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w w:val="98"/>
              </w:rPr>
            </w:pPr>
            <w:hyperlink r:id="rId70">
              <w:r>
                <w:rPr>
                  <w:rFonts w:ascii="Arial" w:cs="Arial" w:eastAsia="Arial" w:hAnsi="Arial"/>
                  <w:sz w:val="13"/>
                  <w:szCs w:val="13"/>
                  <w:color w:val="0000FF"/>
                  <w:w w:val="98"/>
                </w:rPr>
                <w:t>Description of USCB Financial Holdings, Inc.’s securities (incorporated by reference to Exhibit4.4 to the Registrant's Annual</w:t>
              </w:r>
            </w:hyperlink>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20" w:type="dxa"/>
            <w:vAlign w:val="bottom"/>
            <w:tcBorders>
              <w:top w:val="single" w:sz="8" w:color="0000FF"/>
              <w:bottom w:val="single" w:sz="8" w:color="0000FF"/>
            </w:tcBorders>
            <w:gridSpan w:val="100"/>
          </w:tcPr>
          <w:p>
            <w:pPr>
              <w:spacing w:after="0" w:line="129" w:lineRule="exact"/>
              <w:rPr>
                <w:rFonts w:ascii="Arial" w:cs="Arial" w:eastAsia="Arial" w:hAnsi="Arial"/>
                <w:sz w:val="13"/>
                <w:szCs w:val="13"/>
                <w:color w:val="0000FF"/>
                <w:w w:val="98"/>
              </w:rPr>
            </w:pPr>
            <w:hyperlink r:id="rId70">
              <w:r>
                <w:rPr>
                  <w:rFonts w:ascii="Arial" w:cs="Arial" w:eastAsia="Arial" w:hAnsi="Arial"/>
                  <w:sz w:val="13"/>
                  <w:szCs w:val="13"/>
                  <w:color w:val="0000FF"/>
                  <w:w w:val="98"/>
                </w:rPr>
                <w:t>Report on Form 10-K (File No. 001-41196) filed with the Securities and Exchange Commission on March 24, 2022)</w:t>
              </w:r>
            </w:hyperlink>
          </w:p>
        </w:tc>
        <w:tc>
          <w:tcPr>
            <w:tcW w:w="380" w:type="dxa"/>
            <w:vAlign w:val="bottom"/>
            <w:tcBorders>
              <w:top w:val="single" w:sz="8" w:color="0000FF"/>
            </w:tcBorders>
            <w:gridSpan w:val="6"/>
          </w:tcPr>
          <w:p>
            <w:pPr>
              <w:spacing w:after="0"/>
              <w:rPr>
                <w:sz w:val="11"/>
                <w:szCs w:val="11"/>
                <w:color w:val="auto"/>
              </w:rPr>
            </w:pPr>
          </w:p>
        </w:tc>
        <w:tc>
          <w:tcPr>
            <w:tcW w:w="80" w:type="dxa"/>
            <w:vAlign w:val="bottom"/>
          </w:tcPr>
          <w:p>
            <w:pPr>
              <w:spacing w:after="0"/>
              <w:rPr>
                <w:sz w:val="11"/>
                <w:szCs w:val="11"/>
                <w:color w:val="auto"/>
              </w:rPr>
            </w:pPr>
          </w:p>
        </w:tc>
      </w:tr>
      <w:tr>
        <w:trPr>
          <w:trHeight w:val="129"/>
        </w:trPr>
        <w:tc>
          <w:tcPr>
            <w:tcW w:w="300" w:type="dxa"/>
            <w:vAlign w:val="bottom"/>
          </w:tcPr>
          <w:p>
            <w:pPr>
              <w:spacing w:after="0"/>
              <w:rPr>
                <w:sz w:val="11"/>
                <w:szCs w:val="11"/>
                <w:color w:val="auto"/>
              </w:rPr>
            </w:pPr>
          </w:p>
        </w:tc>
        <w:tc>
          <w:tcPr>
            <w:tcW w:w="260" w:type="dxa"/>
            <w:vAlign w:val="bottom"/>
            <w:gridSpan w:val="3"/>
          </w:tcPr>
          <w:p>
            <w:pPr>
              <w:jc w:val="center"/>
              <w:spacing w:after="0" w:line="129"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3"/>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5"/>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17"/>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line="140" w:lineRule="exact"/>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r>
      <w:tr>
        <w:trPr>
          <w:trHeight w:val="140"/>
        </w:trPr>
        <w:tc>
          <w:tcPr>
            <w:tcW w:w="300" w:type="dxa"/>
            <w:vAlign w:val="bottom"/>
          </w:tcPr>
          <w:p>
            <w:pPr>
              <w:spacing w:after="0"/>
              <w:rPr>
                <w:sz w:val="12"/>
                <w:szCs w:val="12"/>
                <w:color w:val="auto"/>
              </w:rPr>
            </w:pPr>
          </w:p>
        </w:tc>
        <w:tc>
          <w:tcPr>
            <w:tcW w:w="260" w:type="dxa"/>
            <w:vAlign w:val="bottom"/>
            <w:tcBorders>
              <w:top w:val="single" w:sz="8" w:color="0000FF"/>
            </w:tcBorders>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20" w:type="dxa"/>
            <w:vAlign w:val="bottom"/>
            <w:tcBorders>
              <w:top w:val="single" w:sz="8" w:color="0000FF"/>
            </w:tcBorders>
            <w:gridSpan w:val="88"/>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1060" w:type="dxa"/>
            <w:vAlign w:val="bottom"/>
            <w:gridSpan w:val="19"/>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3"/>
            <w:shd w:val="clear" w:color="auto" w:fill="0000FF"/>
          </w:tcPr>
          <w:p>
            <w:pPr>
              <w:spacing w:after="0" w:line="20" w:lineRule="exact"/>
              <w:rPr>
                <w:sz w:val="1"/>
                <w:szCs w:val="1"/>
                <w:color w:val="auto"/>
              </w:rPr>
            </w:pPr>
          </w:p>
        </w:tc>
        <w:tc>
          <w:tcPr>
            <w:tcW w:w="2780" w:type="dxa"/>
            <w:vAlign w:val="bottom"/>
            <w:gridSpan w:val="44"/>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line="140" w:lineRule="exact"/>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3"/>
            <w:shd w:val="clear" w:color="auto" w:fill="0000FF"/>
          </w:tcPr>
          <w:p>
            <w:pPr>
              <w:spacing w:after="0" w:line="20" w:lineRule="exact"/>
              <w:rPr>
                <w:sz w:val="1"/>
                <w:szCs w:val="1"/>
                <w:color w:val="auto"/>
              </w:rPr>
            </w:pPr>
          </w:p>
        </w:tc>
        <w:tc>
          <w:tcPr>
            <w:tcW w:w="2780" w:type="dxa"/>
            <w:vAlign w:val="bottom"/>
            <w:gridSpan w:val="44"/>
          </w:tcPr>
          <w:p>
            <w:pPr>
              <w:spacing w:after="0" w:line="20" w:lineRule="exact"/>
              <w:rPr>
                <w:sz w:val="1"/>
                <w:szCs w:val="1"/>
                <w:color w:val="auto"/>
              </w:rPr>
            </w:pPr>
          </w:p>
        </w:tc>
      </w:tr>
      <w:tr>
        <w:trPr>
          <w:trHeight w:val="174"/>
        </w:trPr>
        <w:tc>
          <w:tcPr>
            <w:tcW w:w="300" w:type="dxa"/>
            <w:vAlign w:val="bottom"/>
          </w:tcPr>
          <w:p>
            <w:pPr>
              <w:spacing w:after="0"/>
              <w:rPr>
                <w:sz w:val="15"/>
                <w:szCs w:val="15"/>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80" w:type="dxa"/>
            <w:vAlign w:val="bottom"/>
            <w:gridSpan w:val="107"/>
          </w:tcPr>
          <w:p>
            <w:pPr>
              <w:spacing w:after="0"/>
              <w:rPr>
                <w:sz w:val="20"/>
                <w:szCs w:val="20"/>
                <w:color w:val="auto"/>
              </w:rPr>
            </w:pPr>
            <w:r>
              <w:rPr>
                <w:rFonts w:ascii="Arial" w:cs="Arial" w:eastAsia="Arial" w:hAnsi="Arial"/>
                <w:sz w:val="13"/>
                <w:szCs w:val="13"/>
                <w:color w:val="auto"/>
                <w:w w:val="97"/>
              </w:rPr>
              <w:t>The following financial statements from the Company’s Quarterly Report on Form 10-Q for the quarter ended June 30, 2022</w:t>
            </w:r>
          </w:p>
        </w:tc>
      </w:tr>
      <w:tr>
        <w:trPr>
          <w:trHeight w:val="13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line="139" w:lineRule="exact"/>
              <w:rPr>
                <w:sz w:val="20"/>
                <w:szCs w:val="20"/>
                <w:color w:val="auto"/>
              </w:rPr>
            </w:pPr>
            <w:r>
              <w:rPr>
                <w:rFonts w:ascii="Arial" w:cs="Arial" w:eastAsia="Arial" w:hAnsi="Arial"/>
                <w:sz w:val="13"/>
                <w:szCs w:val="13"/>
                <w:color w:val="auto"/>
              </w:rPr>
              <w:t>formatted in Inline XBRL: (i) Consolidated Balance Sheets (unaudited), (ii) Consolidated Statements of Operations</w:t>
            </w: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rPr>
                <w:sz w:val="20"/>
                <w:szCs w:val="20"/>
                <w:color w:val="auto"/>
              </w:rPr>
            </w:pPr>
            <w:r>
              <w:rPr>
                <w:rFonts w:ascii="Arial" w:cs="Arial" w:eastAsia="Arial" w:hAnsi="Arial"/>
                <w:sz w:val="13"/>
                <w:szCs w:val="13"/>
                <w:color w:val="auto"/>
                <w:w w:val="98"/>
              </w:rPr>
              <w:t>(unaudited), (iii) Consolidated Statements of Comprehensive Income (unaudited), (iv)Consolidated Statements of Changes</w:t>
            </w: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rPr>
                <w:sz w:val="20"/>
                <w:szCs w:val="20"/>
                <w:color w:val="auto"/>
              </w:rPr>
            </w:pPr>
            <w:r>
              <w:rPr>
                <w:rFonts w:ascii="Arial" w:cs="Arial" w:eastAsia="Arial" w:hAnsi="Arial"/>
                <w:sz w:val="13"/>
                <w:szCs w:val="13"/>
                <w:color w:val="auto"/>
              </w:rPr>
              <w:t>in Stockholders’ Equity (unaudited), (v) Consolidated  Statements of Cash Flows (unaudited), (vi) Notes to Consolidated</w:t>
            </w: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rPr>
                <w:sz w:val="20"/>
                <w:szCs w:val="20"/>
                <w:color w:val="auto"/>
              </w:rPr>
            </w:pPr>
            <w:r>
              <w:rPr>
                <w:rFonts w:ascii="Arial" w:cs="Arial" w:eastAsia="Arial" w:hAnsi="Arial"/>
                <w:sz w:val="13"/>
                <w:szCs w:val="13"/>
                <w:color w:val="auto"/>
              </w:rPr>
              <w:t>Financial Statements (unaudited).</w:t>
            </w:r>
          </w:p>
        </w:tc>
      </w:tr>
    </w:tbl>
    <w:p>
      <w:pPr>
        <w:ind w:left="1280" w:right="2499" w:hanging="596"/>
        <w:spacing w:after="0" w:line="538" w:lineRule="auto"/>
        <w:tabs>
          <w:tab w:leader="none" w:pos="1483"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6" w:name="page57"/>
    <w:bookmarkEnd w:id="5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7"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USCB FINANCIAL HOLDINGS, INC.</w:t>
      </w:r>
    </w:p>
    <w:p>
      <w:pPr>
        <w:spacing w:after="0" w:line="10"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63"/>
        </w:trPr>
        <w:tc>
          <w:tcPr>
            <w:tcW w:w="20" w:type="dxa"/>
            <w:vAlign w:val="bottom"/>
          </w:tcPr>
          <w:p>
            <w:pPr>
              <w:spacing w:after="0"/>
              <w:rPr>
                <w:sz w:val="24"/>
                <w:szCs w:val="24"/>
                <w:color w:val="auto"/>
              </w:rPr>
            </w:pPr>
          </w:p>
        </w:tc>
        <w:tc>
          <w:tcPr>
            <w:tcW w:w="2000" w:type="dxa"/>
            <w:vAlign w:val="bottom"/>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3120" w:type="dxa"/>
            <w:vAlign w:val="bottom"/>
          </w:tcPr>
          <w:p>
            <w:pPr>
              <w:ind w:left="14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2"/>
        </w:trPr>
        <w:tc>
          <w:tcPr>
            <w:tcW w:w="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August 11, 2022</w:t>
            </w:r>
          </w:p>
        </w:tc>
      </w:tr>
      <w:tr>
        <w:trPr>
          <w:trHeight w:val="161"/>
        </w:trPr>
        <w:tc>
          <w:tcPr>
            <w:tcW w:w="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August 11, 2022</w:t>
            </w:r>
          </w:p>
        </w:tc>
      </w:tr>
      <w:tr>
        <w:trPr>
          <w:trHeight w:val="151"/>
        </w:trPr>
        <w:tc>
          <w:tcPr>
            <w:tcW w:w="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ind w:left="60"/>
              <w:spacing w:after="0" w:line="151"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20" w:type="dxa"/>
            <w:vAlign w:val="bottom"/>
          </w:tcPr>
          <w:p>
            <w:pPr>
              <w:ind w:left="60"/>
              <w:spacing w:after="0" w:line="151" w:lineRule="exact"/>
              <w:rPr>
                <w:sz w:val="20"/>
                <w:szCs w:val="20"/>
                <w:color w:val="auto"/>
              </w:rPr>
            </w:pPr>
            <w:r>
              <w:rPr>
                <w:rFonts w:ascii="Arial" w:cs="Arial" w:eastAsia="Arial" w:hAnsi="Arial"/>
                <w:sz w:val="14"/>
                <w:szCs w:val="14"/>
                <w:color w:val="auto"/>
              </w:rPr>
              <w:t>(Principal Financial Officer and Principal</w:t>
            </w: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Q2 2022 Form 10-Q</w:t>
      </w:r>
    </w:p>
    <w:p>
      <w:pPr>
        <w:sectPr>
          <w:pgSz w:w="11900" w:h="16838" w:orient="portrait"/>
          <w:cols w:equalWidth="0" w:num="1">
            <w:col w:w="9019"/>
          </w:cols>
          <w:pgMar w:left="1440" w:top="491" w:right="1440" w:bottom="1440" w:gutter="0" w:footer="0" w:header="0"/>
        </w:sectPr>
      </w:pPr>
    </w:p>
    <w:bookmarkStart w:id="57" w:name="page58"/>
    <w:bookmarkEnd w:id="57"/>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jc w:val="both"/>
        <w:ind w:left="660" w:right="679" w:hanging="253"/>
        <w:spacing w:after="0" w:line="245" w:lineRule="auto"/>
        <w:tabs>
          <w:tab w:leader="none" w:pos="641"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4"/>
          <w:szCs w:val="14"/>
          <w:color w:val="auto"/>
        </w:rPr>
      </w:pPr>
    </w:p>
    <w:p>
      <w:pPr>
        <w:ind w:left="660" w:right="679" w:hanging="253"/>
        <w:spacing w:after="0" w:line="252" w:lineRule="auto"/>
        <w:tabs>
          <w:tab w:leader="none" w:pos="639"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4"/>
          <w:szCs w:val="14"/>
          <w:color w:val="auto"/>
        </w:rPr>
      </w:pPr>
    </w:p>
    <w:p>
      <w:pPr>
        <w:jc w:val="both"/>
        <w:ind w:left="1180" w:right="679" w:hanging="261"/>
        <w:spacing w:after="0" w:line="245" w:lineRule="auto"/>
        <w:tabs>
          <w:tab w:leader="none" w:pos="11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4"/>
          <w:szCs w:val="14"/>
          <w:color w:val="auto"/>
        </w:rPr>
      </w:pPr>
    </w:p>
    <w:p>
      <w:pPr>
        <w:jc w:val="both"/>
        <w:ind w:left="1180" w:right="679" w:hanging="261"/>
        <w:spacing w:after="0" w:line="248" w:lineRule="auto"/>
        <w:tabs>
          <w:tab w:leader="none" w:pos="1181" w:val="left"/>
        </w:tabs>
        <w:numPr>
          <w:ilvl w:val="1"/>
          <w:numId w:val="2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4"/>
          <w:szCs w:val="14"/>
          <w:color w:val="auto"/>
        </w:rPr>
      </w:pPr>
    </w:p>
    <w:p>
      <w:pPr>
        <w:jc w:val="both"/>
        <w:ind w:left="660" w:right="679" w:hanging="253"/>
        <w:spacing w:after="0" w:line="245" w:lineRule="auto"/>
        <w:tabs>
          <w:tab w:leader="none" w:pos="639"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4"/>
          <w:szCs w:val="14"/>
          <w:color w:val="auto"/>
        </w:rPr>
      </w:pPr>
    </w:p>
    <w:p>
      <w:pPr>
        <w:jc w:val="both"/>
        <w:ind w:left="1180" w:right="679" w:hanging="261"/>
        <w:spacing w:after="0" w:line="253" w:lineRule="auto"/>
        <w:tabs>
          <w:tab w:leader="none" w:pos="1168"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180" w:right="679" w:hanging="261"/>
        <w:spacing w:after="0" w:line="268" w:lineRule="auto"/>
        <w:tabs>
          <w:tab w:leader="none" w:pos="11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August 11, 2022</w:t>
      </w:r>
    </w:p>
    <w:p>
      <w:pPr>
        <w:sectPr>
          <w:pgSz w:w="11900" w:h="16838" w:orient="portrait"/>
          <w:cols w:equalWidth="0" w:num="1">
            <w:col w:w="9019"/>
          </w:cols>
          <w:pgMar w:left="1440" w:top="719" w:right="1440" w:bottom="1440" w:gutter="0" w:footer="0" w:header="0"/>
        </w:sectPr>
      </w:pPr>
    </w:p>
    <w:bookmarkStart w:id="58" w:name="page59"/>
    <w:bookmarkEnd w:id="58"/>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60" w:hanging="253"/>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jc w:val="both"/>
        <w:ind w:left="660" w:right="679" w:hanging="253"/>
        <w:spacing w:after="0" w:line="245" w:lineRule="auto"/>
        <w:tabs>
          <w:tab w:leader="none" w:pos="641"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4"/>
          <w:szCs w:val="14"/>
          <w:color w:val="auto"/>
        </w:rPr>
      </w:pPr>
    </w:p>
    <w:p>
      <w:pPr>
        <w:ind w:left="660" w:right="679" w:hanging="253"/>
        <w:spacing w:after="0" w:line="252" w:lineRule="auto"/>
        <w:tabs>
          <w:tab w:leader="none" w:pos="639"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4"/>
          <w:szCs w:val="14"/>
          <w:color w:val="auto"/>
        </w:rPr>
      </w:pPr>
    </w:p>
    <w:p>
      <w:pPr>
        <w:jc w:val="both"/>
        <w:ind w:left="1180" w:right="679" w:hanging="261"/>
        <w:spacing w:after="0" w:line="245" w:lineRule="auto"/>
        <w:tabs>
          <w:tab w:leader="none" w:pos="11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4"/>
          <w:szCs w:val="14"/>
          <w:color w:val="auto"/>
        </w:rPr>
      </w:pPr>
    </w:p>
    <w:p>
      <w:pPr>
        <w:jc w:val="both"/>
        <w:ind w:left="1180" w:right="679" w:hanging="261"/>
        <w:spacing w:after="0" w:line="248" w:lineRule="auto"/>
        <w:tabs>
          <w:tab w:leader="none" w:pos="1181" w:val="left"/>
        </w:tabs>
        <w:numPr>
          <w:ilvl w:val="1"/>
          <w:numId w:val="2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4"/>
          <w:szCs w:val="14"/>
          <w:color w:val="auto"/>
        </w:rPr>
      </w:pPr>
    </w:p>
    <w:p>
      <w:pPr>
        <w:jc w:val="both"/>
        <w:ind w:left="660" w:right="679" w:hanging="253"/>
        <w:spacing w:after="0" w:line="245" w:lineRule="auto"/>
        <w:tabs>
          <w:tab w:leader="none" w:pos="639"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4"/>
          <w:szCs w:val="14"/>
          <w:color w:val="auto"/>
        </w:rPr>
      </w:pPr>
    </w:p>
    <w:p>
      <w:pPr>
        <w:jc w:val="both"/>
        <w:ind w:left="1180" w:right="679" w:hanging="261"/>
        <w:spacing w:after="0" w:line="253" w:lineRule="auto"/>
        <w:tabs>
          <w:tab w:leader="none" w:pos="1168" w:val="left"/>
        </w:tabs>
        <w:numPr>
          <w:ilvl w:val="1"/>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180" w:right="679" w:hanging="261"/>
        <w:spacing w:after="0" w:line="268" w:lineRule="auto"/>
        <w:tabs>
          <w:tab w:leader="none" w:pos="1168" w:val="left"/>
        </w:tabs>
        <w:numPr>
          <w:ilvl w:val="1"/>
          <w:numId w:val="2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August 11, 2022</w:t>
      </w:r>
    </w:p>
    <w:p>
      <w:pPr>
        <w:sectPr>
          <w:pgSz w:w="11900" w:h="16838" w:orient="portrait"/>
          <w:cols w:equalWidth="0" w:num="1">
            <w:col w:w="9019"/>
          </w:cols>
          <w:pgMar w:left="1440" w:top="719" w:right="1440" w:bottom="1440" w:gutter="0" w:footer="0" w:header="0"/>
        </w:sectPr>
      </w:pPr>
    </w:p>
    <w:bookmarkStart w:id="59" w:name="page60"/>
    <w:bookmarkEnd w:id="59"/>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June 30, 2022, as filed with the Securities and Exchange Commission on the date hereof (the “Report”), I, Luis de la Aguilera, as President and Chief Executive Officer of the Company, certify, to the best of my knowledge, pursuant to 18 U.S.C. §1350, as adopted pursuant to Section 906 of the Sarbanes -Oxley Act of 2002, that:</w:t>
      </w:r>
    </w:p>
    <w:p>
      <w:pPr>
        <w:spacing w:after="0" w:line="156" w:lineRule="exact"/>
        <w:rPr>
          <w:sz w:val="20"/>
          <w:szCs w:val="20"/>
          <w:color w:val="auto"/>
        </w:rPr>
      </w:pPr>
    </w:p>
    <w:p>
      <w:pPr>
        <w:ind w:left="1440" w:right="679" w:hanging="265"/>
        <w:spacing w:after="0" w:line="252" w:lineRule="auto"/>
        <w:tabs>
          <w:tab w:leader="none" w:pos="142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52" w:lineRule="exact"/>
        <w:rPr>
          <w:rFonts w:ascii="Arial" w:cs="Arial" w:eastAsia="Arial" w:hAnsi="Arial"/>
          <w:sz w:val="14"/>
          <w:szCs w:val="14"/>
          <w:color w:val="auto"/>
        </w:rPr>
      </w:pPr>
    </w:p>
    <w:p>
      <w:pPr>
        <w:ind w:left="1440" w:right="679" w:hanging="265"/>
        <w:spacing w:after="0" w:line="252" w:lineRule="auto"/>
        <w:tabs>
          <w:tab w:leader="none" w:pos="142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August 11, 2022</w:t>
      </w:r>
    </w:p>
    <w:p>
      <w:pPr>
        <w:sectPr>
          <w:pgSz w:w="11900" w:h="16838" w:orient="portrait"/>
          <w:cols w:equalWidth="0" w:num="1">
            <w:col w:w="9019"/>
          </w:cols>
          <w:pgMar w:left="1440" w:top="719" w:right="1440" w:bottom="1440" w:gutter="0" w:footer="0" w:header="0"/>
        </w:sectPr>
      </w:pPr>
    </w:p>
    <w:bookmarkStart w:id="60" w:name="page61"/>
    <w:bookmarkEnd w:id="60"/>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June 30, 2022,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56" w:lineRule="exact"/>
        <w:rPr>
          <w:sz w:val="20"/>
          <w:szCs w:val="20"/>
          <w:color w:val="auto"/>
        </w:rPr>
      </w:pPr>
    </w:p>
    <w:p>
      <w:pPr>
        <w:ind w:left="1440" w:right="679" w:hanging="265"/>
        <w:spacing w:after="0" w:line="252" w:lineRule="auto"/>
        <w:tabs>
          <w:tab w:leader="none" w:pos="142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52" w:lineRule="exact"/>
        <w:rPr>
          <w:rFonts w:ascii="Arial" w:cs="Arial" w:eastAsia="Arial" w:hAnsi="Arial"/>
          <w:sz w:val="14"/>
          <w:szCs w:val="14"/>
          <w:color w:val="auto"/>
        </w:rPr>
      </w:pPr>
    </w:p>
    <w:p>
      <w:pPr>
        <w:ind w:left="1440" w:right="679" w:hanging="265"/>
        <w:spacing w:after="0" w:line="252" w:lineRule="auto"/>
        <w:tabs>
          <w:tab w:leader="none" w:pos="142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August 11, 2022</w:t>
      </w:r>
    </w:p>
    <w:p>
      <w:pPr>
        <w:sectPr>
          <w:pgSz w:w="11900" w:h="16838" w:orient="portrait"/>
          <w:cols w:equalWidth="0" w:num="1">
            <w:col w:w="9019"/>
          </w:cols>
          <w:pgMar w:left="1440" w:top="719" w:right="1440"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04"/>
    </w:lvl>
    <w:lvl w:ilvl="1">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64" Type="http://schemas.openxmlformats.org/officeDocument/2006/relationships/hyperlink" Target="http://www.sec.gov/Archives/edgar/data/0001901637/000119312521369812/d628417dex21.htm" TargetMode="External"/><Relationship Id="rId65" Type="http://schemas.openxmlformats.org/officeDocument/2006/relationships/hyperlink" Target="http://www.sec.gov/Archives/edgar/data/0001901637/000119312521369812/d628417dex31.htm" TargetMode="External"/><Relationship Id="rId66" Type="http://schemas.openxmlformats.org/officeDocument/2006/relationships/hyperlink" Target="http://www.sec.gov/Archives/edgar/data/0001901637/000119312521369812/d628417dex32.htm" TargetMode="External"/><Relationship Id="rId67" Type="http://schemas.openxmlformats.org/officeDocument/2006/relationships/hyperlink" Target="http://www.sec.gov/Archives/edgar/data/0001901637/000119312521369812/d628417dex41.htm" TargetMode="External"/><Relationship Id="rId68" Type="http://schemas.openxmlformats.org/officeDocument/2006/relationships/hyperlink" Target="http://www.sec.gov/Archives/edgar/data/0001901637/000119312521369812/d628417dex42.htm" TargetMode="External"/><Relationship Id="rId69" Type="http://schemas.openxmlformats.org/officeDocument/2006/relationships/hyperlink" Target="http://www.sec.gov/Archives/edgar/data/0001901637/000119312521369812/d628417dex43.htm" TargetMode="External"/><Relationship Id="rId70" Type="http://schemas.openxmlformats.org/officeDocument/2006/relationships/hyperlink" Target="http://www.sec.gov/Archives/edgar/data/1901637/000156276222000137/exhibit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2022-08-11T16:38:32Z</dcterms:created>
  <dcterms:modified xsi:type="dcterms:W3CDTF">2022-08-11T16:38:32Z</dcterms:modified>
</cp:coreProperties>
</file>